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F18" w:rsidP="00815F18">
      <w:pPr>
        <w:pStyle w:val="Title"/>
      </w:pPr>
      <w:r>
        <w:fldChar w:fldCharType="begin"/>
      </w:r>
      <w:r>
        <w:instrText xml:space="preserve"> TITLE   \* MERGEFORMAT </w:instrText>
      </w:r>
      <w:r>
        <w:fldChar w:fldCharType="separate"/>
      </w:r>
      <w:r>
        <w:t>CPCCCA3014A Construct bulkheads</w:t>
      </w:r>
      <w:r>
        <w:fldChar w:fldCharType="end"/>
      </w:r>
    </w:p>
    <w:p w:rsidR="00815F18" w:rsidP="00815F18">
      <w:pPr>
        <w:pStyle w:val="Version"/>
        <w:sectPr w:rsidSect="00002D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D27" w:rsidP="00002D27">
      <w:pPr>
        <w:pStyle w:val="SuperHeading"/>
      </w:pPr>
      <w:r w:rsidRPr="00002D27">
        <w:t>CPCCCA3014A Construct bulkheads</w:t>
      </w:r>
    </w:p>
    <w:p w:rsidR="00000000" w:rsidRPr="00002D27" w:rsidP="00002D27">
      <w:pPr>
        <w:pStyle w:val="Heading1"/>
      </w:pPr>
      <w:bookmarkStart w:id="1" w:name="O_269513"/>
      <w:bookmarkEnd w:id="1"/>
      <w:r w:rsidRPr="00002D27">
        <w:t>Modification History</w:t>
      </w:r>
    </w:p>
    <w:p w:rsidR="00000000" w:rsidRPr="00002D27" w:rsidP="00002D27">
      <w:pPr>
        <w:pStyle w:val="BodyText"/>
      </w:pPr>
      <w:r w:rsidRPr="00002D27">
        <w:t>Not Applicable</w:t>
      </w:r>
    </w:p>
    <w:p w:rsidR="00000000" w:rsidRPr="00002D27" w:rsidP="00002D27">
      <w:pPr>
        <w:pStyle w:val="AllowPageBreak"/>
      </w:pPr>
    </w:p>
    <w:p w:rsidR="00000000" w:rsidRPr="00002D27" w:rsidP="00002D27">
      <w:pPr>
        <w:pStyle w:val="Heading1"/>
      </w:pPr>
      <w:bookmarkStart w:id="2" w:name="O_197451"/>
      <w:bookmarkEnd w:id="2"/>
      <w:r w:rsidRPr="00002D27">
        <w:t>Unit Descriptor</w:t>
      </w:r>
    </w:p>
    <w:tbl>
      <w:tblPr>
        <w:tblW w:w="0" w:type="auto"/>
        <w:tblLayout w:type="fixed"/>
        <w:tblCellMar>
          <w:left w:w="62" w:type="dxa"/>
          <w:right w:w="62" w:type="dxa"/>
        </w:tblCellMar>
        <w:tblLook w:val="0000"/>
      </w:tblPr>
      <w:tblGrid>
        <w:gridCol w:w="2559"/>
        <w:gridCol w:w="5963"/>
      </w:tblGrid>
      <w:tr w:rsidTr="00815F18">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SpecialBold"/>
              </w:rPr>
              <w:t>Unit descriptor</w:t>
            </w:r>
          </w:p>
        </w:tc>
        <w:tc>
          <w:tcPr>
            <w:tcW w:w="5963" w:type="dxa"/>
            <w:tcBorders>
              <w:top w:val="nil"/>
              <w:left w:val="nil"/>
              <w:bottom w:val="nil"/>
              <w:right w:val="nil"/>
            </w:tcBorders>
            <w:tcMar>
              <w:top w:w="0" w:type="dxa"/>
              <w:left w:w="62" w:type="dxa"/>
              <w:bottom w:w="0" w:type="dxa"/>
              <w:right w:w="62" w:type="dxa"/>
            </w:tcMar>
          </w:tcPr>
          <w:p w:rsidR="00000000" w:rsidRPr="00002D27" w:rsidP="00002D27">
            <w:pPr>
              <w:pStyle w:val="BodyText"/>
            </w:pPr>
            <w:r w:rsidRPr="00002D27">
              <w:t>This unit of competency specifies the outcomes required to construct bulkheads to conceal services or for d</w:t>
            </w:r>
            <w:r w:rsidRPr="00002D27">
              <w:t>ecorative purposes. It includes straight, curved and geometric shaped bulkheads, generally constructed in situ and includes prefabricated fitments.</w:t>
            </w:r>
          </w:p>
        </w:tc>
      </w:tr>
    </w:tbl>
    <w:p w:rsidR="00815F18" w:rsidP="00002D27">
      <w:pPr>
        <w:pStyle w:val="BodyText"/>
      </w:pPr>
    </w:p>
    <w:p w:rsidR="00815F18" w:rsidP="00002D27">
      <w:pPr>
        <w:pStyle w:val="BodyText"/>
      </w:pPr>
    </w:p>
    <w:p w:rsidR="00000000" w:rsidRPr="00002D27" w:rsidP="00002D27">
      <w:pPr>
        <w:pStyle w:val="Heading1"/>
      </w:pPr>
      <w:bookmarkStart w:id="3" w:name="O_197455"/>
      <w:bookmarkEnd w:id="3"/>
      <w:r w:rsidRPr="00002D27">
        <w:t>Application of the Unit</w:t>
      </w:r>
    </w:p>
    <w:tbl>
      <w:tblPr>
        <w:tblW w:w="0" w:type="auto"/>
        <w:tblLayout w:type="fixed"/>
        <w:tblCellMar>
          <w:left w:w="62" w:type="dxa"/>
          <w:right w:w="62" w:type="dxa"/>
        </w:tblCellMar>
        <w:tblLook w:val="0000"/>
      </w:tblPr>
      <w:tblGrid>
        <w:gridCol w:w="2626"/>
        <w:gridCol w:w="5896"/>
      </w:tblGrid>
      <w:tr w:rsidTr="00815F18">
        <w:tblPrEx>
          <w:tblW w:w="0" w:type="auto"/>
          <w:tblLayout w:type="fixed"/>
          <w:tblCellMar>
            <w:left w:w="62" w:type="dxa"/>
            <w:right w:w="62" w:type="dxa"/>
          </w:tblCellMar>
          <w:tblLook w:val="0000"/>
        </w:tblPrEx>
        <w:trPr>
          <w:tblHeader/>
        </w:trPr>
        <w:tc>
          <w:tcPr>
            <w:tcW w:w="2626"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SpecialBold"/>
              </w:rPr>
              <w:t>Application of the unit</w:t>
            </w:r>
          </w:p>
        </w:tc>
        <w:tc>
          <w:tcPr>
            <w:tcW w:w="5896" w:type="dxa"/>
            <w:tcBorders>
              <w:top w:val="nil"/>
              <w:left w:val="nil"/>
              <w:bottom w:val="nil"/>
              <w:right w:val="nil"/>
            </w:tcBorders>
            <w:tcMar>
              <w:top w:w="0" w:type="dxa"/>
              <w:left w:w="62" w:type="dxa"/>
              <w:bottom w:w="0" w:type="dxa"/>
              <w:right w:w="62" w:type="dxa"/>
            </w:tcMar>
          </w:tcPr>
          <w:p w:rsidR="00000000" w:rsidRPr="00002D27" w:rsidP="00002D27">
            <w:pPr>
              <w:pStyle w:val="BodyText"/>
            </w:pPr>
            <w:r w:rsidRPr="00002D27">
              <w:t xml:space="preserve">This unit of competency supports achievement of skills to construct non-load bearing bulkheads in a range of construction projects, which includes working with others and as a member of a team. </w:t>
            </w:r>
          </w:p>
        </w:tc>
      </w:tr>
    </w:tbl>
    <w:p w:rsidR="00815F18" w:rsidP="00002D27">
      <w:pPr>
        <w:pStyle w:val="BodyText"/>
      </w:pPr>
    </w:p>
    <w:p w:rsidR="00815F18" w:rsidP="00002D27">
      <w:pPr>
        <w:pStyle w:val="BodyText"/>
      </w:pPr>
    </w:p>
    <w:p w:rsidR="00000000" w:rsidRPr="00002D27" w:rsidP="00002D27">
      <w:pPr>
        <w:pStyle w:val="Heading1"/>
      </w:pPr>
      <w:bookmarkStart w:id="4" w:name="O_277773"/>
      <w:bookmarkEnd w:id="4"/>
      <w:r w:rsidRPr="00002D27">
        <w:t>Licensing/Regulatory Information</w:t>
      </w:r>
    </w:p>
    <w:p w:rsidR="00000000" w:rsidRPr="00002D27" w:rsidP="00002D27">
      <w:pPr>
        <w:pStyle w:val="BodyText"/>
      </w:pPr>
      <w:r w:rsidRPr="00002D27">
        <w:t>Not Appl</w:t>
      </w:r>
      <w:r w:rsidRPr="00002D27">
        <w:t>icable</w:t>
      </w:r>
    </w:p>
    <w:p w:rsidR="00000000" w:rsidRPr="00002D27" w:rsidP="00002D27">
      <w:pPr>
        <w:pStyle w:val="AllowPageBreak"/>
      </w:pPr>
    </w:p>
    <w:p w:rsidR="00000000" w:rsidRPr="00002D27" w:rsidP="00002D27">
      <w:pPr>
        <w:pStyle w:val="Heading1"/>
      </w:pPr>
      <w:bookmarkStart w:id="5" w:name="O_197453"/>
      <w:bookmarkEnd w:id="5"/>
      <w:r w:rsidRPr="00002D27">
        <w:t>Pre-Requisites</w:t>
      </w:r>
    </w:p>
    <w:tbl>
      <w:tblPr>
        <w:tblW w:w="0" w:type="auto"/>
        <w:tblLayout w:type="fixed"/>
        <w:tblCellMar>
          <w:left w:w="62" w:type="dxa"/>
          <w:right w:w="62" w:type="dxa"/>
        </w:tblCellMar>
        <w:tblLook w:val="0000"/>
      </w:tblPr>
      <w:tblGrid>
        <w:gridCol w:w="2623"/>
        <w:gridCol w:w="5899"/>
      </w:tblGrid>
      <w:tr w:rsidTr="00815F18">
        <w:tblPrEx>
          <w:tblW w:w="0" w:type="auto"/>
          <w:tblLayout w:type="fixed"/>
          <w:tblCellMar>
            <w:left w:w="62" w:type="dxa"/>
            <w:right w:w="62" w:type="dxa"/>
          </w:tblCellMar>
          <w:tblLook w:val="0000"/>
        </w:tblPrEx>
        <w:trPr>
          <w:tblHeader/>
        </w:trPr>
        <w:tc>
          <w:tcPr>
            <w:tcW w:w="2623"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SpecialBold"/>
              </w:rPr>
              <w:t>Prerequisite units</w:t>
            </w:r>
          </w:p>
        </w:tc>
        <w:tc>
          <w:tcPr>
            <w:tcW w:w="5899" w:type="dxa"/>
            <w:tcBorders>
              <w:top w:val="nil"/>
              <w:left w:val="nil"/>
              <w:bottom w:val="nil"/>
              <w:right w:val="nil"/>
            </w:tcBorders>
            <w:tcMar>
              <w:top w:w="0" w:type="dxa"/>
              <w:left w:w="62" w:type="dxa"/>
              <w:bottom w:w="0" w:type="dxa"/>
              <w:right w:w="62" w:type="dxa"/>
            </w:tcMar>
          </w:tcPr>
          <w:p w:rsidR="00000000" w:rsidRPr="00002D27" w:rsidP="00002D27">
            <w:pPr>
              <w:pStyle w:val="BodyText"/>
            </w:pPr>
            <w:r w:rsidRPr="00002D27">
              <w:t>CPCCOHS2001A Apply OHS requirements, policies and procedures in the construction industry</w:t>
            </w:r>
          </w:p>
        </w:tc>
      </w:tr>
    </w:tbl>
    <w:p w:rsidR="00815F18" w:rsidP="00002D27">
      <w:pPr>
        <w:pStyle w:val="BodyText"/>
      </w:pPr>
    </w:p>
    <w:p w:rsidR="00815F18" w:rsidP="00002D27">
      <w:pPr>
        <w:pStyle w:val="BodyText"/>
      </w:pPr>
    </w:p>
    <w:p w:rsidR="00000000" w:rsidRPr="00002D27" w:rsidP="00002D27">
      <w:pPr>
        <w:pStyle w:val="Heading1"/>
      </w:pPr>
      <w:bookmarkStart w:id="6" w:name="O_197452"/>
      <w:bookmarkEnd w:id="6"/>
      <w:r w:rsidRPr="00002D27">
        <w:t>Employability Skills Information</w:t>
      </w:r>
    </w:p>
    <w:tbl>
      <w:tblPr>
        <w:tblW w:w="0" w:type="auto"/>
        <w:tblLayout w:type="fixed"/>
        <w:tblCellMar>
          <w:left w:w="62" w:type="dxa"/>
          <w:right w:w="62" w:type="dxa"/>
        </w:tblCellMar>
        <w:tblLook w:val="0000"/>
      </w:tblPr>
      <w:tblGrid>
        <w:gridCol w:w="2661"/>
        <w:gridCol w:w="5861"/>
      </w:tblGrid>
      <w:tr w:rsidTr="00815F18">
        <w:tblPrEx>
          <w:tblW w:w="0" w:type="auto"/>
          <w:tblLayout w:type="fixed"/>
          <w:tblCellMar>
            <w:left w:w="62" w:type="dxa"/>
            <w:right w:w="62" w:type="dxa"/>
          </w:tblCellMar>
          <w:tblLook w:val="0000"/>
        </w:tblPrEx>
        <w:trPr>
          <w:tblHeader/>
        </w:trPr>
        <w:tc>
          <w:tcPr>
            <w:tcW w:w="2661"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SpecialBold"/>
              </w:rPr>
              <w:t>Employability skills</w:t>
            </w:r>
          </w:p>
        </w:tc>
        <w:tc>
          <w:tcPr>
            <w:tcW w:w="5861" w:type="dxa"/>
            <w:tcBorders>
              <w:top w:val="nil"/>
              <w:left w:val="nil"/>
              <w:bottom w:val="nil"/>
              <w:right w:val="nil"/>
            </w:tcBorders>
            <w:tcMar>
              <w:top w:w="0" w:type="dxa"/>
              <w:left w:w="62" w:type="dxa"/>
              <w:bottom w:w="0" w:type="dxa"/>
              <w:right w:w="62" w:type="dxa"/>
            </w:tcMar>
          </w:tcPr>
          <w:p w:rsidR="00000000" w:rsidRPr="00002D27" w:rsidP="00002D27">
            <w:pPr>
              <w:pStyle w:val="BodyText"/>
            </w:pPr>
            <w:r w:rsidRPr="00002D27">
              <w:t>This unit contains employability skills.</w:t>
            </w:r>
          </w:p>
        </w:tc>
      </w:tr>
    </w:tbl>
    <w:p w:rsidR="00815F18" w:rsidP="00002D27">
      <w:pPr>
        <w:pStyle w:val="BodyText"/>
      </w:pPr>
    </w:p>
    <w:p w:rsidR="00815F18" w:rsidP="00002D27">
      <w:pPr>
        <w:pStyle w:val="BodyText"/>
      </w:pPr>
    </w:p>
    <w:p w:rsidR="00000000" w:rsidRPr="00002D27" w:rsidP="00002D27">
      <w:pPr>
        <w:pStyle w:val="Heading1"/>
      </w:pPr>
      <w:bookmarkStart w:id="7" w:name="O_287559"/>
      <w:bookmarkEnd w:id="7"/>
      <w:r w:rsidRPr="00002D27">
        <w:t>Elements and Performance Criteria Pre-Content</w:t>
      </w:r>
    </w:p>
    <w:tbl>
      <w:tblPr>
        <w:tblW w:w="0" w:type="auto"/>
        <w:tblLayout w:type="fixed"/>
        <w:tblCellMar>
          <w:left w:w="62" w:type="dxa"/>
          <w:right w:w="62" w:type="dxa"/>
        </w:tblCellMar>
        <w:tblLook w:val="0000"/>
      </w:tblPr>
      <w:tblGrid>
        <w:gridCol w:w="2569"/>
        <w:gridCol w:w="5953"/>
      </w:tblGrid>
      <w:tr w:rsidTr="00815F18">
        <w:tblPrEx>
          <w:tblW w:w="0" w:type="auto"/>
          <w:tblLayout w:type="fixed"/>
          <w:tblCellMar>
            <w:left w:w="62" w:type="dxa"/>
            <w:right w:w="62" w:type="dxa"/>
          </w:tblCellMar>
          <w:tblLook w:val="0000"/>
        </w:tblPrEx>
        <w:tc>
          <w:tcPr>
            <w:tcW w:w="2569" w:type="dxa"/>
            <w:tcBorders>
              <w:top w:val="single" w:sz="6" w:space="0" w:color="auto"/>
              <w:left w:val="nil"/>
              <w:bottom w:val="nil"/>
              <w:right w:val="nil"/>
            </w:tcBorders>
            <w:tcMar>
              <w:top w:w="0" w:type="dxa"/>
              <w:left w:w="62" w:type="dxa"/>
              <w:bottom w:w="0" w:type="dxa"/>
              <w:right w:w="62" w:type="dxa"/>
            </w:tcMar>
          </w:tcPr>
          <w:p w:rsidR="00000000" w:rsidP="00002D27">
            <w:pPr>
              <w:pStyle w:val="BodyText"/>
              <w:rPr>
                <w:lang w:val="en-NZ"/>
              </w:rPr>
            </w:pPr>
            <w:r w:rsidRPr="00002D27">
              <w:t>Elements describe the essential outcomes of a unit of competency.</w:t>
            </w:r>
          </w:p>
        </w:tc>
        <w:tc>
          <w:tcPr>
            <w:tcW w:w="5953" w:type="dxa"/>
            <w:tcBorders>
              <w:top w:val="single" w:sz="6" w:space="0" w:color="auto"/>
              <w:left w:val="nil"/>
              <w:bottom w:val="nil"/>
              <w:right w:val="nil"/>
            </w:tcBorders>
            <w:tcMar>
              <w:top w:w="0" w:type="dxa"/>
              <w:left w:w="62" w:type="dxa"/>
              <w:bottom w:w="0" w:type="dxa"/>
              <w:right w:w="62" w:type="dxa"/>
            </w:tcMar>
          </w:tcPr>
          <w:p w:rsidR="00000000" w:rsidRPr="00002D27" w:rsidP="00002D27">
            <w:pPr>
              <w:pStyle w:val="BodyText"/>
            </w:pPr>
            <w:r w:rsidRPr="00002D27">
              <w:t xml:space="preserve">Performance criteria describe the performance needed to demonstrate achievement of </w:t>
            </w:r>
            <w:r w:rsidRPr="00002D27">
              <w:t>the element. Where bold italicised text is used, further information is detailed in the required skills and knowledge section and the range statement. Assessment of performance is to be consistent with the evidence guide.</w:t>
            </w:r>
          </w:p>
        </w:tc>
      </w:tr>
    </w:tbl>
    <w:p w:rsidR="00000000" w:rsidRPr="00002D27" w:rsidP="00002D27">
      <w:pPr>
        <w:pStyle w:val="BodyText"/>
      </w:pPr>
    </w:p>
    <w:p w:rsidR="00000000" w:rsidRPr="00002D27" w:rsidP="00002D27">
      <w:pPr>
        <w:pStyle w:val="AllowPageBreak"/>
      </w:pPr>
    </w:p>
    <w:p w:rsidR="00000000" w:rsidRPr="00002D27" w:rsidP="00002D27">
      <w:pPr>
        <w:pStyle w:val="Heading1"/>
      </w:pPr>
      <w:bookmarkStart w:id="8" w:name="O_234226"/>
      <w:bookmarkEnd w:id="8"/>
      <w:r w:rsidRPr="00002D27">
        <w:t>Elements and Performance Criteria</w:t>
      </w:r>
    </w:p>
    <w:tbl>
      <w:tblPr>
        <w:tblW w:w="0" w:type="auto"/>
        <w:tblLayout w:type="fixed"/>
        <w:tblCellMar>
          <w:left w:w="62" w:type="dxa"/>
          <w:right w:w="62" w:type="dxa"/>
        </w:tblCellMar>
        <w:tblLook w:val="0000"/>
      </w:tblPr>
      <w:tblGrid>
        <w:gridCol w:w="2569"/>
        <w:gridCol w:w="5953"/>
      </w:tblGrid>
      <w:tr w:rsidTr="00815F18">
        <w:tblPrEx>
          <w:tblW w:w="0" w:type="auto"/>
          <w:tblLayout w:type="fixed"/>
          <w:tblCellMar>
            <w:left w:w="62" w:type="dxa"/>
            <w:right w:w="62" w:type="dxa"/>
          </w:tblCellMar>
          <w:tblLook w:val="0000"/>
        </w:tblPrEx>
        <w:trPr>
          <w:tblHeader/>
        </w:trPr>
        <w:tc>
          <w:tcPr>
            <w:tcW w:w="2569" w:type="dxa"/>
            <w:tcBorders>
              <w:top w:val="nil"/>
              <w:left w:val="nil"/>
              <w:bottom w:val="single" w:sz="6" w:space="0" w:color="auto"/>
              <w:right w:val="nil"/>
            </w:tcBorders>
            <w:tcMar>
              <w:top w:w="0" w:type="dxa"/>
              <w:left w:w="62" w:type="dxa"/>
              <w:bottom w:w="0" w:type="dxa"/>
              <w:right w:w="62" w:type="dxa"/>
            </w:tcMar>
          </w:tcPr>
          <w:p w:rsidR="00000000" w:rsidRPr="00002D27" w:rsidP="00002D27">
            <w:pPr>
              <w:pStyle w:val="BodyText"/>
            </w:pPr>
            <w:r w:rsidRPr="00002D27">
              <w:rPr>
                <w:rStyle w:val="SpecialBold"/>
              </w:rPr>
              <w:t>ELEMENT</w:t>
            </w:r>
          </w:p>
        </w:tc>
        <w:tc>
          <w:tcPr>
            <w:tcW w:w="5953" w:type="dxa"/>
            <w:tcBorders>
              <w:top w:val="nil"/>
              <w:left w:val="nil"/>
              <w:bottom w:val="single" w:sz="6" w:space="0" w:color="auto"/>
              <w:right w:val="nil"/>
            </w:tcBorders>
            <w:tcMar>
              <w:top w:w="0" w:type="dxa"/>
              <w:left w:w="62" w:type="dxa"/>
              <w:bottom w:w="0" w:type="dxa"/>
              <w:right w:w="62" w:type="dxa"/>
            </w:tcMar>
          </w:tcPr>
          <w:p w:rsidR="00000000" w:rsidP="00002D27">
            <w:pPr>
              <w:pStyle w:val="BodyText"/>
              <w:rPr>
                <w:lang w:val="en-NZ"/>
              </w:rPr>
            </w:pPr>
            <w:r w:rsidRPr="00002D27">
              <w:rPr>
                <w:rStyle w:val="SpecialBold"/>
              </w:rPr>
              <w:t>PERFORMANCE CRITERIA</w:t>
            </w:r>
          </w:p>
        </w:tc>
      </w:tr>
      <w:tr w:rsidTr="00815F18">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02D27">
            <w:pPr>
              <w:pStyle w:val="List"/>
              <w:rPr>
                <w:lang w:val="en-NZ"/>
              </w:rPr>
            </w:pPr>
            <w:r w:rsidRPr="00002D27">
              <w:t>1.</w:t>
            </w:r>
            <w:r w:rsidRPr="00002D27">
              <w:tab/>
              <w:t>Plan and prepare.</w:t>
            </w:r>
          </w:p>
        </w:tc>
        <w:tc>
          <w:tcPr>
            <w:tcW w:w="5953" w:type="dxa"/>
            <w:tcBorders>
              <w:top w:val="nil"/>
              <w:left w:val="nil"/>
              <w:bottom w:val="nil"/>
              <w:right w:val="nil"/>
            </w:tcBorders>
            <w:tcMar>
              <w:top w:w="0" w:type="dxa"/>
              <w:left w:w="62" w:type="dxa"/>
              <w:bottom w:w="0" w:type="dxa"/>
              <w:right w:w="62" w:type="dxa"/>
            </w:tcMar>
          </w:tcPr>
          <w:p w:rsidR="00000000" w:rsidRPr="00002D27" w:rsidP="00002D27">
            <w:pPr>
              <w:pStyle w:val="List2"/>
            </w:pPr>
            <w:r w:rsidRPr="00002D27">
              <w:t>1.1.</w:t>
            </w:r>
            <w:r w:rsidRPr="00002D27">
              <w:tab/>
              <w:t xml:space="preserve">Work instructions, including plans, specifications, quality requirements and operational details, are obtained, confirmed and applied from relevant </w:t>
            </w:r>
            <w:r w:rsidRPr="00002D27">
              <w:rPr>
                <w:rStyle w:val="BoldandItalics"/>
              </w:rPr>
              <w:t>information</w:t>
            </w:r>
            <w:r w:rsidRPr="00002D27">
              <w:t xml:space="preserve"> for </w:t>
            </w:r>
            <w:r w:rsidRPr="00002D27">
              <w:rPr>
                <w:rStyle w:val="BoldandItalics"/>
              </w:rPr>
              <w:t>pl</w:t>
            </w:r>
            <w:r w:rsidRPr="00002D27">
              <w:rPr>
                <w:rStyle w:val="BoldandItalics"/>
              </w:rPr>
              <w:t>anning and preparation</w:t>
            </w:r>
            <w:r w:rsidRPr="00002D27">
              <w:t xml:space="preserve"> purposes. </w:t>
            </w:r>
          </w:p>
          <w:p w:rsidR="00000000" w:rsidRPr="00002D27" w:rsidP="00002D27">
            <w:pPr>
              <w:pStyle w:val="List2"/>
            </w:pPr>
            <w:r w:rsidRPr="00002D27">
              <w:t>1.2.</w:t>
            </w:r>
            <w:r w:rsidRPr="00002D27">
              <w:tab/>
            </w:r>
            <w:r w:rsidRPr="00002D27">
              <w:rPr>
                <w:rStyle w:val="BoldandItalics"/>
              </w:rPr>
              <w:t>Safety</w:t>
            </w:r>
            <w:r w:rsidRPr="00002D27">
              <w:t xml:space="preserve"> (</w:t>
            </w:r>
            <w:r w:rsidRPr="00002D27">
              <w:rPr>
                <w:rStyle w:val="BoldandItalics"/>
              </w:rPr>
              <w:t>OHS</w:t>
            </w:r>
            <w:r w:rsidRPr="00002D27">
              <w:t xml:space="preserve">) requirements are followed in accordance with safety plans and policies. </w:t>
            </w:r>
          </w:p>
          <w:p w:rsidR="00000000" w:rsidRPr="00002D27" w:rsidP="00002D27">
            <w:pPr>
              <w:pStyle w:val="List2"/>
            </w:pPr>
            <w:r w:rsidRPr="00002D27">
              <w:t>1.3.</w:t>
            </w:r>
            <w:r w:rsidRPr="00002D27">
              <w:tab/>
              <w:t>Signage and barricade requirements are identified and implemented.</w:t>
            </w:r>
          </w:p>
          <w:p w:rsidR="00000000" w:rsidRPr="00002D27" w:rsidP="00002D27">
            <w:pPr>
              <w:pStyle w:val="List2"/>
            </w:pPr>
            <w:r w:rsidRPr="00002D27">
              <w:t>1.4.</w:t>
            </w:r>
            <w:r w:rsidRPr="00002D27">
              <w:tab/>
              <w:t xml:space="preserve">Plant, </w:t>
            </w:r>
            <w:r w:rsidRPr="00002D27">
              <w:rPr>
                <w:rStyle w:val="BoldandItalics"/>
              </w:rPr>
              <w:t>tools and equipment</w:t>
            </w:r>
            <w:r w:rsidRPr="00002D27">
              <w:t xml:space="preserve"> selected to carry out tasks are consistent with job requirements, checked for serviceability, and any faults are rectified or reported prior to commencement. </w:t>
            </w:r>
          </w:p>
          <w:p w:rsidR="00000000" w:rsidRPr="00002D27" w:rsidP="00002D27">
            <w:pPr>
              <w:pStyle w:val="List2"/>
            </w:pPr>
            <w:r w:rsidRPr="00002D27">
              <w:t>1.5.</w:t>
            </w:r>
            <w:r w:rsidRPr="00002D27">
              <w:tab/>
              <w:t xml:space="preserve">Material quantity requirements are calculated in accordance with plans, specifications and </w:t>
            </w:r>
            <w:r w:rsidRPr="00002D27">
              <w:rPr>
                <w:rStyle w:val="BoldandItalics"/>
              </w:rPr>
              <w:t>quality requirements</w:t>
            </w:r>
            <w:r w:rsidRPr="00002D27">
              <w:t xml:space="preserve">. </w:t>
            </w:r>
          </w:p>
          <w:p w:rsidR="00000000" w:rsidRPr="00002D27" w:rsidP="00002D27">
            <w:pPr>
              <w:pStyle w:val="List2"/>
            </w:pPr>
            <w:r w:rsidRPr="00002D27">
              <w:t>1.6.</w:t>
            </w:r>
            <w:r w:rsidRPr="00002D27">
              <w:tab/>
            </w:r>
            <w:r w:rsidRPr="00002D27">
              <w:rPr>
                <w:rStyle w:val="BoldandItalics"/>
              </w:rPr>
              <w:t>Materials</w:t>
            </w:r>
            <w:r w:rsidRPr="00002D27">
              <w:t xml:space="preserve"> appropriate to the work application are identified, obtained, prepared, safely handled and located ready for use. </w:t>
            </w:r>
          </w:p>
          <w:p w:rsidR="00000000" w:rsidP="00002D27">
            <w:pPr>
              <w:pStyle w:val="List2"/>
              <w:rPr>
                <w:lang w:val="en-NZ"/>
              </w:rPr>
            </w:pPr>
            <w:r w:rsidRPr="00002D27">
              <w:t>1.7.</w:t>
            </w:r>
            <w:r w:rsidRPr="00002D27">
              <w:tab/>
            </w:r>
            <w:r w:rsidRPr="00002D27">
              <w:rPr>
                <w:rStyle w:val="BoldandItalics"/>
              </w:rPr>
              <w:t>Environmental requirements</w:t>
            </w:r>
            <w:r w:rsidRPr="00002D27">
              <w:t xml:space="preserve"> are identified for the project in accordance with environmental plans a</w:t>
            </w:r>
            <w:r w:rsidRPr="00002D27">
              <w:t xml:space="preserve">nd </w:t>
            </w:r>
            <w:r w:rsidRPr="00002D27">
              <w:rPr>
                <w:rStyle w:val="BoldandItalics"/>
              </w:rPr>
              <w:t>statutory and regulatory authority</w:t>
            </w:r>
            <w:r w:rsidRPr="00002D27">
              <w:t xml:space="preserve"> obligations, and are applied. </w:t>
            </w:r>
          </w:p>
        </w:tc>
      </w:tr>
      <w:tr w:rsidTr="00815F18">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02D27">
            <w:pPr>
              <w:pStyle w:val="List"/>
              <w:rPr>
                <w:lang w:val="en-NZ"/>
              </w:rPr>
            </w:pPr>
            <w:r w:rsidRPr="00002D27">
              <w:t>2.</w:t>
            </w:r>
            <w:r w:rsidRPr="00002D27">
              <w:tab/>
              <w:t>Construct bulkheads.</w:t>
            </w:r>
          </w:p>
        </w:tc>
        <w:tc>
          <w:tcPr>
            <w:tcW w:w="5953" w:type="dxa"/>
            <w:tcBorders>
              <w:top w:val="nil"/>
              <w:left w:val="nil"/>
              <w:bottom w:val="nil"/>
              <w:right w:val="nil"/>
            </w:tcBorders>
            <w:tcMar>
              <w:top w:w="0" w:type="dxa"/>
              <w:left w:w="62" w:type="dxa"/>
              <w:bottom w:w="0" w:type="dxa"/>
              <w:right w:w="62" w:type="dxa"/>
            </w:tcMar>
          </w:tcPr>
          <w:p w:rsidR="00000000" w:rsidRPr="00002D27" w:rsidP="00002D27">
            <w:pPr>
              <w:pStyle w:val="List2"/>
            </w:pPr>
            <w:r w:rsidRPr="00002D27">
              <w:t>2.1.</w:t>
            </w:r>
            <w:r w:rsidRPr="00002D27">
              <w:tab/>
            </w:r>
            <w:r w:rsidRPr="00002D27">
              <w:rPr>
                <w:rStyle w:val="BoldandItalics"/>
              </w:rPr>
              <w:t>Bulkhead</w:t>
            </w:r>
            <w:r w:rsidRPr="00002D27">
              <w:t xml:space="preserve"> is set out to plans and specifications. </w:t>
            </w:r>
          </w:p>
          <w:p w:rsidR="00000000" w:rsidRPr="00002D27" w:rsidP="00002D27">
            <w:pPr>
              <w:pStyle w:val="List2"/>
            </w:pPr>
            <w:r w:rsidRPr="00002D27">
              <w:t>2.2.</w:t>
            </w:r>
            <w:r w:rsidRPr="00002D27">
              <w:tab/>
              <w:t>Materials are selected in accordance with plans and specifications.</w:t>
            </w:r>
          </w:p>
          <w:p w:rsidR="00000000" w:rsidRPr="00002D27" w:rsidP="00002D27">
            <w:pPr>
              <w:pStyle w:val="List2"/>
            </w:pPr>
            <w:r w:rsidRPr="00002D27">
              <w:t>2.3.</w:t>
            </w:r>
            <w:r w:rsidRPr="00002D27">
              <w:tab/>
              <w:t xml:space="preserve">Bulkhead trimmers and plates </w:t>
            </w:r>
            <w:r w:rsidRPr="00002D27">
              <w:t>are cut in accordance with set out and job requirements.</w:t>
            </w:r>
          </w:p>
          <w:p w:rsidR="00000000" w:rsidRPr="00002D27" w:rsidP="00002D27">
            <w:pPr>
              <w:pStyle w:val="List2"/>
            </w:pPr>
            <w:r w:rsidRPr="00002D27">
              <w:t>2.4.</w:t>
            </w:r>
            <w:r w:rsidRPr="00002D27">
              <w:tab/>
              <w:t>Fasteners are selected ensuring that the method employed is capable of carrying the load of the finished product.</w:t>
            </w:r>
          </w:p>
          <w:p w:rsidR="00000000" w:rsidP="00002D27">
            <w:pPr>
              <w:pStyle w:val="List2"/>
              <w:rPr>
                <w:lang w:val="en-NZ"/>
              </w:rPr>
            </w:pPr>
            <w:r w:rsidRPr="00002D27">
              <w:t>2.5.</w:t>
            </w:r>
            <w:r w:rsidRPr="00002D27">
              <w:tab/>
              <w:t>Bulkhead is assembled and fixed in position to application and requirements</w:t>
            </w:r>
            <w:r w:rsidRPr="00002D27">
              <w:t xml:space="preserve"> for line, level and plumb in construction projects in accordance with job specifications.</w:t>
            </w:r>
          </w:p>
        </w:tc>
      </w:tr>
      <w:tr w:rsidTr="00815F18">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02D27">
            <w:pPr>
              <w:pStyle w:val="List"/>
              <w:rPr>
                <w:lang w:val="en-NZ"/>
              </w:rPr>
            </w:pPr>
            <w:r w:rsidRPr="00002D27">
              <w:t>3.</w:t>
            </w:r>
            <w:r w:rsidRPr="00002D27">
              <w:tab/>
              <w:t>Clean up.</w:t>
            </w:r>
          </w:p>
        </w:tc>
        <w:tc>
          <w:tcPr>
            <w:tcW w:w="5953" w:type="dxa"/>
            <w:tcBorders>
              <w:top w:val="nil"/>
              <w:left w:val="nil"/>
              <w:bottom w:val="nil"/>
              <w:right w:val="nil"/>
            </w:tcBorders>
            <w:tcMar>
              <w:top w:w="0" w:type="dxa"/>
              <w:left w:w="62" w:type="dxa"/>
              <w:bottom w:w="0" w:type="dxa"/>
              <w:right w:w="62" w:type="dxa"/>
            </w:tcMar>
          </w:tcPr>
          <w:p w:rsidR="00000000" w:rsidRPr="00002D27" w:rsidP="00002D27">
            <w:pPr>
              <w:pStyle w:val="List2"/>
            </w:pPr>
            <w:r w:rsidRPr="00002D27">
              <w:t>3.1.</w:t>
            </w:r>
            <w:r w:rsidRPr="00002D27">
              <w:tab/>
              <w:t>Work area is cleared and materials disposed of, reused or recycled in accordance with legislation, regulations, codes of practice and job specific</w:t>
            </w:r>
            <w:r w:rsidRPr="00002D27">
              <w:t>ation.</w:t>
            </w:r>
          </w:p>
          <w:p w:rsidR="00000000" w:rsidRPr="00002D27" w:rsidP="00002D27">
            <w:pPr>
              <w:pStyle w:val="List2"/>
            </w:pPr>
            <w:r w:rsidRPr="00002D27">
              <w:t>3.2.</w:t>
            </w:r>
            <w:r w:rsidRPr="00002D27">
              <w:tab/>
              <w:t>Plant, tools and equipment are cleaned, checked, maintained and stored in accordance with manufacturer recommendations and standard work practices.</w:t>
            </w:r>
          </w:p>
        </w:tc>
      </w:tr>
    </w:tbl>
    <w:p w:rsidR="00815F18" w:rsidP="00002D27">
      <w:pPr>
        <w:pStyle w:val="BodyText"/>
      </w:pPr>
    </w:p>
    <w:p w:rsidR="00815F18" w:rsidP="00002D27">
      <w:pPr>
        <w:pStyle w:val="BodyText"/>
      </w:pPr>
    </w:p>
    <w:p w:rsidR="00000000" w:rsidRPr="00002D27" w:rsidP="00002D27">
      <w:pPr>
        <w:pStyle w:val="Heading1"/>
      </w:pPr>
      <w:bookmarkStart w:id="9" w:name="O_258176"/>
      <w:bookmarkEnd w:id="9"/>
      <w:r w:rsidRPr="00002D27">
        <w:t>Required Skills and Knowledge</w:t>
      </w:r>
    </w:p>
    <w:tbl>
      <w:tblPr>
        <w:tblW w:w="0" w:type="auto"/>
        <w:tblLayout w:type="fixed"/>
        <w:tblCellMar>
          <w:left w:w="62" w:type="dxa"/>
          <w:right w:w="62" w:type="dxa"/>
        </w:tblCellMar>
        <w:tblLook w:val="0000"/>
      </w:tblPr>
      <w:tblGrid>
        <w:gridCol w:w="8522"/>
      </w:tblGrid>
      <w:tr w:rsidTr="00815F1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SpecialBold"/>
              </w:rPr>
              <w:t>REQUIRED SKILLS AND KNOWLEDGE</w:t>
            </w:r>
          </w:p>
        </w:tc>
      </w:tr>
      <w:tr w:rsidTr="00815F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t>This section describes the skills and knowledge required for this unit.</w:t>
            </w:r>
          </w:p>
        </w:tc>
      </w:tr>
      <w:tr w:rsidTr="00815F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SpecialBold"/>
              </w:rPr>
              <w:t>Required skills</w:t>
            </w:r>
          </w:p>
        </w:tc>
      </w:tr>
      <w:tr w:rsidTr="00815F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02D27" w:rsidP="00002D27">
            <w:pPr>
              <w:pStyle w:val="BodyText"/>
            </w:pPr>
            <w:r w:rsidRPr="00002D27">
              <w:t>Required skills for this unit are:</w:t>
            </w:r>
          </w:p>
          <w:p w:rsidR="00000000" w:rsidRPr="00002D27" w:rsidP="00002D27">
            <w:pPr>
              <w:pStyle w:val="ListBullet"/>
            </w:pPr>
            <w:r w:rsidRPr="00002D27">
              <w:t>communication skills to:</w:t>
            </w:r>
          </w:p>
          <w:p w:rsidR="00000000" w:rsidRPr="00002D27" w:rsidP="00002D27">
            <w:pPr>
              <w:pStyle w:val="ListBullet2"/>
            </w:pPr>
            <w:r w:rsidRPr="00002D27">
              <w:t>determine requirements</w:t>
            </w:r>
          </w:p>
          <w:p w:rsidR="00000000" w:rsidRPr="00002D27" w:rsidP="00002D27">
            <w:pPr>
              <w:pStyle w:val="ListBullet2"/>
            </w:pPr>
            <w:r w:rsidRPr="00002D27">
              <w:t>enable clear and direct communication, using questioning to identify and confirm requirements, share information, listen and understand</w:t>
            </w:r>
          </w:p>
          <w:p w:rsidR="00000000" w:rsidRPr="00002D27" w:rsidP="00002D27">
            <w:pPr>
              <w:pStyle w:val="ListBullet2"/>
            </w:pPr>
            <w:r w:rsidRPr="00002D27">
              <w:t>follow instructions</w:t>
            </w:r>
          </w:p>
          <w:p w:rsidR="00000000" w:rsidRPr="00002D27" w:rsidP="00002D27">
            <w:pPr>
              <w:pStyle w:val="ListBullet2"/>
            </w:pPr>
            <w:r w:rsidRPr="00002D27">
              <w:t>read and interpret:</w:t>
            </w:r>
          </w:p>
          <w:p w:rsidR="00000000" w:rsidRPr="00002D27" w:rsidP="00002D27">
            <w:pPr>
              <w:pStyle w:val="ListBullet3"/>
            </w:pPr>
            <w:r w:rsidRPr="00002D27">
              <w:t>documentation from a variety of sources</w:t>
            </w:r>
          </w:p>
          <w:p w:rsidR="00000000" w:rsidRPr="00002D27" w:rsidP="00002D27">
            <w:pPr>
              <w:pStyle w:val="ListBullet3"/>
            </w:pPr>
            <w:r w:rsidRPr="00002D27">
              <w:t>plans, specifications and drawings</w:t>
            </w:r>
          </w:p>
          <w:p w:rsidR="00000000" w:rsidRPr="00002D27" w:rsidP="00002D27">
            <w:pPr>
              <w:pStyle w:val="ListBullet2"/>
            </w:pPr>
            <w:r w:rsidRPr="00002D27">
              <w:t>report faults</w:t>
            </w:r>
          </w:p>
          <w:p w:rsidR="00000000" w:rsidRPr="00002D27" w:rsidP="00002D27">
            <w:pPr>
              <w:pStyle w:val="ListBullet2"/>
            </w:pPr>
            <w:r w:rsidRPr="00002D27">
              <w:t>use language and concepts appropriate to cultural differences</w:t>
            </w:r>
          </w:p>
          <w:p w:rsidR="00000000" w:rsidRPr="00002D27" w:rsidP="00002D27">
            <w:pPr>
              <w:pStyle w:val="ListBullet2"/>
            </w:pPr>
            <w:r w:rsidRPr="00002D27">
              <w:t>use and interpret non-verbal communication, such as hand signals</w:t>
            </w:r>
          </w:p>
          <w:p w:rsidR="00000000" w:rsidRPr="00002D27" w:rsidP="00002D27">
            <w:pPr>
              <w:pStyle w:val="ListBullet"/>
            </w:pPr>
            <w:r w:rsidRPr="00002D27">
              <w:t>numeracy skills to apply measurements and make calculations</w:t>
            </w:r>
          </w:p>
          <w:p w:rsidR="00000000" w:rsidRPr="00002D27" w:rsidP="00002D27">
            <w:pPr>
              <w:pStyle w:val="ListBullet"/>
            </w:pPr>
            <w:r w:rsidRPr="00002D27">
              <w:t>organisational skills, including the ability to plan and set out work</w:t>
            </w:r>
          </w:p>
          <w:p w:rsidR="00000000" w:rsidRPr="00002D27" w:rsidP="00002D27">
            <w:pPr>
              <w:pStyle w:val="ListBullet"/>
            </w:pPr>
            <w:r w:rsidRPr="00002D27">
              <w:t>teamwork skills to work with others to action tasks and relate to people from a range of cultural and ethnic backgrounds and with varying physical and mental abilities</w:t>
            </w:r>
          </w:p>
          <w:p w:rsidR="00000000" w:rsidRPr="00002D27" w:rsidP="00002D27">
            <w:pPr>
              <w:pStyle w:val="ListBullet"/>
            </w:pPr>
            <w:r w:rsidRPr="00002D27">
              <w:t>technological skil</w:t>
            </w:r>
            <w:r w:rsidRPr="00002D27">
              <w:t>ls to:</w:t>
            </w:r>
          </w:p>
          <w:p w:rsidR="00000000" w:rsidRPr="00002D27" w:rsidP="00002D27">
            <w:pPr>
              <w:pStyle w:val="ListBullet2"/>
            </w:pPr>
            <w:r w:rsidRPr="00002D27">
              <w:t>use a range of mobile technology, such as two-way radio and mobile phones</w:t>
            </w:r>
          </w:p>
          <w:p w:rsidR="00000000" w:rsidP="00002D27">
            <w:pPr>
              <w:pStyle w:val="ListBullet2"/>
              <w:rPr>
                <w:lang w:val="en-NZ"/>
              </w:rPr>
            </w:pPr>
            <w:r w:rsidRPr="00002D27">
              <w:t>voice and hand signals to access and understand site-specific instructions.</w:t>
            </w:r>
          </w:p>
        </w:tc>
      </w:tr>
      <w:tr w:rsidTr="00815F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SpecialBold"/>
              </w:rPr>
              <w:t>Required knowledge</w:t>
            </w:r>
          </w:p>
        </w:tc>
      </w:tr>
      <w:tr w:rsidTr="00815F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02D27" w:rsidP="00002D27">
            <w:pPr>
              <w:pStyle w:val="BodyText"/>
            </w:pPr>
            <w:r w:rsidRPr="00002D27">
              <w:t>Required knowledge for this unit is:</w:t>
            </w:r>
          </w:p>
          <w:p w:rsidR="00000000" w:rsidRPr="00002D27" w:rsidP="00002D27">
            <w:pPr>
              <w:pStyle w:val="ListBullet"/>
            </w:pPr>
            <w:r w:rsidRPr="00002D27">
              <w:t>bulkhead construction techniques</w:t>
            </w:r>
          </w:p>
          <w:p w:rsidR="00000000" w:rsidRPr="00002D27" w:rsidP="00002D27">
            <w:pPr>
              <w:pStyle w:val="ListBullet"/>
            </w:pPr>
            <w:r w:rsidRPr="00002D27">
              <w:t>bulkhead materials</w:t>
            </w:r>
          </w:p>
          <w:p w:rsidR="00000000" w:rsidRPr="00002D27" w:rsidP="00002D27">
            <w:pPr>
              <w:pStyle w:val="ListBullet"/>
            </w:pPr>
            <w:r w:rsidRPr="00002D27">
              <w:t>construction terminology</w:t>
            </w:r>
          </w:p>
          <w:p w:rsidR="00000000" w:rsidRPr="00002D27" w:rsidP="00002D27">
            <w:pPr>
              <w:pStyle w:val="ListBullet"/>
            </w:pPr>
            <w:r w:rsidRPr="00002D27">
              <w:t>curved geometry</w:t>
            </w:r>
          </w:p>
          <w:p w:rsidR="00000000" w:rsidRPr="00002D27" w:rsidP="00002D27">
            <w:pPr>
              <w:pStyle w:val="ListBullet"/>
            </w:pPr>
            <w:r w:rsidRPr="00002D27">
              <w:t>framing techniques</w:t>
            </w:r>
          </w:p>
          <w:p w:rsidR="00000000" w:rsidRPr="00002D27" w:rsidP="00002D27">
            <w:pPr>
              <w:pStyle w:val="ListBullet"/>
            </w:pPr>
            <w:r w:rsidRPr="00002D27">
              <w:t>job safety analysis (JSA) and safe work method statements</w:t>
            </w:r>
          </w:p>
          <w:p w:rsidR="00000000" w:rsidRPr="00002D27" w:rsidP="00002D27">
            <w:pPr>
              <w:pStyle w:val="ListBullet"/>
            </w:pPr>
            <w:r w:rsidRPr="00002D27">
              <w:t>load and anchor capacities for bulkheads</w:t>
            </w:r>
          </w:p>
          <w:p w:rsidR="00000000" w:rsidRPr="00002D27" w:rsidP="00002D27">
            <w:pPr>
              <w:pStyle w:val="ListBullet"/>
            </w:pPr>
            <w:r w:rsidRPr="00002D27">
              <w:t>material safety data sheets (MSDS)</w:t>
            </w:r>
          </w:p>
          <w:p w:rsidR="00000000" w:rsidRPr="00002D27" w:rsidP="00002D27">
            <w:pPr>
              <w:pStyle w:val="ListBullet"/>
            </w:pPr>
            <w:r w:rsidRPr="00002D27">
              <w:t>materials storage and environmentally frien</w:t>
            </w:r>
            <w:r w:rsidRPr="00002D27">
              <w:t>dly waste management</w:t>
            </w:r>
          </w:p>
          <w:p w:rsidR="00000000" w:rsidRPr="00002D27" w:rsidP="00002D27">
            <w:pPr>
              <w:pStyle w:val="ListBullet"/>
            </w:pPr>
            <w:r w:rsidRPr="00002D27">
              <w:t>plans, specifications and drawings</w:t>
            </w:r>
          </w:p>
          <w:p w:rsidR="00000000" w:rsidRPr="00002D27" w:rsidP="00002D27">
            <w:pPr>
              <w:pStyle w:val="ListBullet"/>
            </w:pPr>
            <w:r w:rsidRPr="00002D27">
              <w:t>plant, tools and equipment types, characteristics, uses and limitation</w:t>
            </w:r>
          </w:p>
          <w:p w:rsidR="00000000" w:rsidRPr="00002D27" w:rsidP="00002D27">
            <w:pPr>
              <w:pStyle w:val="ListBullet"/>
            </w:pPr>
            <w:r w:rsidRPr="00002D27">
              <w:t>processes for setting out and measuring</w:t>
            </w:r>
          </w:p>
          <w:p w:rsidR="00000000" w:rsidRPr="00002D27" w:rsidP="00002D27">
            <w:pPr>
              <w:pStyle w:val="ListBullet"/>
            </w:pPr>
            <w:r w:rsidRPr="00002D27">
              <w:t>processes for the calculation of material requirements</w:t>
            </w:r>
          </w:p>
          <w:p w:rsidR="00000000" w:rsidRPr="00002D27" w:rsidP="00002D27">
            <w:pPr>
              <w:pStyle w:val="ListBullet"/>
            </w:pPr>
            <w:r w:rsidRPr="00002D27">
              <w:t>quality requirements for bulkheads</w:t>
            </w:r>
          </w:p>
          <w:p w:rsidR="00000000" w:rsidRPr="00002D27" w:rsidP="00002D27">
            <w:pPr>
              <w:pStyle w:val="ListBullet"/>
            </w:pPr>
            <w:r w:rsidRPr="00002D27">
              <w:t>workplace and equipment safety requirements.</w:t>
            </w:r>
          </w:p>
        </w:tc>
      </w:tr>
    </w:tbl>
    <w:p w:rsidR="00815F18" w:rsidP="00002D27">
      <w:pPr>
        <w:pStyle w:val="BodyText"/>
      </w:pPr>
    </w:p>
    <w:p w:rsidR="00815F18" w:rsidP="00002D27">
      <w:pPr>
        <w:pStyle w:val="BodyText"/>
      </w:pPr>
    </w:p>
    <w:p w:rsidR="00000000" w:rsidRPr="00002D27" w:rsidP="00002D27">
      <w:pPr>
        <w:pStyle w:val="AllowPageBreak"/>
      </w:pPr>
    </w:p>
    <w:p w:rsidR="00000000" w:rsidRPr="00002D27" w:rsidP="00002D27">
      <w:pPr>
        <w:pStyle w:val="Heading1"/>
      </w:pPr>
      <w:bookmarkStart w:id="10" w:name="O_242210"/>
      <w:bookmarkEnd w:id="10"/>
      <w:r w:rsidRPr="00002D27">
        <w:t>Evidence Guide</w:t>
      </w:r>
    </w:p>
    <w:tbl>
      <w:tblPr>
        <w:tblW w:w="0" w:type="auto"/>
        <w:tblLayout w:type="fixed"/>
        <w:tblCellMar>
          <w:left w:w="62" w:type="dxa"/>
          <w:right w:w="62" w:type="dxa"/>
        </w:tblCellMar>
        <w:tblLook w:val="0000"/>
      </w:tblPr>
      <w:tblGrid>
        <w:gridCol w:w="3507"/>
        <w:gridCol w:w="5015"/>
      </w:tblGrid>
      <w:tr w:rsidTr="00815F1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02D27">
            <w:pPr>
              <w:pStyle w:val="BodyText"/>
              <w:rPr>
                <w:lang w:val="en-NZ"/>
              </w:rPr>
            </w:pPr>
            <w:r w:rsidRPr="00002D27">
              <w:rPr>
                <w:rStyle w:val="SpecialBold"/>
              </w:rPr>
              <w:t>EVIDENCE GUIDE</w:t>
            </w:r>
          </w:p>
        </w:tc>
      </w:tr>
      <w:tr w:rsidTr="00815F1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02D27">
            <w:pPr>
              <w:pStyle w:val="BodyText"/>
              <w:rPr>
                <w:lang w:val="en-NZ"/>
              </w:rPr>
            </w:pPr>
            <w:r w:rsidRPr="00002D27">
              <w:t>The evidence guide provides advice on assessment and must be read in conjunction with the performance criteria, required skills and knowledge</w:t>
            </w:r>
            <w:r w:rsidRPr="00002D27">
              <w:t>, range statement and the Assessment Guidelines for the Training Package.</w:t>
            </w:r>
          </w:p>
        </w:tc>
      </w:tr>
      <w:tr w:rsidTr="00815F1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t xml:space="preserve">This unit of competency could be assessed in the workplace or a close simulation of the workplace environment, provided that simulated or project-based </w:t>
            </w:r>
            <w:r w:rsidRPr="00002D27">
              <w:t xml:space="preserve">assessment techniques fully replicate construction workplace conditions, materials, activities, responsibilities and procedures. </w:t>
            </w:r>
          </w:p>
        </w:tc>
      </w:tr>
      <w:tr w:rsidTr="00815F1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002D27" w:rsidP="00002D27">
            <w:pPr>
              <w:pStyle w:val="BodyText"/>
            </w:pPr>
            <w:r w:rsidRPr="00002D27">
              <w:t>A person who demonstrates competency in this unit must be able to provide evidence of the ability to:</w:t>
            </w:r>
          </w:p>
          <w:p w:rsidR="00000000" w:rsidRPr="00002D27" w:rsidP="00002D27">
            <w:pPr>
              <w:pStyle w:val="ListBullet"/>
            </w:pPr>
            <w:r w:rsidRPr="00002D27">
              <w:t>locate, interpret and apply relevant information, standards and specifications</w:t>
            </w:r>
          </w:p>
          <w:p w:rsidR="00000000" w:rsidRPr="00002D27" w:rsidP="00002D27">
            <w:pPr>
              <w:pStyle w:val="ListBullet"/>
            </w:pPr>
            <w:r w:rsidRPr="00002D27">
              <w:t>comply with site safety plan, OHS regulations and state and territory legi</w:t>
            </w:r>
            <w:r w:rsidRPr="00002D27">
              <w:t>slation applicable to workplace operations</w:t>
            </w:r>
          </w:p>
          <w:p w:rsidR="00000000" w:rsidRPr="00002D27" w:rsidP="00002D27">
            <w:pPr>
              <w:pStyle w:val="ListBullet"/>
            </w:pPr>
            <w:r w:rsidRPr="00002D27">
              <w:t>comply with organisational policies and procedures, including quality requirements</w:t>
            </w:r>
          </w:p>
          <w:p w:rsidR="00000000" w:rsidRPr="00002D27" w:rsidP="00002D27">
            <w:pPr>
              <w:pStyle w:val="ListBullet"/>
            </w:pPr>
            <w:r w:rsidRPr="00002D27">
              <w:t>safely and effectively use tools, plant and equipment</w:t>
            </w:r>
          </w:p>
          <w:p w:rsidR="00000000" w:rsidRPr="00002D27" w:rsidP="00002D27">
            <w:pPr>
              <w:pStyle w:val="ListBullet"/>
            </w:pPr>
            <w:r w:rsidRPr="00002D27">
              <w:t>communicate and work effectively and safely with others</w:t>
            </w:r>
          </w:p>
          <w:p w:rsidR="00000000" w:rsidP="00002D27">
            <w:pPr>
              <w:pStyle w:val="ListBullet"/>
              <w:rPr>
                <w:lang w:val="en-NZ"/>
              </w:rPr>
            </w:pPr>
            <w:r w:rsidRPr="00002D27">
              <w:t>co</w:t>
            </w:r>
            <w:r w:rsidRPr="00002D27">
              <w:t>nstruct a segmental curved bulkhead a minimum of 3 metres in radius with a depth of 600mm to plumb, line and level and job specifications.</w:t>
            </w:r>
          </w:p>
        </w:tc>
      </w:tr>
      <w:tr w:rsidTr="00815F1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002D27" w:rsidP="00002D27">
            <w:pPr>
              <w:pStyle w:val="BodyText"/>
            </w:pPr>
            <w:r w:rsidRPr="00002D27">
              <w:t>This competency is to be assessed using standard and authorised wor</w:t>
            </w:r>
            <w:r w:rsidRPr="00002D27">
              <w:t>k practices, safety requirements and environmental constraints.</w:t>
            </w:r>
          </w:p>
          <w:p w:rsidR="00000000" w:rsidRPr="00002D27" w:rsidP="00002D27">
            <w:pPr>
              <w:pStyle w:val="BodyText"/>
            </w:pPr>
            <w:r w:rsidRPr="00002D27">
              <w:t>Assessment of essential underpinning knowledge will usually be conducted in an off-site context.</w:t>
            </w:r>
          </w:p>
          <w:p w:rsidR="00000000" w:rsidRPr="00002D27" w:rsidP="00002D27">
            <w:pPr>
              <w:pStyle w:val="BodyText"/>
            </w:pPr>
            <w:r w:rsidRPr="00002D27">
              <w:t>Assessment is to comply with relevant regulatory or Australian standards' requirements.</w:t>
            </w:r>
          </w:p>
          <w:p w:rsidR="00000000" w:rsidRPr="00002D27" w:rsidP="00002D27">
            <w:pPr>
              <w:pStyle w:val="BodyText"/>
            </w:pPr>
            <w:r w:rsidRPr="00002D27">
              <w:t>Resourc</w:t>
            </w:r>
            <w:r w:rsidRPr="00002D27">
              <w:t>e implications for assessment include:</w:t>
            </w:r>
          </w:p>
          <w:p w:rsidR="00000000" w:rsidRPr="00002D27" w:rsidP="00002D27">
            <w:pPr>
              <w:pStyle w:val="ListBullet"/>
            </w:pPr>
            <w:r w:rsidRPr="00002D27">
              <w:t>an induction procedure and requirement</w:t>
            </w:r>
          </w:p>
          <w:p w:rsidR="00000000" w:rsidRPr="00002D27" w:rsidP="00002D27">
            <w:pPr>
              <w:pStyle w:val="ListBullet"/>
            </w:pPr>
            <w:r w:rsidRPr="00002D27">
              <w:t>realistic tasks or simulated tasks covering the mandatory task requirements</w:t>
            </w:r>
          </w:p>
          <w:p w:rsidR="00000000" w:rsidRPr="00002D27" w:rsidP="00002D27">
            <w:pPr>
              <w:pStyle w:val="ListBullet"/>
            </w:pPr>
            <w:r w:rsidRPr="00002D27">
              <w:t>relevant specifications and work instructions</w:t>
            </w:r>
          </w:p>
          <w:p w:rsidR="00000000" w:rsidRPr="00002D27" w:rsidP="00002D27">
            <w:pPr>
              <w:pStyle w:val="ListBullet"/>
            </w:pPr>
            <w:r w:rsidRPr="00002D27">
              <w:t>tools and equipment appropriate to applying safe work p</w:t>
            </w:r>
            <w:r w:rsidRPr="00002D27">
              <w:t>ractices</w:t>
            </w:r>
          </w:p>
          <w:p w:rsidR="00000000" w:rsidRPr="00002D27" w:rsidP="00002D27">
            <w:pPr>
              <w:pStyle w:val="ListBullet"/>
            </w:pPr>
            <w:r w:rsidRPr="00002D27">
              <w:t>support materials appropriate to activity</w:t>
            </w:r>
          </w:p>
          <w:p w:rsidR="00000000" w:rsidRPr="00002D27" w:rsidP="00002D27">
            <w:pPr>
              <w:pStyle w:val="ListBullet"/>
            </w:pPr>
            <w:r w:rsidRPr="00002D27">
              <w:t>workplace instructions relating to safe work practices and addressing hazards and emergencies</w:t>
            </w:r>
          </w:p>
          <w:p w:rsidR="00000000" w:rsidRPr="00002D27" w:rsidP="00002D27">
            <w:pPr>
              <w:pStyle w:val="ListBullet"/>
            </w:pPr>
            <w:r w:rsidRPr="00002D27">
              <w:t>material safety data sheets</w:t>
            </w:r>
          </w:p>
          <w:p w:rsidR="00000000" w:rsidRPr="00002D27" w:rsidP="00002D27">
            <w:pPr>
              <w:pStyle w:val="ListBullet"/>
            </w:pPr>
            <w:r w:rsidRPr="00002D27">
              <w:t>research resources, including industry related systems information.</w:t>
            </w:r>
          </w:p>
          <w:p w:rsidR="00000000" w:rsidP="00002D27">
            <w:pPr>
              <w:pStyle w:val="BodyText"/>
              <w:rPr>
                <w:lang w:val="en-NZ"/>
              </w:rPr>
            </w:pPr>
            <w:r w:rsidRPr="00002D27">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815F1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SpecialBold"/>
              </w:rPr>
              <w:t>Method of assessme</w:t>
            </w:r>
            <w:r w:rsidRPr="00002D27">
              <w:rPr>
                <w:rStyle w:val="SpecialBold"/>
              </w:rPr>
              <w:t>nt</w:t>
            </w:r>
          </w:p>
        </w:tc>
        <w:tc>
          <w:tcPr>
            <w:tcW w:w="5015" w:type="dxa"/>
            <w:tcBorders>
              <w:top w:val="nil"/>
              <w:left w:val="nil"/>
              <w:bottom w:val="nil"/>
              <w:right w:val="nil"/>
            </w:tcBorders>
            <w:tcMar>
              <w:top w:w="0" w:type="dxa"/>
              <w:left w:w="62" w:type="dxa"/>
              <w:bottom w:w="0" w:type="dxa"/>
              <w:right w:w="62" w:type="dxa"/>
            </w:tcMar>
          </w:tcPr>
          <w:p w:rsidR="00000000" w:rsidRPr="00002D27" w:rsidP="00002D27">
            <w:pPr>
              <w:pStyle w:val="BodyText"/>
            </w:pPr>
            <w:r w:rsidRPr="00002D27">
              <w:t>Assessment methods must:</w:t>
            </w:r>
          </w:p>
          <w:p w:rsidR="00000000" w:rsidRPr="00002D27" w:rsidP="00002D27">
            <w:pPr>
              <w:pStyle w:val="ListBullet"/>
            </w:pPr>
            <w:r w:rsidRPr="00002D27">
              <w:t>satisfy the endorsed Assessment Guidelines of the Construction, Plumbing and Services Training Package</w:t>
            </w:r>
          </w:p>
          <w:p w:rsidR="00000000" w:rsidRPr="00002D27" w:rsidP="00002D27">
            <w:pPr>
              <w:pStyle w:val="ListBullet"/>
            </w:pPr>
            <w:r w:rsidRPr="00002D27">
              <w:t>include direct observation of tasks in real or simulated work conditions, with questioning to confirm the ability to consist</w:t>
            </w:r>
            <w:r w:rsidRPr="00002D27">
              <w:t>ently identify and correctly interpret the essential underpinning knowledge required for practical application</w:t>
            </w:r>
          </w:p>
          <w:p w:rsidR="00000000" w:rsidRPr="00002D27" w:rsidP="00002D27">
            <w:pPr>
              <w:pStyle w:val="ListBullet"/>
            </w:pPr>
            <w:r w:rsidRPr="00002D27">
              <w:t>reinforce the integration of employability skills with workplace tasks and job roles</w:t>
            </w:r>
          </w:p>
          <w:p w:rsidR="00000000" w:rsidRPr="00002D27" w:rsidP="00002D27">
            <w:pPr>
              <w:pStyle w:val="ListBullet"/>
            </w:pPr>
            <w:r w:rsidRPr="00002D27">
              <w:t>confirm that competency is verified and able to be transferr</w:t>
            </w:r>
            <w:r w:rsidRPr="00002D27">
              <w:t>ed to other circumstances and environments.</w:t>
            </w:r>
          </w:p>
          <w:p w:rsidR="00000000" w:rsidRPr="00002D27" w:rsidP="00002D27">
            <w:pPr>
              <w:pStyle w:val="BodyText"/>
            </w:pPr>
            <w:r w:rsidRPr="00002D27">
              <w:t>Validity and sufficiency of evidence requires that:</w:t>
            </w:r>
          </w:p>
          <w:p w:rsidR="00000000" w:rsidRPr="00002D27" w:rsidP="00002D27">
            <w:pPr>
              <w:pStyle w:val="ListBullet"/>
            </w:pPr>
            <w:r w:rsidRPr="00002D27">
              <w:t>competency will need to be demonstrated over a period of time reflecting the scope of the role and the practical requirements of the workplace</w:t>
            </w:r>
          </w:p>
          <w:p w:rsidR="00000000" w:rsidRPr="00002D27" w:rsidP="00002D27">
            <w:pPr>
              <w:pStyle w:val="ListBullet"/>
            </w:pPr>
            <w:r w:rsidRPr="00002D27">
              <w:t>where the assess</w:t>
            </w:r>
            <w:r w:rsidRPr="00002D27">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002D27">
              <w:t>the assessor has complete confidence in the person's demonstrated ability and applied knowledge</w:t>
            </w:r>
          </w:p>
          <w:p w:rsidR="00000000" w:rsidRPr="00002D27" w:rsidP="00002D27">
            <w:pPr>
              <w:pStyle w:val="ListBullet"/>
            </w:pPr>
            <w:r w:rsidRPr="00002D27">
              <w:t>all assessment that is part of a structured learning experience must include a combination of direct, indirect and supplementary evidence.</w:t>
            </w:r>
          </w:p>
          <w:p w:rsidR="00000000" w:rsidRPr="00002D27" w:rsidP="00002D27">
            <w:pPr>
              <w:pStyle w:val="BodyText"/>
            </w:pPr>
            <w:r w:rsidRPr="00002D27">
              <w:t xml:space="preserve">Assessment processes </w:t>
            </w:r>
            <w:r w:rsidRPr="00002D27">
              <w:t>and techniques should as far as is practical take into account the language, literacy and numeracy capacity of the candidate in relation to the competency being assessed.</w:t>
            </w:r>
          </w:p>
          <w:p w:rsidR="00000000" w:rsidRPr="00002D27" w:rsidP="00002D27">
            <w:pPr>
              <w:pStyle w:val="BodyText"/>
            </w:pPr>
            <w:r w:rsidRPr="00002D27">
              <w:t xml:space="preserve">Supplementary evidence of competency may be obtained from relevant authenticated documentation from third parties, such as existing supervisors, team leaders or specialist training staff. </w:t>
            </w:r>
          </w:p>
        </w:tc>
      </w:tr>
    </w:tbl>
    <w:p w:rsidR="00815F18" w:rsidP="00002D27">
      <w:pPr>
        <w:pStyle w:val="BodyText"/>
      </w:pPr>
    </w:p>
    <w:p w:rsidR="00815F18" w:rsidP="00002D27">
      <w:pPr>
        <w:pStyle w:val="BodyText"/>
      </w:pPr>
    </w:p>
    <w:p w:rsidR="00000000" w:rsidRPr="00002D27" w:rsidP="00002D27">
      <w:pPr>
        <w:pStyle w:val="Heading1"/>
      </w:pPr>
      <w:bookmarkStart w:id="11" w:name="O_250193"/>
      <w:bookmarkEnd w:id="11"/>
      <w:r w:rsidRPr="00002D27">
        <w:t>Range Statement</w:t>
      </w:r>
    </w:p>
    <w:tbl>
      <w:tblPr>
        <w:tblW w:w="0" w:type="auto"/>
        <w:tblLayout w:type="fixed"/>
        <w:tblCellMar>
          <w:left w:w="62" w:type="dxa"/>
          <w:right w:w="62" w:type="dxa"/>
        </w:tblCellMar>
        <w:tblLook w:val="0000"/>
      </w:tblPr>
      <w:tblGrid>
        <w:gridCol w:w="3489"/>
        <w:gridCol w:w="5033"/>
      </w:tblGrid>
      <w:tr w:rsidTr="00815F1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02D27">
            <w:pPr>
              <w:pStyle w:val="BodyText"/>
              <w:rPr>
                <w:lang w:val="en-NZ"/>
              </w:rPr>
            </w:pPr>
            <w:r w:rsidRPr="00002D27">
              <w:rPr>
                <w:rStyle w:val="SpecialBold"/>
              </w:rPr>
              <w:t>RANGE STATEMENT</w:t>
            </w:r>
          </w:p>
        </w:tc>
      </w:tr>
      <w:tr w:rsidTr="00815F1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02D27">
            <w:pPr>
              <w:pStyle w:val="BodyText"/>
              <w:rPr>
                <w:lang w:val="en-NZ"/>
              </w:rPr>
            </w:pPr>
            <w:r w:rsidRPr="00002D27">
              <w:t>The range</w:t>
            </w:r>
            <w:r w:rsidRPr="00002D27">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002D27">
              <w:t>hat may be present with training and assessment (depending on the work situation, needs of the candidate, accessibility of the item, and local industry and regional contexts) may also be included.</w:t>
            </w:r>
          </w:p>
        </w:tc>
      </w:tr>
      <w:tr w:rsidTr="00815F1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BoldandItalics"/>
              </w:rPr>
              <w:t>Information</w:t>
            </w:r>
            <w:r w:rsidRPr="00002D27">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002D27" w:rsidP="00002D27">
            <w:pPr>
              <w:pStyle w:val="ListBullet"/>
            </w:pPr>
            <w:r w:rsidRPr="00002D27">
              <w:t>diagrams or sketches</w:t>
            </w:r>
          </w:p>
          <w:p w:rsidR="00000000" w:rsidRPr="00002D27" w:rsidP="00002D27">
            <w:pPr>
              <w:pStyle w:val="ListBullet"/>
            </w:pPr>
            <w:r w:rsidRPr="00002D27">
              <w:t>instructions issued by authorised organisational or external personnel</w:t>
            </w:r>
          </w:p>
          <w:p w:rsidR="00000000" w:rsidRPr="00002D27" w:rsidP="00002D27">
            <w:pPr>
              <w:pStyle w:val="ListBullet"/>
            </w:pPr>
            <w:r w:rsidRPr="00002D27">
              <w:t>manufacturer specifications and instructions where specified</w:t>
            </w:r>
          </w:p>
          <w:p w:rsidR="00000000" w:rsidRPr="00002D27" w:rsidP="00002D27">
            <w:pPr>
              <w:pStyle w:val="ListBullet"/>
            </w:pPr>
            <w:r w:rsidRPr="00002D27">
              <w:t>memos</w:t>
            </w:r>
          </w:p>
          <w:p w:rsidR="00000000" w:rsidRPr="00002D27" w:rsidP="00002D27">
            <w:pPr>
              <w:pStyle w:val="ListBullet"/>
            </w:pPr>
            <w:r w:rsidRPr="00002D27">
              <w:t>MSDS</w:t>
            </w:r>
          </w:p>
          <w:p w:rsidR="00000000" w:rsidRPr="00002D27" w:rsidP="00002D27">
            <w:pPr>
              <w:pStyle w:val="ListBullet"/>
            </w:pPr>
            <w:r w:rsidRPr="00002D27">
              <w:t>organisation work specifications and requirements</w:t>
            </w:r>
          </w:p>
          <w:p w:rsidR="00000000" w:rsidRPr="00002D27" w:rsidP="00002D27">
            <w:pPr>
              <w:pStyle w:val="ListBullet"/>
            </w:pPr>
            <w:r w:rsidRPr="00002D27">
              <w:t>plans and specifications</w:t>
            </w:r>
          </w:p>
          <w:p w:rsidR="00000000" w:rsidRPr="00002D27" w:rsidP="00002D27">
            <w:pPr>
              <w:pStyle w:val="ListBullet"/>
            </w:pPr>
            <w:r w:rsidRPr="00002D27">
              <w:t>regulatory and legislative requirement</w:t>
            </w:r>
            <w:r w:rsidRPr="00002D27">
              <w:t>s pertaining to constructing bulkheads</w:t>
            </w:r>
          </w:p>
          <w:p w:rsidR="00000000" w:rsidRPr="00002D27" w:rsidP="00002D27">
            <w:pPr>
              <w:pStyle w:val="ListBullet"/>
            </w:pPr>
            <w:r w:rsidRPr="00002D27">
              <w:t>relevant Australian standards</w:t>
            </w:r>
          </w:p>
          <w:p w:rsidR="00000000" w:rsidRPr="00002D27" w:rsidP="00002D27">
            <w:pPr>
              <w:pStyle w:val="ListBullet"/>
            </w:pPr>
            <w:r w:rsidRPr="00002D27">
              <w:t>safe work procedures related to constructing bulkheads</w:t>
            </w:r>
          </w:p>
          <w:p w:rsidR="00000000" w:rsidRPr="00002D27" w:rsidP="00002D27">
            <w:pPr>
              <w:pStyle w:val="ListBullet"/>
            </w:pPr>
            <w:r w:rsidRPr="00002D27">
              <w:t>signage</w:t>
            </w:r>
          </w:p>
          <w:p w:rsidR="00000000" w:rsidRPr="00002D27" w:rsidP="00002D27">
            <w:pPr>
              <w:pStyle w:val="ListBullet"/>
            </w:pPr>
            <w:r w:rsidRPr="00002D27">
              <w:t>verbal or written and graphical instructions</w:t>
            </w:r>
          </w:p>
          <w:p w:rsidR="00000000" w:rsidRPr="00002D27" w:rsidP="00002D27">
            <w:pPr>
              <w:pStyle w:val="ListBullet"/>
            </w:pPr>
            <w:r w:rsidRPr="00002D27">
              <w:t>work bulletins</w:t>
            </w:r>
          </w:p>
          <w:p w:rsidR="00000000" w:rsidP="00002D27">
            <w:pPr>
              <w:pStyle w:val="ListBullet"/>
              <w:rPr>
                <w:lang w:val="en-NZ"/>
              </w:rPr>
            </w:pPr>
            <w:r w:rsidRPr="00002D27">
              <w:t>work schedules.</w:t>
            </w:r>
          </w:p>
        </w:tc>
      </w:tr>
      <w:tr w:rsidTr="00815F1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BoldandItalics"/>
              </w:rPr>
              <w:t>Planning and preparation</w:t>
            </w:r>
            <w:r w:rsidRPr="00002D27">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02D27" w:rsidP="00002D27">
            <w:pPr>
              <w:pStyle w:val="ListBullet"/>
            </w:pPr>
            <w:r w:rsidRPr="00002D27">
              <w:t>work site inspection</w:t>
            </w:r>
          </w:p>
          <w:p w:rsidR="00000000" w:rsidRPr="00002D27" w:rsidP="00002D27">
            <w:pPr>
              <w:pStyle w:val="ListBullet"/>
            </w:pPr>
            <w:r w:rsidRPr="00002D27">
              <w:t>equipment defect identification</w:t>
            </w:r>
          </w:p>
          <w:p w:rsidR="00000000" w:rsidRPr="00002D27" w:rsidP="00002D27">
            <w:pPr>
              <w:pStyle w:val="ListBullet"/>
            </w:pPr>
            <w:r w:rsidRPr="00002D27">
              <w:t>assessment of conditions and hazards</w:t>
            </w:r>
          </w:p>
          <w:p w:rsidR="00000000" w:rsidP="00002D27">
            <w:pPr>
              <w:pStyle w:val="ListBullet"/>
              <w:rPr>
                <w:lang w:val="en-NZ"/>
              </w:rPr>
            </w:pPr>
            <w:r w:rsidRPr="00002D27">
              <w:t>determination of work requirements.</w:t>
            </w:r>
          </w:p>
        </w:tc>
      </w:tr>
      <w:tr w:rsidTr="00815F1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BoldandItalics"/>
              </w:rPr>
              <w:t>Safety</w:t>
            </w:r>
            <w:r w:rsidRPr="00002D27">
              <w:t xml:space="preserve"> (</w:t>
            </w:r>
            <w:r w:rsidRPr="00002D27">
              <w:rPr>
                <w:rStyle w:val="BoldandItalics"/>
              </w:rPr>
              <w:t>OHS</w:t>
            </w:r>
            <w:r w:rsidRPr="00002D27">
              <w:t>) is to be in accordance with state or territory legislation, regulations, codes of practice, organisational safety po</w:t>
            </w:r>
            <w:r w:rsidRPr="00002D27">
              <w:t xml:space="preserve">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002D27" w:rsidP="00002D27">
            <w:pPr>
              <w:pStyle w:val="ListBullet"/>
            </w:pPr>
            <w:r w:rsidRPr="00002D27">
              <w:t>emergency procedures, including extinguishing fires, organisational first aid requirements and evacuation</w:t>
            </w:r>
          </w:p>
          <w:p w:rsidR="00000000" w:rsidRPr="00002D27" w:rsidP="00002D27">
            <w:pPr>
              <w:pStyle w:val="ListBullet"/>
            </w:pPr>
            <w:r w:rsidRPr="00002D27">
              <w:t>handling of materials</w:t>
            </w:r>
          </w:p>
          <w:p w:rsidR="00000000" w:rsidRPr="00002D27" w:rsidP="00002D27">
            <w:pPr>
              <w:pStyle w:val="ListBullet"/>
            </w:pPr>
            <w:r w:rsidRPr="00002D27">
              <w:t>hazard control</w:t>
            </w:r>
          </w:p>
          <w:p w:rsidR="00000000" w:rsidRPr="00002D27" w:rsidP="00002D27">
            <w:pPr>
              <w:pStyle w:val="ListBullet"/>
            </w:pPr>
            <w:r w:rsidRPr="00002D27">
              <w:t>hazardous materials and substances</w:t>
            </w:r>
          </w:p>
          <w:p w:rsidR="00000000" w:rsidRPr="00002D27" w:rsidP="00002D27">
            <w:pPr>
              <w:pStyle w:val="ListBullet"/>
            </w:pPr>
            <w:r w:rsidRPr="00002D27">
              <w:t>safe operating procedures, including the conduct of operational risk assessment and treatments associated with:</w:t>
            </w:r>
          </w:p>
          <w:p w:rsidR="00000000" w:rsidRPr="00002D27" w:rsidP="00002D27">
            <w:pPr>
              <w:pStyle w:val="ListBullet2"/>
            </w:pPr>
            <w:r w:rsidRPr="00002D27">
              <w:t>earth leakage boxes</w:t>
            </w:r>
          </w:p>
          <w:p w:rsidR="00000000" w:rsidRPr="00002D27" w:rsidP="00002D27">
            <w:pPr>
              <w:pStyle w:val="ListBullet2"/>
            </w:pPr>
            <w:r w:rsidRPr="00002D27">
              <w:t>lighting</w:t>
            </w:r>
          </w:p>
          <w:p w:rsidR="00000000" w:rsidRPr="00002D27" w:rsidP="00002D27">
            <w:pPr>
              <w:pStyle w:val="ListBullet2"/>
            </w:pPr>
            <w:r w:rsidRPr="00002D27">
              <w:t>power cables, including overhead service trays, cables and conduits</w:t>
            </w:r>
          </w:p>
          <w:p w:rsidR="00000000" w:rsidRPr="00002D27" w:rsidP="00002D27">
            <w:pPr>
              <w:pStyle w:val="ListBullet2"/>
            </w:pPr>
            <w:r w:rsidRPr="00002D27">
              <w:t>restricted access barriers</w:t>
            </w:r>
          </w:p>
          <w:p w:rsidR="00000000" w:rsidRPr="00002D27" w:rsidP="00002D27">
            <w:pPr>
              <w:pStyle w:val="ListBullet2"/>
            </w:pPr>
            <w:r w:rsidRPr="00002D27">
              <w:t>surrounding structu</w:t>
            </w:r>
            <w:r w:rsidRPr="00002D27">
              <w:t>res</w:t>
            </w:r>
          </w:p>
          <w:p w:rsidR="00000000" w:rsidRPr="00002D27" w:rsidP="00002D27">
            <w:pPr>
              <w:pStyle w:val="ListBullet2"/>
            </w:pPr>
            <w:r w:rsidRPr="00002D27">
              <w:t>traffic control</w:t>
            </w:r>
          </w:p>
          <w:p w:rsidR="00000000" w:rsidRPr="00002D27" w:rsidP="00002D27">
            <w:pPr>
              <w:pStyle w:val="ListBullet2"/>
            </w:pPr>
            <w:r w:rsidRPr="00002D27">
              <w:t>trip hazards</w:t>
            </w:r>
          </w:p>
          <w:p w:rsidR="00000000" w:rsidRPr="00002D27" w:rsidP="00002D27">
            <w:pPr>
              <w:pStyle w:val="ListBullet2"/>
            </w:pPr>
            <w:r w:rsidRPr="00002D27">
              <w:t>work site visitors and the public</w:t>
            </w:r>
          </w:p>
          <w:p w:rsidR="00000000" w:rsidRPr="00002D27" w:rsidP="00002D27">
            <w:pPr>
              <w:pStyle w:val="ListBullet2"/>
            </w:pPr>
            <w:r w:rsidRPr="00002D27">
              <w:t>working at heights</w:t>
            </w:r>
          </w:p>
          <w:p w:rsidR="00000000" w:rsidRPr="00002D27" w:rsidP="00002D27">
            <w:pPr>
              <w:pStyle w:val="ListBullet2"/>
            </w:pPr>
            <w:r w:rsidRPr="00002D27">
              <w:t>working in confined spaces</w:t>
            </w:r>
          </w:p>
          <w:p w:rsidR="00000000" w:rsidRPr="00002D27" w:rsidP="00002D27">
            <w:pPr>
              <w:pStyle w:val="ListBullet2"/>
            </w:pPr>
            <w:r w:rsidRPr="00002D27">
              <w:t>working in proximity to others</w:t>
            </w:r>
          </w:p>
          <w:p w:rsidR="00000000" w:rsidRPr="00002D27" w:rsidP="00002D27">
            <w:pPr>
              <w:pStyle w:val="ListBullet2"/>
            </w:pPr>
            <w:r w:rsidRPr="00002D27">
              <w:t>working with dangerous materials</w:t>
            </w:r>
          </w:p>
          <w:p w:rsidR="00000000" w:rsidRPr="00002D27" w:rsidP="00002D27">
            <w:pPr>
              <w:pStyle w:val="ListBullet"/>
            </w:pPr>
            <w:r w:rsidRPr="00002D27">
              <w:t>organisational first aid</w:t>
            </w:r>
          </w:p>
          <w:p w:rsidR="00000000" w:rsidRPr="00002D27" w:rsidP="00002D27">
            <w:pPr>
              <w:pStyle w:val="ListBullet"/>
            </w:pPr>
            <w:r w:rsidRPr="00002D27">
              <w:t>personal protective clothing and equipment prescribed under legislation, regulations and workplace policies and practices</w:t>
            </w:r>
          </w:p>
          <w:p w:rsidR="00000000" w:rsidRPr="00002D27" w:rsidP="00002D27">
            <w:pPr>
              <w:pStyle w:val="ListBullet"/>
            </w:pPr>
            <w:r w:rsidRPr="00002D27">
              <w:t>use of firefighting equipment</w:t>
            </w:r>
          </w:p>
          <w:p w:rsidR="00000000" w:rsidRPr="00002D27" w:rsidP="00002D27">
            <w:pPr>
              <w:pStyle w:val="ListBullet"/>
            </w:pPr>
            <w:r w:rsidRPr="00002D27">
              <w:t>use of tools and equipment</w:t>
            </w:r>
          </w:p>
          <w:p w:rsidR="00000000" w:rsidP="00002D27">
            <w:pPr>
              <w:pStyle w:val="ListBullet"/>
              <w:rPr>
                <w:lang w:val="en-NZ"/>
              </w:rPr>
            </w:pPr>
            <w:r w:rsidRPr="00002D27">
              <w:t>workplace environment and safety.</w:t>
            </w:r>
          </w:p>
        </w:tc>
      </w:tr>
      <w:tr w:rsidTr="00815F1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BoldandItalics"/>
              </w:rPr>
              <w:t>Tools and equipment</w:t>
            </w:r>
            <w:r w:rsidRPr="00002D27">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02D27" w:rsidP="00002D27">
            <w:pPr>
              <w:pStyle w:val="ListBullet"/>
            </w:pPr>
            <w:r w:rsidRPr="00002D27">
              <w:t>clamps</w:t>
            </w:r>
          </w:p>
          <w:p w:rsidR="00000000" w:rsidRPr="00002D27" w:rsidP="00002D27">
            <w:pPr>
              <w:pStyle w:val="ListBullet"/>
            </w:pPr>
            <w:r w:rsidRPr="00002D27">
              <w:t>compressors</w:t>
            </w:r>
          </w:p>
          <w:p w:rsidR="00000000" w:rsidRPr="00002D27" w:rsidP="00002D27">
            <w:pPr>
              <w:pStyle w:val="ListBullet"/>
            </w:pPr>
            <w:r w:rsidRPr="00002D27">
              <w:t>crimping tools</w:t>
            </w:r>
          </w:p>
          <w:p w:rsidR="00000000" w:rsidRPr="00002D27" w:rsidP="00002D27">
            <w:pPr>
              <w:pStyle w:val="ListBullet"/>
            </w:pPr>
            <w:r w:rsidRPr="00002D27">
              <w:t>docking saws and drop saws</w:t>
            </w:r>
          </w:p>
          <w:p w:rsidR="00000000" w:rsidRPr="00002D27" w:rsidP="00002D27">
            <w:pPr>
              <w:pStyle w:val="ListBullet"/>
            </w:pPr>
            <w:r w:rsidRPr="00002D27">
              <w:t>explosive power tools</w:t>
            </w:r>
          </w:p>
          <w:p w:rsidR="00000000" w:rsidRPr="00002D27" w:rsidP="00002D27">
            <w:pPr>
              <w:pStyle w:val="ListBullet"/>
            </w:pPr>
            <w:r w:rsidRPr="00002D27">
              <w:t>hammers</w:t>
            </w:r>
          </w:p>
          <w:p w:rsidR="00000000" w:rsidRPr="00002D27" w:rsidP="00002D27">
            <w:pPr>
              <w:pStyle w:val="ListBullet"/>
            </w:pPr>
            <w:r w:rsidRPr="00002D27">
              <w:t>laser levelling equipment</w:t>
            </w:r>
          </w:p>
          <w:p w:rsidR="00000000" w:rsidRPr="00002D27" w:rsidP="00002D27">
            <w:pPr>
              <w:pStyle w:val="ListBullet"/>
            </w:pPr>
            <w:r w:rsidRPr="00002D27">
              <w:t>levels</w:t>
            </w:r>
          </w:p>
          <w:p w:rsidR="00000000" w:rsidRPr="00002D27" w:rsidP="00002D27">
            <w:pPr>
              <w:pStyle w:val="ListBullet"/>
            </w:pPr>
            <w:r w:rsidRPr="00002D27">
              <w:t>marking equipment</w:t>
            </w:r>
          </w:p>
          <w:p w:rsidR="00000000" w:rsidRPr="00002D27" w:rsidP="00002D27">
            <w:pPr>
              <w:pStyle w:val="ListBullet"/>
            </w:pPr>
            <w:r w:rsidRPr="00002D27">
              <w:t>masonry drills</w:t>
            </w:r>
          </w:p>
          <w:p w:rsidR="00000000" w:rsidRPr="00002D27" w:rsidP="00002D27">
            <w:pPr>
              <w:pStyle w:val="ListBullet"/>
            </w:pPr>
            <w:r w:rsidRPr="00002D27">
              <w:t>measuring tapes and rules</w:t>
            </w:r>
          </w:p>
          <w:p w:rsidR="00000000" w:rsidRPr="00002D27" w:rsidP="00002D27">
            <w:pPr>
              <w:pStyle w:val="ListBullet"/>
            </w:pPr>
            <w:r w:rsidRPr="00002D27">
              <w:t>nail guns</w:t>
            </w:r>
          </w:p>
          <w:p w:rsidR="00000000" w:rsidRPr="00002D27" w:rsidP="00002D27">
            <w:pPr>
              <w:pStyle w:val="ListBullet"/>
            </w:pPr>
            <w:r w:rsidRPr="00002D27">
              <w:t>pop riveters</w:t>
            </w:r>
          </w:p>
          <w:p w:rsidR="00000000" w:rsidRPr="00002D27" w:rsidP="00002D27">
            <w:pPr>
              <w:pStyle w:val="ListBullet"/>
            </w:pPr>
            <w:r w:rsidRPr="00002D27">
              <w:t>power drills</w:t>
            </w:r>
          </w:p>
          <w:p w:rsidR="00000000" w:rsidRPr="00002D27" w:rsidP="00002D27">
            <w:pPr>
              <w:pStyle w:val="ListBullet"/>
            </w:pPr>
            <w:r w:rsidRPr="00002D27">
              <w:t>power leads</w:t>
            </w:r>
          </w:p>
          <w:p w:rsidR="00000000" w:rsidRPr="00002D27" w:rsidP="00002D27">
            <w:pPr>
              <w:pStyle w:val="ListBullet"/>
            </w:pPr>
            <w:r w:rsidRPr="00002D27">
              <w:t>saw stools</w:t>
            </w:r>
          </w:p>
          <w:p w:rsidR="00000000" w:rsidRPr="00002D27" w:rsidP="00002D27">
            <w:pPr>
              <w:pStyle w:val="ListBullet"/>
            </w:pPr>
            <w:r w:rsidRPr="00002D27">
              <w:t>scaffolding</w:t>
            </w:r>
          </w:p>
          <w:p w:rsidR="00000000" w:rsidRPr="00002D27" w:rsidP="00002D27">
            <w:pPr>
              <w:pStyle w:val="ListBullet"/>
            </w:pPr>
            <w:r w:rsidRPr="00002D27">
              <w:t>screw gun</w:t>
            </w:r>
            <w:r w:rsidRPr="00002D27">
              <w:t>s</w:t>
            </w:r>
          </w:p>
          <w:p w:rsidR="00000000" w:rsidRPr="00002D27" w:rsidP="00002D27">
            <w:pPr>
              <w:pStyle w:val="ListBullet"/>
            </w:pPr>
            <w:r w:rsidRPr="00002D27">
              <w:t>spirit levels</w:t>
            </w:r>
          </w:p>
          <w:p w:rsidR="00000000" w:rsidRPr="00002D27" w:rsidP="00002D27">
            <w:pPr>
              <w:pStyle w:val="ListBullet"/>
            </w:pPr>
            <w:r w:rsidRPr="00002D27">
              <w:t>squares (combination/tri)</w:t>
            </w:r>
          </w:p>
          <w:p w:rsidR="00000000" w:rsidRPr="00002D27" w:rsidP="00002D27">
            <w:pPr>
              <w:pStyle w:val="ListBullet"/>
            </w:pPr>
            <w:r w:rsidRPr="00002D27">
              <w:t>steel squares</w:t>
            </w:r>
          </w:p>
          <w:p w:rsidR="00000000" w:rsidRPr="00002D27" w:rsidP="00002D27">
            <w:pPr>
              <w:pStyle w:val="ListBullet"/>
            </w:pPr>
            <w:r w:rsidRPr="00002D27">
              <w:t>straight edges</w:t>
            </w:r>
          </w:p>
          <w:p w:rsidR="00000000" w:rsidRPr="00002D27" w:rsidP="00002D27">
            <w:pPr>
              <w:pStyle w:val="ListBullet"/>
            </w:pPr>
            <w:r w:rsidRPr="00002D27">
              <w:t>string lines</w:t>
            </w:r>
          </w:p>
          <w:p w:rsidR="00000000" w:rsidRPr="00002D27" w:rsidP="00002D27">
            <w:pPr>
              <w:pStyle w:val="ListBullet"/>
            </w:pPr>
            <w:r w:rsidRPr="00002D27">
              <w:t>templates</w:t>
            </w:r>
          </w:p>
          <w:p w:rsidR="00000000" w:rsidP="00002D27">
            <w:pPr>
              <w:pStyle w:val="ListBullet"/>
              <w:rPr>
                <w:lang w:val="en-NZ"/>
              </w:rPr>
            </w:pPr>
            <w:r w:rsidRPr="00002D27">
              <w:t>tin snips.</w:t>
            </w:r>
          </w:p>
        </w:tc>
      </w:tr>
      <w:tr w:rsidTr="00815F1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BoldandItalics"/>
              </w:rPr>
              <w:t>Quality requirements</w:t>
            </w:r>
            <w:r w:rsidRPr="00002D27">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002D27" w:rsidP="00002D27">
            <w:pPr>
              <w:pStyle w:val="ListBullet"/>
            </w:pPr>
            <w:r w:rsidRPr="00002D27">
              <w:t>Australian standards</w:t>
            </w:r>
          </w:p>
          <w:p w:rsidR="00000000" w:rsidRPr="00002D27" w:rsidP="00002D27">
            <w:pPr>
              <w:pStyle w:val="ListBullet"/>
            </w:pPr>
            <w:r w:rsidRPr="00002D27">
              <w:t>internal company quality policy and standards</w:t>
            </w:r>
          </w:p>
          <w:p w:rsidR="00000000" w:rsidRPr="00002D27" w:rsidP="00002D27">
            <w:pPr>
              <w:pStyle w:val="ListBullet"/>
            </w:pPr>
            <w:r w:rsidRPr="00002D27">
              <w:t>manufacturer specifications, where specified</w:t>
            </w:r>
          </w:p>
          <w:p w:rsidR="00000000" w:rsidP="00002D27">
            <w:pPr>
              <w:pStyle w:val="ListBullet"/>
              <w:rPr>
                <w:lang w:val="en-NZ"/>
              </w:rPr>
            </w:pPr>
            <w:r w:rsidRPr="00002D27">
              <w:t>workplace operations and procedures.</w:t>
            </w:r>
          </w:p>
        </w:tc>
      </w:tr>
      <w:tr w:rsidTr="00815F1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BoldandItalics"/>
              </w:rPr>
              <w:t>Materials</w:t>
            </w:r>
            <w:r w:rsidRPr="00002D27">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02D27" w:rsidP="00002D27">
            <w:pPr>
              <w:pStyle w:val="ListBullet"/>
            </w:pPr>
            <w:r w:rsidRPr="00002D27">
              <w:t>bolts and nuts</w:t>
            </w:r>
          </w:p>
          <w:p w:rsidR="00000000" w:rsidRPr="00002D27" w:rsidP="00002D27">
            <w:pPr>
              <w:pStyle w:val="ListBullet"/>
            </w:pPr>
            <w:r w:rsidRPr="00002D27">
              <w:t>masonry anchors</w:t>
            </w:r>
          </w:p>
          <w:p w:rsidR="00000000" w:rsidRPr="00002D27" w:rsidP="00002D27">
            <w:pPr>
              <w:pStyle w:val="ListBullet"/>
            </w:pPr>
            <w:r w:rsidRPr="00002D27">
              <w:t>metal</w:t>
            </w:r>
          </w:p>
          <w:p w:rsidR="00000000" w:rsidRPr="00002D27" w:rsidP="00002D27">
            <w:pPr>
              <w:pStyle w:val="ListBullet"/>
            </w:pPr>
            <w:r w:rsidRPr="00002D27">
              <w:t>nails and spikes</w:t>
            </w:r>
          </w:p>
          <w:p w:rsidR="00000000" w:rsidRPr="00002D27" w:rsidP="00002D27">
            <w:pPr>
              <w:pStyle w:val="ListBullet"/>
            </w:pPr>
            <w:r w:rsidRPr="00002D27">
              <w:t>patented metal fasteners</w:t>
            </w:r>
          </w:p>
          <w:p w:rsidR="00000000" w:rsidRPr="00002D27" w:rsidP="00002D27">
            <w:pPr>
              <w:pStyle w:val="ListBullet"/>
            </w:pPr>
            <w:r w:rsidRPr="00002D27">
              <w:t>pop rivets</w:t>
            </w:r>
          </w:p>
          <w:p w:rsidR="00000000" w:rsidRPr="00002D27" w:rsidP="00002D27">
            <w:pPr>
              <w:pStyle w:val="ListBullet"/>
            </w:pPr>
            <w:r w:rsidRPr="00002D27">
              <w:t>prefabricated components</w:t>
            </w:r>
          </w:p>
          <w:p w:rsidR="00000000" w:rsidRPr="00002D27" w:rsidP="00002D27">
            <w:pPr>
              <w:pStyle w:val="ListBullet"/>
            </w:pPr>
            <w:r w:rsidRPr="00002D27">
              <w:t>rivets</w:t>
            </w:r>
          </w:p>
          <w:p w:rsidR="00000000" w:rsidRPr="00002D27" w:rsidP="00002D27">
            <w:pPr>
              <w:pStyle w:val="ListBullet"/>
            </w:pPr>
            <w:r w:rsidRPr="00002D27">
              <w:t>screws</w:t>
            </w:r>
          </w:p>
          <w:p w:rsidR="00000000" w:rsidP="00002D27">
            <w:pPr>
              <w:pStyle w:val="ListBullet"/>
              <w:rPr>
                <w:lang w:val="en-NZ"/>
              </w:rPr>
            </w:pPr>
            <w:r w:rsidRPr="00002D27">
              <w:t>timber.</w:t>
            </w:r>
          </w:p>
        </w:tc>
      </w:tr>
      <w:tr w:rsidTr="00815F1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BoldandItalics"/>
              </w:rPr>
              <w:t>Environmental requirements</w:t>
            </w:r>
            <w:r w:rsidRPr="00002D27">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02D27" w:rsidP="00002D27">
            <w:pPr>
              <w:pStyle w:val="ListBullet"/>
            </w:pPr>
            <w:r w:rsidRPr="00002D27">
              <w:t>clean-up protection</w:t>
            </w:r>
          </w:p>
          <w:p w:rsidR="00000000" w:rsidRPr="00002D27" w:rsidP="00002D27">
            <w:pPr>
              <w:pStyle w:val="ListBullet"/>
            </w:pPr>
            <w:r w:rsidRPr="00002D27">
              <w:t>noise and dust</w:t>
            </w:r>
          </w:p>
          <w:p w:rsidR="00000000" w:rsidRPr="00002D27" w:rsidP="00002D27">
            <w:pPr>
              <w:pStyle w:val="ListBullet"/>
            </w:pPr>
            <w:r w:rsidRPr="00002D27">
              <w:t>vibration</w:t>
            </w:r>
          </w:p>
          <w:p w:rsidR="00000000" w:rsidP="00002D27">
            <w:pPr>
              <w:pStyle w:val="ListBullet"/>
              <w:rPr>
                <w:lang w:val="en-NZ"/>
              </w:rPr>
            </w:pPr>
            <w:r w:rsidRPr="00002D27">
              <w:t>waste management.</w:t>
            </w:r>
          </w:p>
        </w:tc>
      </w:tr>
      <w:tr w:rsidTr="00815F1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BoldandItalics"/>
              </w:rPr>
              <w:t>Statutory and regulatory authorities</w:t>
            </w:r>
            <w:r w:rsidRPr="00002D27">
              <w:t xml:space="preserve"> include: </w:t>
            </w:r>
          </w:p>
        </w:tc>
        <w:tc>
          <w:tcPr>
            <w:tcW w:w="5033" w:type="dxa"/>
            <w:tcBorders>
              <w:top w:val="nil"/>
              <w:left w:val="nil"/>
              <w:bottom w:val="nil"/>
              <w:right w:val="nil"/>
            </w:tcBorders>
            <w:tcMar>
              <w:top w:w="0" w:type="dxa"/>
              <w:left w:w="62" w:type="dxa"/>
              <w:bottom w:w="0" w:type="dxa"/>
              <w:right w:w="62" w:type="dxa"/>
            </w:tcMar>
          </w:tcPr>
          <w:p w:rsidR="00000000" w:rsidP="00002D27">
            <w:pPr>
              <w:pStyle w:val="ListBullet"/>
              <w:rPr>
                <w:lang w:val="en-NZ"/>
              </w:rPr>
            </w:pPr>
            <w:r w:rsidRPr="00002D27">
              <w:t>federal, state and local authorities administering applicable Acts, regulations and codes of practice.</w:t>
            </w:r>
          </w:p>
        </w:tc>
      </w:tr>
      <w:tr w:rsidTr="00815F1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BoldandItalics"/>
              </w:rPr>
              <w:t>Bulkheads</w:t>
            </w:r>
            <w:r w:rsidRPr="00002D27">
              <w:t xml:space="preserve">: </w:t>
            </w:r>
          </w:p>
        </w:tc>
        <w:tc>
          <w:tcPr>
            <w:tcW w:w="5033" w:type="dxa"/>
            <w:tcBorders>
              <w:top w:val="nil"/>
              <w:left w:val="nil"/>
              <w:bottom w:val="nil"/>
              <w:right w:val="nil"/>
            </w:tcBorders>
            <w:tcMar>
              <w:top w:w="0" w:type="dxa"/>
              <w:left w:w="62" w:type="dxa"/>
              <w:bottom w:w="0" w:type="dxa"/>
              <w:right w:w="62" w:type="dxa"/>
            </w:tcMar>
          </w:tcPr>
          <w:p w:rsidR="00000000" w:rsidRPr="00002D27" w:rsidP="00002D27">
            <w:pPr>
              <w:pStyle w:val="ListBullet"/>
            </w:pPr>
            <w:r w:rsidRPr="00002D27">
              <w:t>include:</w:t>
            </w:r>
          </w:p>
          <w:p w:rsidR="00000000" w:rsidRPr="00002D27" w:rsidP="00002D27">
            <w:pPr>
              <w:pStyle w:val="ListBullet2"/>
            </w:pPr>
            <w:r w:rsidRPr="00002D27">
              <w:t>decoration, to contain fittings (bar hoods and cupboards) and help facilitate changes in height to ceilings</w:t>
            </w:r>
          </w:p>
          <w:p w:rsidR="00000000" w:rsidRPr="00002D27" w:rsidP="00002D27">
            <w:pPr>
              <w:pStyle w:val="ListBullet2"/>
            </w:pPr>
            <w:r w:rsidRPr="00002D27">
              <w:t>services</w:t>
            </w:r>
          </w:p>
          <w:p w:rsidR="00000000" w:rsidRPr="00002D27" w:rsidP="00002D27">
            <w:pPr>
              <w:pStyle w:val="ListBullet2"/>
            </w:pPr>
            <w:r w:rsidRPr="00002D27">
              <w:t>smoke containment</w:t>
            </w:r>
          </w:p>
          <w:p w:rsidR="00000000" w:rsidRPr="00002D27" w:rsidP="00002D27">
            <w:pPr>
              <w:pStyle w:val="ListBullet"/>
            </w:pPr>
            <w:r w:rsidRPr="00002D27">
              <w:t>may require sound or fire rating</w:t>
            </w:r>
          </w:p>
          <w:p w:rsidR="00000000" w:rsidRPr="00002D27" w:rsidP="00002D27">
            <w:pPr>
              <w:pStyle w:val="ListBullet"/>
            </w:pPr>
            <w:r w:rsidRPr="00002D27">
              <w:t>may be constructed of metal or timber</w:t>
            </w:r>
          </w:p>
          <w:p w:rsidR="00000000" w:rsidRPr="00002D27" w:rsidP="00002D27">
            <w:pPr>
              <w:pStyle w:val="ListBullet"/>
            </w:pPr>
            <w:r w:rsidRPr="00002D27">
              <w:t>may be sheeted with plasterboard, lining boards, reconstituted timber products, metal or plastic decorative panels</w:t>
            </w:r>
          </w:p>
          <w:p w:rsidR="00000000" w:rsidRPr="00002D27" w:rsidP="00002D27">
            <w:pPr>
              <w:pStyle w:val="ListBullet"/>
            </w:pPr>
            <w:r w:rsidRPr="00002D27">
              <w:t>may be hung from the structure above, incorporated into the structure above or fastened to the structure above.</w:t>
            </w:r>
          </w:p>
        </w:tc>
      </w:tr>
    </w:tbl>
    <w:p w:rsidR="00815F18" w:rsidP="00002D27">
      <w:pPr>
        <w:pStyle w:val="BodyText"/>
      </w:pPr>
    </w:p>
    <w:p w:rsidR="00815F18" w:rsidP="00002D27">
      <w:pPr>
        <w:pStyle w:val="BodyText"/>
      </w:pPr>
    </w:p>
    <w:p w:rsidR="00000000" w:rsidRPr="00002D27" w:rsidP="00002D27">
      <w:pPr>
        <w:pStyle w:val="Heading1"/>
      </w:pPr>
      <w:bookmarkStart w:id="12" w:name="O_197457"/>
      <w:bookmarkEnd w:id="12"/>
      <w:r w:rsidRPr="00002D27">
        <w:t>Unit Sector(s)</w:t>
      </w:r>
    </w:p>
    <w:tbl>
      <w:tblPr>
        <w:tblW w:w="0" w:type="auto"/>
        <w:tblLayout w:type="fixed"/>
        <w:tblCellMar>
          <w:left w:w="62" w:type="dxa"/>
          <w:right w:w="62" w:type="dxa"/>
        </w:tblCellMar>
        <w:tblLook w:val="0000"/>
      </w:tblPr>
      <w:tblGrid>
        <w:gridCol w:w="2521"/>
        <w:gridCol w:w="6001"/>
      </w:tblGrid>
      <w:tr w:rsidTr="00815F18">
        <w:tblPrEx>
          <w:tblW w:w="0" w:type="auto"/>
          <w:tblLayout w:type="fixed"/>
          <w:tblCellMar>
            <w:left w:w="62" w:type="dxa"/>
            <w:right w:w="62" w:type="dxa"/>
          </w:tblCellMar>
          <w:tblLook w:val="0000"/>
        </w:tblPrEx>
        <w:trPr>
          <w:tblHeader/>
        </w:trPr>
        <w:tc>
          <w:tcPr>
            <w:tcW w:w="2521"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SpecialBold"/>
              </w:rPr>
              <w:t>Unit sector</w:t>
            </w:r>
          </w:p>
        </w:tc>
        <w:tc>
          <w:tcPr>
            <w:tcW w:w="6001" w:type="dxa"/>
            <w:tcBorders>
              <w:top w:val="nil"/>
              <w:left w:val="nil"/>
              <w:bottom w:val="nil"/>
              <w:right w:val="nil"/>
            </w:tcBorders>
            <w:tcMar>
              <w:top w:w="0" w:type="dxa"/>
              <w:left w:w="62" w:type="dxa"/>
              <w:bottom w:w="0" w:type="dxa"/>
              <w:right w:w="62" w:type="dxa"/>
            </w:tcMar>
          </w:tcPr>
          <w:p w:rsidR="00000000" w:rsidRPr="00002D27" w:rsidP="00002D27">
            <w:pPr>
              <w:pStyle w:val="BodyText"/>
            </w:pPr>
            <w:r w:rsidRPr="00002D27">
              <w:t>Construction</w:t>
            </w:r>
          </w:p>
        </w:tc>
      </w:tr>
    </w:tbl>
    <w:p w:rsidR="00815F18" w:rsidP="00002D27">
      <w:pPr>
        <w:pStyle w:val="BodyText"/>
      </w:pPr>
    </w:p>
    <w:p w:rsidR="00815F18" w:rsidP="00002D27">
      <w:pPr>
        <w:pStyle w:val="BodyText"/>
      </w:pPr>
    </w:p>
    <w:p w:rsidR="00000000" w:rsidRPr="00002D27" w:rsidP="00002D27">
      <w:pPr>
        <w:pStyle w:val="Heading1"/>
      </w:pPr>
      <w:bookmarkStart w:id="13" w:name="O_197454"/>
      <w:bookmarkEnd w:id="13"/>
      <w:r w:rsidRPr="00002D27">
        <w:t>Co-requisite units</w:t>
      </w:r>
    </w:p>
    <w:tbl>
      <w:tblPr>
        <w:tblW w:w="0" w:type="auto"/>
        <w:tblLayout w:type="fixed"/>
        <w:tblCellMar>
          <w:left w:w="62" w:type="dxa"/>
          <w:right w:w="62" w:type="dxa"/>
        </w:tblCellMar>
        <w:tblLook w:val="0000"/>
      </w:tblPr>
      <w:tblGrid>
        <w:gridCol w:w="2535"/>
        <w:gridCol w:w="5987"/>
      </w:tblGrid>
      <w:tr w:rsidTr="00815F18">
        <w:tblPrEx>
          <w:tblW w:w="0" w:type="auto"/>
          <w:tblLayout w:type="fixed"/>
          <w:tblCellMar>
            <w:left w:w="62" w:type="dxa"/>
            <w:right w:w="62" w:type="dxa"/>
          </w:tblCellMar>
          <w:tblLook w:val="0000"/>
        </w:tblPrEx>
        <w:trPr>
          <w:tblHeader/>
        </w:trPr>
        <w:tc>
          <w:tcPr>
            <w:tcW w:w="2535"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SpecialBold"/>
              </w:rPr>
              <w:t>Co-requisite units</w:t>
            </w:r>
          </w:p>
        </w:tc>
        <w:tc>
          <w:tcPr>
            <w:tcW w:w="5987" w:type="dxa"/>
            <w:tcBorders>
              <w:top w:val="nil"/>
              <w:left w:val="nil"/>
              <w:bottom w:val="nil"/>
              <w:right w:val="nil"/>
            </w:tcBorders>
            <w:tcMar>
              <w:top w:w="0" w:type="dxa"/>
              <w:left w:w="62" w:type="dxa"/>
              <w:bottom w:w="0" w:type="dxa"/>
              <w:right w:w="62" w:type="dxa"/>
            </w:tcMar>
          </w:tcPr>
          <w:p w:rsidR="00000000" w:rsidRPr="00002D27" w:rsidP="00002D27">
            <w:pPr>
              <w:pStyle w:val="BodyText"/>
            </w:pPr>
            <w:r w:rsidRPr="00002D27">
              <w:t>Nil</w:t>
            </w:r>
          </w:p>
        </w:tc>
      </w:tr>
    </w:tbl>
    <w:p w:rsidR="00815F18" w:rsidP="00002D27">
      <w:pPr>
        <w:pStyle w:val="BodyText"/>
      </w:pPr>
    </w:p>
    <w:p w:rsidR="00815F18" w:rsidP="00002D27">
      <w:pPr>
        <w:pStyle w:val="BodyText"/>
      </w:pPr>
    </w:p>
    <w:p w:rsidR="00000000" w:rsidRPr="00002D27" w:rsidP="00002D27">
      <w:pPr>
        <w:pStyle w:val="Heading1"/>
      </w:pPr>
      <w:bookmarkStart w:id="14" w:name="O_197456"/>
      <w:bookmarkEnd w:id="14"/>
      <w:r w:rsidRPr="00002D27">
        <w:t>Functional area</w:t>
      </w:r>
    </w:p>
    <w:tbl>
      <w:tblPr>
        <w:tblW w:w="0" w:type="auto"/>
        <w:tblLayout w:type="fixed"/>
        <w:tblCellMar>
          <w:left w:w="62" w:type="dxa"/>
          <w:right w:w="62" w:type="dxa"/>
        </w:tblCellMar>
        <w:tblLook w:val="0000"/>
      </w:tblPr>
      <w:tblGrid>
        <w:gridCol w:w="2624"/>
        <w:gridCol w:w="5898"/>
      </w:tblGrid>
      <w:tr w:rsidTr="00815F18">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002D27">
            <w:pPr>
              <w:pStyle w:val="BodyText"/>
              <w:rPr>
                <w:lang w:val="en-NZ"/>
              </w:rPr>
            </w:pPr>
            <w:r w:rsidRPr="00002D27">
              <w:rPr>
                <w:rStyle w:val="SpecialBold"/>
              </w:rPr>
              <w:t>Functional area</w:t>
            </w:r>
          </w:p>
        </w:tc>
        <w:tc>
          <w:tcPr>
            <w:tcW w:w="5898" w:type="dxa"/>
            <w:tcBorders>
              <w:top w:val="nil"/>
              <w:left w:val="nil"/>
              <w:bottom w:val="nil"/>
              <w:right w:val="nil"/>
            </w:tcBorders>
            <w:tcMar>
              <w:top w:w="0" w:type="dxa"/>
              <w:left w:w="62" w:type="dxa"/>
              <w:bottom w:w="0" w:type="dxa"/>
              <w:right w:w="62" w:type="dxa"/>
            </w:tcMar>
          </w:tcPr>
          <w:p w:rsidR="00000000" w:rsidRPr="00002D27" w:rsidP="00002D27">
            <w:pPr>
              <w:pStyle w:val="BodyText"/>
            </w:pPr>
          </w:p>
        </w:tc>
      </w:tr>
    </w:tbl>
    <w:p w:rsidR="00815F18" w:rsidP="00002D27">
      <w:pPr>
        <w:pStyle w:val="BodyText"/>
      </w:pPr>
    </w:p>
    <w:p w:rsidR="00815F18" w:rsidP="00002D27">
      <w:pPr>
        <w:pStyle w:val="BodyText"/>
      </w:pPr>
    </w:p>
    <w:p w:rsidR="00000000" w:rsidRPr="00002D27" w:rsidP="00002D27"/>
    <w:sectPr w:rsidSect="00002D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D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5F18" w:rsidP="00815F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D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F18" w:rsidP="00002D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15F18" w:rsidP="00002D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15F18" w:rsidP="00002D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D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5F18" w:rsidP="00815F1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D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F18" w:rsidP="00002D27">
    <w:pPr>
      <w:pStyle w:val="Header"/>
      <w:framePr w:wrap="around"/>
    </w:pPr>
    <w:r>
      <w:fldChar w:fldCharType="begin"/>
    </w:r>
    <w:r>
      <w:instrText xml:space="preserve"> TITLE   \* MERGEFORMAT </w:instrText>
    </w:r>
    <w:r>
      <w:fldChar w:fldCharType="separate"/>
    </w:r>
    <w:r>
      <w:t>CPCCCA3014A Construct bulkheads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15F18" w:rsidP="00002D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1A24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7E76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2EFD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D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2D27"/>
    <w:pPr>
      <w:spacing w:before="360" w:after="60"/>
      <w:outlineLvl w:val="0"/>
    </w:pPr>
    <w:rPr>
      <w:sz w:val="32"/>
    </w:rPr>
  </w:style>
  <w:style w:type="paragraph" w:styleId="Heading2">
    <w:name w:val="heading 2"/>
    <w:basedOn w:val="HeadingBase"/>
    <w:next w:val="BodyText"/>
    <w:link w:val="Heading2Char"/>
    <w:qFormat/>
    <w:rsid w:val="00002D27"/>
    <w:pPr>
      <w:keepLines/>
      <w:spacing w:before="240" w:after="120"/>
      <w:outlineLvl w:val="1"/>
    </w:pPr>
    <w:rPr>
      <w:sz w:val="28"/>
      <w:szCs w:val="40"/>
    </w:rPr>
  </w:style>
  <w:style w:type="paragraph" w:styleId="Heading3">
    <w:name w:val="heading 3"/>
    <w:basedOn w:val="HeadingBase"/>
    <w:next w:val="BodyText"/>
    <w:link w:val="Heading3Char"/>
    <w:qFormat/>
    <w:rsid w:val="00002D27"/>
    <w:pPr>
      <w:spacing w:before="180" w:after="120"/>
      <w:outlineLvl w:val="2"/>
    </w:pPr>
    <w:rPr>
      <w:spacing w:val="-10"/>
      <w:kern w:val="32"/>
    </w:rPr>
  </w:style>
  <w:style w:type="paragraph" w:styleId="Heading4">
    <w:name w:val="heading 4"/>
    <w:basedOn w:val="HeadingBase"/>
    <w:next w:val="BodyText"/>
    <w:link w:val="Heading4Char"/>
    <w:qFormat/>
    <w:rsid w:val="00002D27"/>
    <w:pPr>
      <w:spacing w:before="160" w:after="120"/>
      <w:outlineLvl w:val="3"/>
    </w:pPr>
    <w:rPr>
      <w:sz w:val="22"/>
    </w:rPr>
  </w:style>
  <w:style w:type="paragraph" w:styleId="Heading5">
    <w:name w:val="heading 5"/>
    <w:basedOn w:val="HeadingBase"/>
    <w:next w:val="Normal"/>
    <w:link w:val="Heading5Char"/>
    <w:qFormat/>
    <w:rsid w:val="00002D27"/>
    <w:pPr>
      <w:spacing w:before="80"/>
      <w:outlineLvl w:val="4"/>
    </w:pPr>
    <w:rPr>
      <w:color w:val="918585"/>
      <w:sz w:val="20"/>
    </w:rPr>
  </w:style>
  <w:style w:type="paragraph" w:styleId="Heading6">
    <w:name w:val="heading 6"/>
    <w:basedOn w:val="HeadingBase"/>
    <w:next w:val="Normal"/>
    <w:link w:val="Heading6Char"/>
    <w:qFormat/>
    <w:rsid w:val="00002D27"/>
    <w:pPr>
      <w:spacing w:before="60"/>
      <w:outlineLvl w:val="5"/>
    </w:pPr>
    <w:rPr>
      <w:color w:val="918585"/>
      <w:sz w:val="20"/>
    </w:rPr>
  </w:style>
  <w:style w:type="paragraph" w:styleId="Heading7">
    <w:name w:val="heading 7"/>
    <w:basedOn w:val="Normal"/>
    <w:next w:val="Normal"/>
    <w:link w:val="Heading7Char"/>
    <w:qFormat/>
    <w:rsid w:val="00002D27"/>
    <w:pPr>
      <w:ind w:left="720"/>
      <w:outlineLvl w:val="6"/>
    </w:pPr>
    <w:rPr>
      <w:i/>
    </w:rPr>
  </w:style>
  <w:style w:type="paragraph" w:styleId="Heading8">
    <w:name w:val="heading 8"/>
    <w:basedOn w:val="Normal"/>
    <w:next w:val="Normal"/>
    <w:link w:val="Heading8Char"/>
    <w:qFormat/>
    <w:rsid w:val="00002D27"/>
    <w:pPr>
      <w:ind w:left="720"/>
      <w:outlineLvl w:val="7"/>
    </w:pPr>
    <w:rPr>
      <w:i/>
    </w:rPr>
  </w:style>
  <w:style w:type="paragraph" w:styleId="Heading9">
    <w:name w:val="heading 9"/>
    <w:basedOn w:val="Normal"/>
    <w:next w:val="Normal"/>
    <w:link w:val="Heading9Char"/>
    <w:qFormat/>
    <w:rsid w:val="00002D27"/>
    <w:pPr>
      <w:ind w:left="720"/>
      <w:outlineLvl w:val="8"/>
    </w:pPr>
    <w:rPr>
      <w:i/>
    </w:rPr>
  </w:style>
  <w:style w:type="character" w:default="1" w:styleId="DefaultParagraphFont">
    <w:name w:val="Default Paragraph Font"/>
    <w:uiPriority w:val="1"/>
    <w:unhideWhenUsed/>
    <w:rsid w:val="00002D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D27"/>
  </w:style>
  <w:style w:type="character" w:customStyle="1" w:styleId="Heading1Char">
    <w:name w:val="Heading 1 Char"/>
    <w:link w:val="Heading1"/>
    <w:rsid w:val="00002D27"/>
    <w:rPr>
      <w:rFonts w:ascii="Times New Roman" w:eastAsia="Times New Roman" w:hAnsi="Times New Roman" w:cs="Times New Roman"/>
      <w:b/>
      <w:sz w:val="32"/>
      <w:szCs w:val="20"/>
      <w:lang w:eastAsia="en-US"/>
    </w:rPr>
  </w:style>
  <w:style w:type="paragraph" w:styleId="BodyText">
    <w:name w:val="Body Text"/>
    <w:basedOn w:val="Normal"/>
    <w:link w:val="BodyTextChar"/>
    <w:rsid w:val="00002D27"/>
    <w:pPr>
      <w:spacing w:before="120" w:after="120"/>
      <w:contextualSpacing/>
    </w:pPr>
    <w:rPr>
      <w:rFonts w:ascii="Times New Roman" w:hAnsi="Times New Roman"/>
      <w:sz w:val="24"/>
      <w:szCs w:val="22"/>
    </w:rPr>
  </w:style>
  <w:style w:type="character" w:customStyle="1" w:styleId="BodyTextChar">
    <w:name w:val="Body Text Char"/>
    <w:link w:val="BodyText"/>
    <w:rsid w:val="00002D27"/>
    <w:rPr>
      <w:rFonts w:ascii="Times New Roman" w:eastAsia="Times New Roman" w:hAnsi="Times New Roman" w:cs="Times New Roman"/>
      <w:sz w:val="24"/>
      <w:lang w:val="en-US" w:eastAsia="en-US"/>
    </w:rPr>
  </w:style>
  <w:style w:type="paragraph" w:styleId="Footer">
    <w:name w:val="footer"/>
    <w:basedOn w:val="Normal"/>
    <w:link w:val="FooterChar"/>
    <w:rsid w:val="00002D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02D27"/>
    <w:rPr>
      <w:rFonts w:ascii="Times New Roman" w:eastAsia="Times New Roman" w:hAnsi="Times New Roman" w:cs="Times New Roman"/>
      <w:sz w:val="16"/>
      <w:lang w:val="en-US" w:eastAsia="en-US"/>
    </w:rPr>
  </w:style>
  <w:style w:type="paragraph" w:styleId="List">
    <w:name w:val="List"/>
    <w:basedOn w:val="BodyText"/>
    <w:next w:val="BodyText"/>
    <w:rsid w:val="00002D27"/>
    <w:pPr>
      <w:tabs>
        <w:tab w:val="left" w:pos="340"/>
      </w:tabs>
      <w:spacing w:before="60" w:after="60"/>
      <w:ind w:left="340" w:hanging="340"/>
    </w:pPr>
  </w:style>
  <w:style w:type="paragraph" w:styleId="ListBullet">
    <w:name w:val="List Bullet"/>
    <w:basedOn w:val="List"/>
    <w:rsid w:val="00002D27"/>
    <w:pPr>
      <w:numPr>
        <w:numId w:val="14"/>
      </w:numPr>
      <w:tabs>
        <w:tab w:val="clear" w:pos="340"/>
      </w:tabs>
      <w:spacing w:before="40" w:after="40"/>
    </w:pPr>
  </w:style>
  <w:style w:type="character" w:customStyle="1" w:styleId="SpecialBold">
    <w:name w:val="Special Bold"/>
    <w:rsid w:val="00002D27"/>
    <w:rPr>
      <w:b/>
      <w:spacing w:val="0"/>
    </w:rPr>
  </w:style>
  <w:style w:type="paragraph" w:styleId="ListBullet2">
    <w:name w:val="List Bullet 2"/>
    <w:basedOn w:val="List2"/>
    <w:rsid w:val="00002D27"/>
    <w:pPr>
      <w:numPr>
        <w:numId w:val="15"/>
      </w:numPr>
      <w:tabs>
        <w:tab w:val="clear" w:pos="680"/>
      </w:tabs>
    </w:pPr>
  </w:style>
  <w:style w:type="paragraph" w:styleId="Header">
    <w:name w:val="header"/>
    <w:basedOn w:val="Normal"/>
    <w:link w:val="HeaderChar"/>
    <w:rsid w:val="00002D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02D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2D27"/>
    <w:pPr>
      <w:spacing w:before="240" w:after="120"/>
      <w:outlineLvl w:val="0"/>
    </w:pPr>
    <w:rPr>
      <w:rFonts w:ascii="Times New Roman" w:hAnsi="Times New Roman"/>
      <w:b/>
      <w:sz w:val="28"/>
    </w:rPr>
  </w:style>
  <w:style w:type="paragraph" w:customStyle="1" w:styleId="AllowPageBreak">
    <w:name w:val="AllowPageBreak"/>
    <w:rsid w:val="00002D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2D27"/>
    <w:pPr>
      <w:tabs>
        <w:tab w:val="left" w:pos="680"/>
      </w:tabs>
      <w:spacing w:before="60" w:after="60"/>
      <w:ind w:left="680" w:hanging="340"/>
    </w:pPr>
  </w:style>
  <w:style w:type="paragraph" w:styleId="ListBullet3">
    <w:name w:val="List Bullet 3"/>
    <w:basedOn w:val="List3"/>
    <w:rsid w:val="00002D27"/>
    <w:pPr>
      <w:numPr>
        <w:numId w:val="3"/>
      </w:numPr>
      <w:tabs>
        <w:tab w:val="clear" w:pos="1021"/>
      </w:tabs>
      <w:ind w:left="1037" w:hanging="357"/>
    </w:pPr>
  </w:style>
  <w:style w:type="character" w:customStyle="1" w:styleId="BoldandItalics">
    <w:name w:val="Bold and Italics"/>
    <w:qFormat/>
    <w:rsid w:val="00002D27"/>
    <w:rPr>
      <w:b/>
      <w:i/>
      <w:u w:val="none"/>
    </w:rPr>
  </w:style>
  <w:style w:type="character" w:customStyle="1" w:styleId="Heading2Char">
    <w:name w:val="Heading 2 Char"/>
    <w:link w:val="Heading2"/>
    <w:rsid w:val="00002D27"/>
    <w:rPr>
      <w:rFonts w:ascii="Times New Roman" w:eastAsia="Times New Roman" w:hAnsi="Times New Roman" w:cs="Times New Roman"/>
      <w:b/>
      <w:sz w:val="28"/>
      <w:szCs w:val="40"/>
      <w:lang w:eastAsia="en-US"/>
    </w:rPr>
  </w:style>
  <w:style w:type="character" w:customStyle="1" w:styleId="Heading3Char">
    <w:name w:val="Heading 3 Char"/>
    <w:link w:val="Heading3"/>
    <w:rsid w:val="00002D2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02D27"/>
    <w:rPr>
      <w:rFonts w:ascii="Times New Roman" w:eastAsia="Times New Roman" w:hAnsi="Times New Roman" w:cs="Times New Roman"/>
      <w:b/>
      <w:szCs w:val="20"/>
      <w:lang w:eastAsia="en-US"/>
    </w:rPr>
  </w:style>
  <w:style w:type="character" w:customStyle="1" w:styleId="Heading5Char">
    <w:name w:val="Heading 5 Char"/>
    <w:link w:val="Heading5"/>
    <w:rsid w:val="00002D2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02D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D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2D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2D27"/>
    <w:rPr>
      <w:rFonts w:ascii="Courier New" w:eastAsia="Times New Roman" w:hAnsi="Courier New" w:cs="Times New Roman"/>
      <w:i/>
      <w:szCs w:val="20"/>
      <w:lang w:val="en-US" w:eastAsia="en-US"/>
    </w:rPr>
  </w:style>
  <w:style w:type="paragraph" w:customStyle="1" w:styleId="HeadingBase">
    <w:name w:val="Heading Base"/>
    <w:rsid w:val="00002D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D27"/>
    <w:pPr>
      <w:tabs>
        <w:tab w:val="right" w:leader="dot" w:pos="9072"/>
      </w:tabs>
      <w:ind w:left="567"/>
    </w:pPr>
    <w:rPr>
      <w:szCs w:val="22"/>
    </w:rPr>
  </w:style>
  <w:style w:type="paragraph" w:customStyle="1" w:styleId="TOCBase">
    <w:name w:val="TOC Base"/>
    <w:rsid w:val="00002D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D27"/>
    <w:pPr>
      <w:tabs>
        <w:tab w:val="right" w:leader="dot" w:pos="9072"/>
      </w:tabs>
      <w:spacing w:before="40" w:after="40"/>
      <w:ind w:left="284"/>
    </w:pPr>
    <w:rPr>
      <w:rFonts w:ascii="Times New Roman" w:hAnsi="Times New Roman"/>
    </w:rPr>
  </w:style>
  <w:style w:type="paragraph" w:styleId="TOC1">
    <w:name w:val="toc 1"/>
    <w:basedOn w:val="TOCBase"/>
    <w:next w:val="Normal"/>
    <w:rsid w:val="00002D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2D27"/>
    <w:pPr>
      <w:spacing w:before="5040"/>
      <w:jc w:val="center"/>
    </w:pPr>
    <w:rPr>
      <w:sz w:val="48"/>
      <w:szCs w:val="72"/>
      <w:lang w:val="en-US"/>
    </w:rPr>
  </w:style>
  <w:style w:type="character" w:customStyle="1" w:styleId="TitleChar">
    <w:name w:val="Title Char"/>
    <w:link w:val="Title"/>
    <w:rsid w:val="00002D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D27"/>
    <w:pPr>
      <w:tabs>
        <w:tab w:val="left" w:pos="3600"/>
        <w:tab w:val="left" w:pos="3958"/>
      </w:tabs>
    </w:pPr>
  </w:style>
  <w:style w:type="paragraph" w:customStyle="1" w:styleId="Note">
    <w:name w:val="Note"/>
    <w:basedOn w:val="BodyText"/>
    <w:rsid w:val="00002D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D27"/>
    <w:pPr>
      <w:framePr w:wrap="auto" w:hAnchor="text" w:y="6049"/>
    </w:pPr>
    <w:rPr>
      <w:color w:val="000000"/>
      <w:sz w:val="40"/>
    </w:rPr>
  </w:style>
  <w:style w:type="paragraph" w:customStyle="1" w:styleId="TOCTitle">
    <w:name w:val="TOCTitle"/>
    <w:basedOn w:val="Heading1"/>
    <w:rsid w:val="00002D27"/>
    <w:pPr>
      <w:spacing w:after="240"/>
      <w:jc w:val="center"/>
      <w:outlineLvl w:val="9"/>
    </w:pPr>
    <w:rPr>
      <w:caps/>
    </w:rPr>
  </w:style>
  <w:style w:type="paragraph" w:customStyle="1" w:styleId="Version">
    <w:name w:val="Version"/>
    <w:rsid w:val="00002D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2D27"/>
    <w:pPr>
      <w:keepNext w:val="0"/>
      <w:tabs>
        <w:tab w:val="right" w:pos="4176"/>
      </w:tabs>
      <w:ind w:left="198" w:hanging="198"/>
    </w:pPr>
    <w:rPr>
      <w:rFonts w:ascii="Garamond" w:hAnsi="Garamond"/>
    </w:rPr>
  </w:style>
  <w:style w:type="paragraph" w:styleId="IndexHeading">
    <w:name w:val="index heading"/>
    <w:basedOn w:val="Normal"/>
    <w:next w:val="Index1"/>
    <w:semiHidden/>
    <w:rsid w:val="00002D27"/>
    <w:pPr>
      <w:spacing w:before="120" w:after="120"/>
    </w:pPr>
    <w:rPr>
      <w:rFonts w:ascii="Arial" w:hAnsi="Arial"/>
      <w:b/>
      <w:color w:val="918585"/>
      <w:sz w:val="24"/>
    </w:rPr>
  </w:style>
  <w:style w:type="paragraph" w:customStyle="1" w:styleId="Chapter">
    <w:name w:val="Chapter"/>
    <w:basedOn w:val="Normal"/>
    <w:rsid w:val="00002D27"/>
    <w:pPr>
      <w:spacing w:before="240"/>
    </w:pPr>
    <w:rPr>
      <w:rFonts w:ascii="Times New Roman" w:hAnsi="Times New Roman"/>
      <w:smallCaps/>
      <w:spacing w:val="80"/>
      <w:sz w:val="28"/>
    </w:rPr>
  </w:style>
  <w:style w:type="paragraph" w:customStyle="1" w:styleId="InChapter">
    <w:name w:val="InChapter"/>
    <w:basedOn w:val="Heading3"/>
    <w:rsid w:val="00002D27"/>
    <w:pPr>
      <w:spacing w:after="240"/>
      <w:outlineLvl w:val="9"/>
    </w:pPr>
    <w:rPr>
      <w:noProof/>
    </w:rPr>
  </w:style>
  <w:style w:type="paragraph" w:styleId="Index2">
    <w:name w:val="index 2"/>
    <w:basedOn w:val="Normal"/>
    <w:next w:val="Normal"/>
    <w:semiHidden/>
    <w:rsid w:val="00002D27"/>
    <w:pPr>
      <w:tabs>
        <w:tab w:val="right" w:pos="4176"/>
      </w:tabs>
      <w:ind w:left="568" w:hanging="284"/>
    </w:pPr>
    <w:rPr>
      <w:rFonts w:ascii="Garamond" w:hAnsi="Garamond"/>
    </w:rPr>
  </w:style>
  <w:style w:type="paragraph" w:customStyle="1" w:styleId="Byline">
    <w:name w:val="Byline"/>
    <w:rsid w:val="00002D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D27"/>
    <w:pPr>
      <w:tabs>
        <w:tab w:val="clear" w:pos="3600"/>
        <w:tab w:val="clear" w:pos="3958"/>
      </w:tabs>
      <w:jc w:val="right"/>
    </w:pPr>
  </w:style>
  <w:style w:type="character" w:styleId="Emphasis">
    <w:name w:val="Emphasis"/>
    <w:qFormat/>
    <w:rsid w:val="00002D27"/>
    <w:rPr>
      <w:i/>
    </w:rPr>
  </w:style>
  <w:style w:type="paragraph" w:styleId="Caption">
    <w:name w:val="caption"/>
    <w:basedOn w:val="BodyText"/>
    <w:next w:val="Normal"/>
    <w:qFormat/>
    <w:rsid w:val="00002D27"/>
    <w:pPr>
      <w:framePr w:w="2268" w:hSpace="181" w:vSpace="181" w:wrap="around" w:vAnchor="text" w:hAnchor="page" w:x="1135" w:y="285" w:anchorLock="1"/>
    </w:pPr>
    <w:rPr>
      <w:i/>
    </w:rPr>
  </w:style>
  <w:style w:type="paragraph" w:customStyle="1" w:styleId="MiniTOCTitle">
    <w:name w:val="MiniTOCTitle"/>
    <w:basedOn w:val="Heading4"/>
    <w:rsid w:val="00002D27"/>
    <w:pPr>
      <w:spacing w:before="240"/>
      <w:outlineLvl w:val="9"/>
    </w:pPr>
    <w:rPr>
      <w:noProof/>
      <w:sz w:val="24"/>
    </w:rPr>
  </w:style>
  <w:style w:type="paragraph" w:customStyle="1" w:styleId="MiniTOCItem">
    <w:name w:val="MiniTOCItem"/>
    <w:basedOn w:val="ListBullet"/>
    <w:rsid w:val="00002D27"/>
    <w:pPr>
      <w:numPr>
        <w:numId w:val="0"/>
      </w:numPr>
      <w:tabs>
        <w:tab w:val="right" w:leader="dot" w:pos="6521"/>
      </w:tabs>
      <w:spacing w:before="0" w:after="0"/>
    </w:pPr>
  </w:style>
  <w:style w:type="paragraph" w:customStyle="1" w:styleId="TOFTitle">
    <w:name w:val="TOFTitle"/>
    <w:basedOn w:val="TOCTitle"/>
    <w:rsid w:val="00002D27"/>
  </w:style>
  <w:style w:type="paragraph" w:styleId="TableofFigures">
    <w:name w:val="table of figures"/>
    <w:basedOn w:val="Normal"/>
    <w:next w:val="Normal"/>
    <w:semiHidden/>
    <w:rsid w:val="00002D27"/>
    <w:pPr>
      <w:tabs>
        <w:tab w:val="right" w:leader="dot" w:pos="9072"/>
      </w:tabs>
      <w:ind w:left="970" w:hanging="403"/>
    </w:pPr>
    <w:rPr>
      <w:rFonts w:ascii="Times New Roman" w:hAnsi="Times New Roman"/>
      <w:b/>
    </w:rPr>
  </w:style>
  <w:style w:type="paragraph" w:styleId="ListNumber">
    <w:name w:val="List Number"/>
    <w:basedOn w:val="List"/>
    <w:rsid w:val="00002D27"/>
    <w:pPr>
      <w:numPr>
        <w:numId w:val="12"/>
      </w:numPr>
    </w:pPr>
  </w:style>
  <w:style w:type="character" w:customStyle="1" w:styleId="WingdingSymbols">
    <w:name w:val="Wingding Symbols"/>
    <w:rsid w:val="00002D27"/>
    <w:rPr>
      <w:rFonts w:ascii="Wingdings" w:hAnsi="Wingdings"/>
    </w:rPr>
  </w:style>
  <w:style w:type="paragraph" w:customStyle="1" w:styleId="TableHeading">
    <w:name w:val="Table Heading"/>
    <w:basedOn w:val="HeadingBase"/>
    <w:rsid w:val="00002D27"/>
    <w:pPr>
      <w:keepLines/>
      <w:pBdr>
        <w:bottom w:val="single" w:sz="6" w:space="1" w:color="918585"/>
      </w:pBdr>
      <w:spacing w:before="240"/>
    </w:pPr>
  </w:style>
  <w:style w:type="character" w:customStyle="1" w:styleId="HotSpot">
    <w:name w:val="HotSpot"/>
    <w:rsid w:val="00002D27"/>
    <w:rPr>
      <w:color w:val="0033CC"/>
      <w:u w:val="none"/>
    </w:rPr>
  </w:style>
  <w:style w:type="paragraph" w:customStyle="1" w:styleId="BodyTextRight">
    <w:name w:val="Body Text Right"/>
    <w:basedOn w:val="BodyText"/>
    <w:rsid w:val="00002D27"/>
    <w:pPr>
      <w:spacing w:before="0" w:after="0"/>
      <w:jc w:val="right"/>
    </w:pPr>
  </w:style>
  <w:style w:type="paragraph" w:styleId="Index3">
    <w:name w:val="index 3"/>
    <w:basedOn w:val="ListNumber2"/>
    <w:next w:val="Normal"/>
    <w:semiHidden/>
    <w:rsid w:val="00002D27"/>
    <w:pPr>
      <w:numPr>
        <w:numId w:val="0"/>
      </w:numPr>
      <w:tabs>
        <w:tab w:val="right" w:leader="dot" w:pos="4176"/>
      </w:tabs>
    </w:pPr>
  </w:style>
  <w:style w:type="paragraph" w:styleId="ListNumber2">
    <w:name w:val="List Number 2"/>
    <w:basedOn w:val="List2"/>
    <w:rsid w:val="00002D27"/>
    <w:pPr>
      <w:numPr>
        <w:numId w:val="11"/>
      </w:numPr>
      <w:tabs>
        <w:tab w:val="clear" w:pos="1060"/>
      </w:tabs>
    </w:pPr>
  </w:style>
  <w:style w:type="paragraph" w:customStyle="1" w:styleId="MarginNote">
    <w:name w:val="Margin Note"/>
    <w:basedOn w:val="BodyText"/>
    <w:rsid w:val="00002D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D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02D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2D27"/>
    <w:rPr>
      <w:sz w:val="32"/>
    </w:rPr>
  </w:style>
  <w:style w:type="paragraph" w:customStyle="1" w:styleId="HeadingProcedure">
    <w:name w:val="Heading Procedure"/>
    <w:basedOn w:val="HeadingBase"/>
    <w:next w:val="Normal"/>
    <w:rsid w:val="00002D27"/>
    <w:pPr>
      <w:tabs>
        <w:tab w:val="left" w:pos="0"/>
      </w:tabs>
      <w:spacing w:before="120" w:after="60"/>
    </w:pPr>
    <w:rPr>
      <w:i/>
      <w:color w:val="918585"/>
      <w:sz w:val="22"/>
    </w:rPr>
  </w:style>
  <w:style w:type="paragraph" w:customStyle="1" w:styleId="TableBodyText">
    <w:name w:val="Table Body Text"/>
    <w:basedOn w:val="BodyText"/>
    <w:rsid w:val="00002D27"/>
    <w:pPr>
      <w:spacing w:before="60" w:after="60"/>
    </w:pPr>
  </w:style>
  <w:style w:type="paragraph" w:styleId="ListContinue">
    <w:name w:val="List Continue"/>
    <w:basedOn w:val="List"/>
    <w:rsid w:val="00002D27"/>
    <w:pPr>
      <w:ind w:firstLine="0"/>
    </w:pPr>
  </w:style>
  <w:style w:type="paragraph" w:customStyle="1" w:styleId="ListNote">
    <w:name w:val="List Note"/>
    <w:basedOn w:val="List"/>
    <w:rsid w:val="00002D27"/>
    <w:pPr>
      <w:pBdr>
        <w:top w:val="single" w:sz="6" w:space="2" w:color="918585"/>
        <w:bottom w:val="single" w:sz="6" w:space="2" w:color="918585"/>
      </w:pBdr>
      <w:tabs>
        <w:tab w:val="left" w:pos="1021"/>
      </w:tabs>
      <w:ind w:firstLine="0"/>
    </w:pPr>
  </w:style>
  <w:style w:type="paragraph" w:customStyle="1" w:styleId="Warning">
    <w:name w:val="Warning"/>
    <w:basedOn w:val="BodyText"/>
    <w:rsid w:val="00002D27"/>
    <w:pPr>
      <w:shd w:val="clear" w:color="auto" w:fill="D9D9D9"/>
      <w:tabs>
        <w:tab w:val="left" w:pos="992"/>
      </w:tabs>
      <w:ind w:left="119" w:right="119"/>
    </w:pPr>
    <w:rPr>
      <w:sz w:val="20"/>
    </w:rPr>
  </w:style>
  <w:style w:type="paragraph" w:customStyle="1" w:styleId="MarginIcons">
    <w:name w:val="Margin Icons"/>
    <w:basedOn w:val="BodyText"/>
    <w:rsid w:val="00002D2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02D27"/>
    <w:rPr>
      <w:rFonts w:ascii="Courier New" w:hAnsi="Courier New"/>
    </w:rPr>
  </w:style>
  <w:style w:type="paragraph" w:customStyle="1" w:styleId="NoteBullet">
    <w:name w:val="Note Bullet"/>
    <w:basedOn w:val="Note"/>
    <w:rsid w:val="00002D27"/>
    <w:pPr>
      <w:tabs>
        <w:tab w:val="clear" w:pos="680"/>
      </w:tabs>
      <w:spacing w:before="60" w:after="60"/>
    </w:pPr>
  </w:style>
  <w:style w:type="paragraph" w:customStyle="1" w:styleId="SubHeading2">
    <w:name w:val="SubHeading2"/>
    <w:basedOn w:val="HeadingBase"/>
    <w:rsid w:val="00002D27"/>
    <w:pPr>
      <w:spacing w:before="240" w:after="60"/>
    </w:pPr>
    <w:rPr>
      <w:sz w:val="20"/>
    </w:rPr>
  </w:style>
  <w:style w:type="paragraph" w:customStyle="1" w:styleId="SubHeading1">
    <w:name w:val="SubHeading1"/>
    <w:basedOn w:val="HeadingBase"/>
    <w:rsid w:val="00002D27"/>
    <w:pPr>
      <w:spacing w:before="240" w:after="60"/>
    </w:pPr>
    <w:rPr>
      <w:color w:val="918585"/>
      <w:sz w:val="22"/>
    </w:rPr>
  </w:style>
  <w:style w:type="paragraph" w:customStyle="1" w:styleId="SideHeading">
    <w:name w:val="Side Heading"/>
    <w:basedOn w:val="HeadingBase"/>
    <w:rsid w:val="00002D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D27"/>
    <w:pPr>
      <w:numPr>
        <w:numId w:val="13"/>
      </w:numPr>
    </w:pPr>
  </w:style>
  <w:style w:type="paragraph" w:styleId="PlainText">
    <w:name w:val="Plain Text"/>
    <w:basedOn w:val="Normal"/>
    <w:link w:val="PlainTextChar"/>
    <w:rsid w:val="00002D27"/>
    <w:rPr>
      <w:sz w:val="20"/>
    </w:rPr>
  </w:style>
  <w:style w:type="character" w:customStyle="1" w:styleId="PlainTextChar">
    <w:name w:val="Plain Text Char"/>
    <w:basedOn w:val="DefaultParagraphFont"/>
    <w:link w:val="PlainText"/>
    <w:rsid w:val="00002D27"/>
    <w:rPr>
      <w:rFonts w:ascii="Courier New" w:eastAsia="Times New Roman" w:hAnsi="Courier New" w:cs="Times New Roman"/>
      <w:sz w:val="20"/>
      <w:szCs w:val="20"/>
      <w:lang w:val="en-US" w:eastAsia="en-US"/>
    </w:rPr>
  </w:style>
  <w:style w:type="character" w:customStyle="1" w:styleId="MenuOption">
    <w:name w:val="Menu Option"/>
    <w:rsid w:val="00002D27"/>
    <w:rPr>
      <w:b/>
      <w:smallCaps/>
    </w:rPr>
  </w:style>
  <w:style w:type="paragraph" w:customStyle="1" w:styleId="TableListNumber">
    <w:name w:val="Table List Number"/>
    <w:basedOn w:val="ListNumber"/>
    <w:rsid w:val="00002D27"/>
    <w:pPr>
      <w:numPr>
        <w:numId w:val="0"/>
      </w:numPr>
    </w:pPr>
  </w:style>
  <w:style w:type="paragraph" w:styleId="TOC4">
    <w:name w:val="toc 4"/>
    <w:basedOn w:val="TOCBase"/>
    <w:next w:val="Normal"/>
    <w:semiHidden/>
    <w:rsid w:val="00002D27"/>
    <w:pPr>
      <w:tabs>
        <w:tab w:val="right" w:leader="dot" w:pos="9071"/>
      </w:tabs>
      <w:ind w:left="1701"/>
    </w:pPr>
  </w:style>
  <w:style w:type="paragraph" w:customStyle="1" w:styleId="ListAlpha">
    <w:name w:val="List Alpha"/>
    <w:basedOn w:val="List"/>
    <w:rsid w:val="00002D27"/>
    <w:pPr>
      <w:numPr>
        <w:numId w:val="10"/>
      </w:numPr>
    </w:pPr>
  </w:style>
  <w:style w:type="paragraph" w:customStyle="1" w:styleId="ListAlpha2">
    <w:name w:val="List Alpha 2"/>
    <w:basedOn w:val="List2"/>
    <w:rsid w:val="00002D27"/>
    <w:pPr>
      <w:numPr>
        <w:numId w:val="9"/>
      </w:numPr>
    </w:pPr>
  </w:style>
  <w:style w:type="paragraph" w:styleId="List3">
    <w:name w:val="List 3"/>
    <w:basedOn w:val="BodyText"/>
    <w:rsid w:val="00002D27"/>
    <w:pPr>
      <w:tabs>
        <w:tab w:val="left" w:pos="1021"/>
      </w:tabs>
      <w:spacing w:before="60" w:after="60"/>
      <w:ind w:left="1020" w:hanging="340"/>
    </w:pPr>
  </w:style>
  <w:style w:type="paragraph" w:styleId="List4">
    <w:name w:val="List 4"/>
    <w:basedOn w:val="BodyText"/>
    <w:rsid w:val="00002D27"/>
    <w:pPr>
      <w:tabs>
        <w:tab w:val="left" w:pos="1361"/>
      </w:tabs>
      <w:spacing w:before="60" w:after="60"/>
      <w:ind w:left="1361" w:hanging="340"/>
    </w:pPr>
  </w:style>
  <w:style w:type="paragraph" w:styleId="List5">
    <w:name w:val="List 5"/>
    <w:basedOn w:val="BodyText"/>
    <w:rsid w:val="00002D27"/>
    <w:pPr>
      <w:tabs>
        <w:tab w:val="left" w:pos="1701"/>
      </w:tabs>
      <w:spacing w:before="60" w:after="60"/>
      <w:ind w:left="1701" w:hanging="340"/>
    </w:pPr>
  </w:style>
  <w:style w:type="paragraph" w:styleId="ListBullet4">
    <w:name w:val="List Bullet 4"/>
    <w:basedOn w:val="List4"/>
    <w:rsid w:val="00002D27"/>
    <w:pPr>
      <w:numPr>
        <w:numId w:val="4"/>
      </w:numPr>
    </w:pPr>
  </w:style>
  <w:style w:type="paragraph" w:styleId="ListBullet5">
    <w:name w:val="List Bullet 5"/>
    <w:basedOn w:val="List5"/>
    <w:rsid w:val="00002D27"/>
    <w:pPr>
      <w:numPr>
        <w:numId w:val="5"/>
      </w:numPr>
    </w:pPr>
  </w:style>
  <w:style w:type="paragraph" w:styleId="ListContinue2">
    <w:name w:val="List Continue 2"/>
    <w:basedOn w:val="List2"/>
    <w:rsid w:val="00002D27"/>
    <w:pPr>
      <w:ind w:firstLine="0"/>
    </w:pPr>
  </w:style>
  <w:style w:type="paragraph" w:styleId="ListContinue3">
    <w:name w:val="List Continue 3"/>
    <w:basedOn w:val="List3"/>
    <w:rsid w:val="00002D27"/>
    <w:pPr>
      <w:ind w:left="1021" w:firstLine="0"/>
    </w:pPr>
  </w:style>
  <w:style w:type="paragraph" w:styleId="ListContinue4">
    <w:name w:val="List Continue 4"/>
    <w:basedOn w:val="List4"/>
    <w:rsid w:val="00002D27"/>
    <w:pPr>
      <w:ind w:firstLine="0"/>
    </w:pPr>
  </w:style>
  <w:style w:type="paragraph" w:styleId="ListContinue5">
    <w:name w:val="List Continue 5"/>
    <w:basedOn w:val="List5"/>
    <w:rsid w:val="00002D27"/>
    <w:pPr>
      <w:ind w:firstLine="0"/>
    </w:pPr>
  </w:style>
  <w:style w:type="paragraph" w:styleId="ListNumber3">
    <w:name w:val="List Number 3"/>
    <w:basedOn w:val="List3"/>
    <w:rsid w:val="00002D27"/>
    <w:pPr>
      <w:numPr>
        <w:numId w:val="6"/>
      </w:numPr>
    </w:pPr>
  </w:style>
  <w:style w:type="paragraph" w:styleId="ListNumber4">
    <w:name w:val="List Number 4"/>
    <w:basedOn w:val="List4"/>
    <w:rsid w:val="00002D27"/>
    <w:pPr>
      <w:numPr>
        <w:numId w:val="7"/>
      </w:numPr>
    </w:pPr>
  </w:style>
  <w:style w:type="paragraph" w:styleId="ListNumber5">
    <w:name w:val="List Number 5"/>
    <w:basedOn w:val="List5"/>
    <w:rsid w:val="00002D27"/>
    <w:pPr>
      <w:numPr>
        <w:numId w:val="8"/>
      </w:numPr>
    </w:pPr>
  </w:style>
  <w:style w:type="paragraph" w:styleId="BlockText">
    <w:name w:val="Block Text"/>
    <w:basedOn w:val="Normal"/>
    <w:rsid w:val="00002D27"/>
    <w:pPr>
      <w:spacing w:after="120"/>
      <w:ind w:left="1440" w:right="1440"/>
    </w:pPr>
  </w:style>
  <w:style w:type="character" w:customStyle="1" w:styleId="Subscript">
    <w:name w:val="Subscript"/>
    <w:rsid w:val="00002D27"/>
    <w:rPr>
      <w:sz w:val="16"/>
      <w:vertAlign w:val="subscript"/>
    </w:rPr>
  </w:style>
  <w:style w:type="character" w:customStyle="1" w:styleId="Superscript">
    <w:name w:val="Superscript"/>
    <w:rsid w:val="00002D27"/>
    <w:rPr>
      <w:sz w:val="16"/>
      <w:vertAlign w:val="superscript"/>
    </w:rPr>
  </w:style>
  <w:style w:type="character" w:customStyle="1" w:styleId="Symbols">
    <w:name w:val="Symbols"/>
    <w:rsid w:val="00002D27"/>
    <w:rPr>
      <w:rFonts w:ascii="Symbol" w:hAnsi="Symbol"/>
    </w:rPr>
  </w:style>
  <w:style w:type="character" w:customStyle="1" w:styleId="MenuOptions">
    <w:name w:val="Menu Options"/>
    <w:rsid w:val="00002D27"/>
    <w:rPr>
      <w:rFonts w:ascii="Arial Narrow" w:hAnsi="Arial Narrow"/>
      <w:smallCaps/>
    </w:rPr>
  </w:style>
  <w:style w:type="character" w:customStyle="1" w:styleId="Buttons">
    <w:name w:val="Buttons"/>
    <w:rsid w:val="00002D27"/>
    <w:rPr>
      <w:b/>
    </w:rPr>
  </w:style>
  <w:style w:type="character" w:customStyle="1" w:styleId="Underlined">
    <w:name w:val="Underlined"/>
    <w:rsid w:val="00002D27"/>
    <w:rPr>
      <w:u w:val="single"/>
    </w:rPr>
  </w:style>
  <w:style w:type="paragraph" w:customStyle="1" w:styleId="TableBodyTextRight">
    <w:name w:val="Table Body Text Right"/>
    <w:basedOn w:val="TableBodyText"/>
    <w:rsid w:val="00002D27"/>
    <w:pPr>
      <w:widowControl w:val="0"/>
      <w:autoSpaceDE w:val="0"/>
      <w:autoSpaceDN w:val="0"/>
      <w:adjustRightInd w:val="0"/>
      <w:jc w:val="right"/>
    </w:pPr>
    <w:rPr>
      <w:rFonts w:cs="Arial"/>
      <w:szCs w:val="18"/>
    </w:rPr>
  </w:style>
  <w:style w:type="paragraph" w:customStyle="1" w:styleId="CopyrightText">
    <w:name w:val="Copyright Text"/>
    <w:basedOn w:val="BodyText"/>
    <w:rsid w:val="00002D27"/>
    <w:rPr>
      <w:sz w:val="18"/>
    </w:rPr>
  </w:style>
  <w:style w:type="paragraph" w:customStyle="1" w:styleId="BodySmallRight">
    <w:name w:val="Body Small Right"/>
    <w:basedOn w:val="BodyTextRight"/>
    <w:rsid w:val="00002D27"/>
    <w:rPr>
      <w:sz w:val="18"/>
      <w:szCs w:val="18"/>
    </w:rPr>
  </w:style>
  <w:style w:type="paragraph" w:customStyle="1" w:styleId="MarginEdition">
    <w:name w:val="Margin Edition"/>
    <w:basedOn w:val="MarginNote"/>
    <w:rsid w:val="00002D27"/>
    <w:pPr>
      <w:spacing w:before="0" w:after="0"/>
    </w:pPr>
    <w:rPr>
      <w:rFonts w:ascii="Times New Roman" w:hAnsi="Times New Roman"/>
      <w:color w:val="999999"/>
    </w:rPr>
  </w:style>
  <w:style w:type="paragraph" w:customStyle="1" w:styleId="Spacer">
    <w:name w:val="Spacer"/>
    <w:basedOn w:val="Normal"/>
    <w:rsid w:val="00002D27"/>
    <w:rPr>
      <w:sz w:val="2"/>
      <w:szCs w:val="2"/>
    </w:rPr>
  </w:style>
  <w:style w:type="character" w:customStyle="1" w:styleId="Small">
    <w:name w:val="Small"/>
    <w:rsid w:val="00002D27"/>
    <w:rPr>
      <w:sz w:val="16"/>
    </w:rPr>
  </w:style>
  <w:style w:type="paragraph" w:customStyle="1" w:styleId="WideTable">
    <w:name w:val="Wide Table"/>
    <w:basedOn w:val="Normal"/>
    <w:rsid w:val="00002D27"/>
    <w:pPr>
      <w:ind w:left="-1418"/>
    </w:pPr>
    <w:rPr>
      <w:sz w:val="2"/>
      <w:szCs w:val="2"/>
    </w:rPr>
  </w:style>
  <w:style w:type="character" w:styleId="PageNumber">
    <w:name w:val="page number"/>
    <w:rsid w:val="00002D27"/>
  </w:style>
  <w:style w:type="paragraph" w:styleId="Quote">
    <w:name w:val="Quote"/>
    <w:basedOn w:val="Heading1"/>
    <w:link w:val="QuoteChar"/>
    <w:qFormat/>
    <w:rsid w:val="00002D27"/>
    <w:rPr>
      <w:b w:val="0"/>
      <w:sz w:val="72"/>
      <w:szCs w:val="72"/>
      <w:lang w:val="en-NZ"/>
    </w:rPr>
  </w:style>
  <w:style w:type="character" w:customStyle="1" w:styleId="QuoteChar">
    <w:name w:val="Quote Char"/>
    <w:link w:val="Quote"/>
    <w:rsid w:val="00002D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D27"/>
    <w:pPr>
      <w:pageBreakBefore/>
    </w:pPr>
  </w:style>
  <w:style w:type="paragraph" w:customStyle="1" w:styleId="Border">
    <w:name w:val="Border"/>
    <w:basedOn w:val="Normal"/>
    <w:qFormat/>
    <w:rsid w:val="00002D27"/>
    <w:pPr>
      <w:pBdr>
        <w:top w:val="single" w:sz="18" w:space="1" w:color="auto"/>
      </w:pBdr>
    </w:pPr>
    <w:rPr>
      <w:rFonts w:ascii="Times New Roman" w:hAnsi="Times New Roman"/>
      <w:color w:val="FFFFFF"/>
      <w:sz w:val="2"/>
    </w:rPr>
  </w:style>
  <w:style w:type="character" w:styleId="IntenseEmphasis">
    <w:name w:val="Intense Emphasis"/>
    <w:uiPriority w:val="21"/>
    <w:qFormat/>
    <w:rsid w:val="00002D27"/>
    <w:rPr>
      <w:b/>
      <w:bCs/>
      <w:i/>
      <w:iCs/>
      <w:color w:val="auto"/>
    </w:rPr>
  </w:style>
  <w:style w:type="paragraph" w:styleId="IntenseQuote">
    <w:name w:val="Intense Quote"/>
    <w:basedOn w:val="Normal"/>
    <w:next w:val="Normal"/>
    <w:link w:val="IntenseQuoteChar"/>
    <w:uiPriority w:val="30"/>
    <w:qFormat/>
    <w:rsid w:val="00002D2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02D27"/>
    <w:rPr>
      <w:rFonts w:ascii="Courier New" w:eastAsia="Times New Roman" w:hAnsi="Courier New" w:cs="Times New Roman"/>
      <w:b/>
      <w:bCs/>
      <w:i/>
      <w:iCs/>
      <w:szCs w:val="20"/>
      <w:lang w:val="en-US" w:eastAsia="en-US"/>
    </w:rPr>
  </w:style>
  <w:style w:type="character" w:styleId="SubtleReference">
    <w:name w:val="Subtle Reference"/>
    <w:uiPriority w:val="31"/>
    <w:qFormat/>
    <w:rsid w:val="00002D27"/>
    <w:rPr>
      <w:smallCaps/>
      <w:color w:val="auto"/>
      <w:u w:val="single"/>
    </w:rPr>
  </w:style>
  <w:style w:type="character" w:styleId="IntenseReference">
    <w:name w:val="Intense Reference"/>
    <w:uiPriority w:val="32"/>
    <w:qFormat/>
    <w:rsid w:val="00002D27"/>
    <w:rPr>
      <w:b/>
      <w:bCs/>
      <w:smallCaps/>
      <w:color w:val="auto"/>
      <w:spacing w:val="5"/>
      <w:u w:val="single"/>
    </w:rPr>
  </w:style>
  <w:style w:type="paragraph" w:customStyle="1" w:styleId="2ColumnHeading">
    <w:name w:val="2Column Heading"/>
    <w:basedOn w:val="BodyText"/>
    <w:qFormat/>
    <w:rsid w:val="00002D27"/>
    <w:pPr>
      <w:spacing w:after="60"/>
      <w:ind w:left="-2268"/>
    </w:pPr>
    <w:rPr>
      <w:b/>
    </w:rPr>
  </w:style>
  <w:style w:type="paragraph" w:customStyle="1" w:styleId="Heading1TOC">
    <w:name w:val="Heading1 TOC"/>
    <w:basedOn w:val="Normal"/>
    <w:qFormat/>
    <w:rsid w:val="00002D27"/>
    <w:pPr>
      <w:spacing w:before="240" w:after="120"/>
    </w:pPr>
    <w:rPr>
      <w:rFonts w:ascii="Times New Roman" w:hAnsi="Times New Roman"/>
      <w:b/>
      <w:sz w:val="32"/>
    </w:rPr>
  </w:style>
  <w:style w:type="paragraph" w:customStyle="1" w:styleId="Heading2TOC">
    <w:name w:val="Heading2 TOC"/>
    <w:basedOn w:val="Normal"/>
    <w:qFormat/>
    <w:rsid w:val="00002D27"/>
    <w:pPr>
      <w:spacing w:before="240" w:after="60"/>
    </w:pPr>
    <w:rPr>
      <w:rFonts w:ascii="Times New Roman" w:hAnsi="Times New Roman"/>
      <w:b/>
      <w:sz w:val="28"/>
    </w:rPr>
  </w:style>
  <w:style w:type="character" w:customStyle="1" w:styleId="Underline">
    <w:name w:val="Underline"/>
    <w:qFormat/>
    <w:rsid w:val="00002D27"/>
    <w:rPr>
      <w:u w:val="single"/>
    </w:rPr>
  </w:style>
  <w:style w:type="paragraph" w:styleId="BalloonText">
    <w:name w:val="Balloon Text"/>
    <w:basedOn w:val="Normal"/>
    <w:link w:val="BalloonTextChar"/>
    <w:rsid w:val="00002D27"/>
    <w:rPr>
      <w:rFonts w:ascii="Tahoma" w:hAnsi="Tahoma" w:cs="Tahoma"/>
      <w:sz w:val="16"/>
      <w:szCs w:val="16"/>
    </w:rPr>
  </w:style>
  <w:style w:type="character" w:customStyle="1" w:styleId="BalloonTextChar">
    <w:name w:val="Balloon Text Char"/>
    <w:link w:val="BalloonText"/>
    <w:rsid w:val="00002D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2D2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02D2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1733</Words>
  <Characters>11206</Characters>
  <Application>Microsoft Office Word</Application>
  <DocSecurity>0</DocSecurity>
  <Lines>407</Lines>
  <Paragraphs>231</Paragraphs>
  <ScaleCrop>false</ScaleCrop>
  <Company>Author-it Software Corporation Ltd.</Company>
  <LinksUpToDate>false</LinksUpToDate>
  <CharactersWithSpaces>12871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CPCCCA3014A Construct bulkheads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2012-05-26T05:24:00Z</dcterms:created>
  <dcterms:modified xsi:type="dcterms:W3CDTF">2012-05-26T05:24:00Z</dcterms:modified>
</cp:coreProperties>
</file>