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F28" w:rsidP="00A76F28">
      <w:pPr>
        <w:pStyle w:val="Title"/>
      </w:pPr>
      <w:r>
        <w:fldChar w:fldCharType="begin"/>
      </w:r>
      <w:r>
        <w:instrText xml:space="preserve"> TITLE   \* MERGEFORMAT </w:instrText>
      </w:r>
      <w:r>
        <w:fldChar w:fldCharType="separate"/>
      </w:r>
      <w:r>
        <w:t>CPCCBC6018A Manage processes for complying with legal obligations of a building or construction contractor</w:t>
      </w:r>
      <w:r>
        <w:fldChar w:fldCharType="end"/>
      </w:r>
    </w:p>
    <w:p w:rsidR="00A76F28" w:rsidP="00A76F28">
      <w:pPr>
        <w:pStyle w:val="Version"/>
        <w:sectPr w:rsidSect="00997E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ED3" w:rsidP="00997ED3">
      <w:pPr>
        <w:pStyle w:val="SuperHeading"/>
      </w:pPr>
      <w:r w:rsidRPr="00997ED3">
        <w:t>CPCCBC6018A Manage processes for complying with legal obligations of a building or construction contractor</w:t>
      </w:r>
    </w:p>
    <w:p w:rsidR="00000000" w:rsidRPr="00997ED3" w:rsidP="00997ED3">
      <w:pPr>
        <w:pStyle w:val="Heading1"/>
      </w:pPr>
      <w:bookmarkStart w:id="1" w:name="O_498235"/>
      <w:bookmarkEnd w:id="1"/>
      <w:r w:rsidRPr="00997ED3">
        <w:t>Modification History</w:t>
      </w:r>
    </w:p>
    <w:p w:rsidR="00000000" w:rsidRPr="00997ED3" w:rsidP="00997ED3">
      <w:pPr>
        <w:pStyle w:val="BodyText"/>
      </w:pPr>
      <w:r w:rsidRPr="00997ED3">
        <w:t xml:space="preserve">Changes to unit title, descriptor, application, required knowledge and critical aspects </w:t>
      </w:r>
    </w:p>
    <w:p w:rsidR="00000000" w:rsidRPr="00997ED3" w:rsidP="00997ED3">
      <w:pPr>
        <w:pStyle w:val="BodyText"/>
      </w:pPr>
      <w:r w:rsidRPr="00997ED3">
        <w:t>Not equivalent to CPCCBC6004A</w:t>
      </w:r>
    </w:p>
    <w:p w:rsidR="00000000" w:rsidRPr="00997ED3" w:rsidP="00997ED3">
      <w:pPr>
        <w:pStyle w:val="AllowPageBreak"/>
      </w:pPr>
    </w:p>
    <w:p w:rsidR="00000000" w:rsidRPr="00997ED3" w:rsidP="00997ED3">
      <w:pPr>
        <w:pStyle w:val="Heading1"/>
      </w:pPr>
      <w:bookmarkStart w:id="2" w:name="O_498236"/>
      <w:bookmarkEnd w:id="2"/>
      <w:r w:rsidRPr="00997ED3">
        <w:t>Unit Descriptor</w:t>
      </w:r>
    </w:p>
    <w:p w:rsidR="00000000" w:rsidRPr="00997ED3" w:rsidP="00997ED3">
      <w:pPr>
        <w:pStyle w:val="BodyText"/>
      </w:pPr>
      <w:r w:rsidRPr="00997ED3">
        <w:t>This unit of competency specifies the outcomes required to manage the processes to ensure the legal obligations of a building or construction contractor involved in either residential or commer</w:t>
      </w:r>
      <w:r w:rsidRPr="00997ED3">
        <w:t>cial contracting projects are fully met.</w:t>
      </w:r>
    </w:p>
    <w:p w:rsidR="00000000" w:rsidRPr="00997ED3" w:rsidP="00997ED3">
      <w:pPr>
        <w:pStyle w:val="BodyText"/>
      </w:pPr>
      <w:r w:rsidRPr="00997ED3">
        <w:t>It involves managing relationships with advisors and ensuring that the organisation meets the requirements of licensing, health and safety, welfare, workers compensation, taxation, insurance, fair trading and enviro</w:t>
      </w:r>
      <w:r w:rsidRPr="00997ED3">
        <w:t>nmental legislation.</w:t>
      </w:r>
    </w:p>
    <w:p w:rsidR="00000000" w:rsidRPr="00997ED3" w:rsidP="00997ED3">
      <w:pPr>
        <w:pStyle w:val="AllowPageBreak"/>
      </w:pPr>
    </w:p>
    <w:p w:rsidR="00000000" w:rsidRPr="00997ED3" w:rsidP="00997ED3">
      <w:pPr>
        <w:pStyle w:val="Heading1"/>
      </w:pPr>
      <w:bookmarkStart w:id="3" w:name="O_498237"/>
      <w:bookmarkEnd w:id="3"/>
      <w:r w:rsidRPr="00997ED3">
        <w:t>Application of the Unit</w:t>
      </w:r>
    </w:p>
    <w:p w:rsidR="00000000" w:rsidRPr="00997ED3" w:rsidP="00997ED3">
      <w:pPr>
        <w:pStyle w:val="BodyText"/>
      </w:pPr>
      <w:r w:rsidRPr="00997ED3">
        <w:t xml:space="preserve">This unit of competency supports builders, project managers and related construction industry professionals responsible for ensuring the legal obligations of a contractor are met. </w:t>
      </w:r>
    </w:p>
    <w:p w:rsidR="00000000" w:rsidRPr="00997ED3" w:rsidP="00997ED3">
      <w:pPr>
        <w:pStyle w:val="AllowPageBreak"/>
      </w:pPr>
    </w:p>
    <w:p w:rsidR="00000000" w:rsidRPr="00997ED3" w:rsidP="00997ED3">
      <w:pPr>
        <w:pStyle w:val="Heading1"/>
      </w:pPr>
      <w:bookmarkStart w:id="4" w:name="O_498238"/>
      <w:bookmarkEnd w:id="4"/>
      <w:r w:rsidRPr="00997ED3">
        <w:t>Licensing/Regulatory Information</w:t>
      </w:r>
    </w:p>
    <w:p w:rsidR="00000000" w:rsidRPr="00997ED3" w:rsidP="00997ED3">
      <w:pPr>
        <w:pStyle w:val="BodyText"/>
      </w:pPr>
      <w:r w:rsidRPr="00997ED3">
        <w:t>Not applicable.</w:t>
      </w:r>
    </w:p>
    <w:p w:rsidR="00000000" w:rsidRPr="00997ED3" w:rsidP="00997ED3">
      <w:pPr>
        <w:pStyle w:val="AllowPageBreak"/>
      </w:pPr>
    </w:p>
    <w:p w:rsidR="00000000" w:rsidRPr="00997ED3" w:rsidP="00997ED3">
      <w:pPr>
        <w:pStyle w:val="Heading1"/>
      </w:pPr>
      <w:bookmarkStart w:id="5" w:name="O_498239"/>
      <w:bookmarkEnd w:id="5"/>
      <w:r w:rsidRPr="00997ED3">
        <w:t>Pre-Requisites</w:t>
      </w:r>
    </w:p>
    <w:p w:rsidR="00000000" w:rsidRPr="00997ED3" w:rsidP="00997ED3">
      <w:pPr>
        <w:pStyle w:val="BodyText"/>
      </w:pPr>
      <w:r w:rsidRPr="00997ED3">
        <w:t>Nil</w:t>
      </w:r>
    </w:p>
    <w:p w:rsidR="00000000" w:rsidRPr="00997ED3" w:rsidP="00997ED3">
      <w:pPr>
        <w:pStyle w:val="AllowPageBreak"/>
      </w:pPr>
    </w:p>
    <w:p w:rsidR="00000000" w:rsidRPr="00997ED3" w:rsidP="00997ED3">
      <w:pPr>
        <w:pStyle w:val="Heading1"/>
      </w:pPr>
      <w:bookmarkStart w:id="6" w:name="O_498240"/>
      <w:bookmarkEnd w:id="6"/>
      <w:r w:rsidRPr="00997ED3">
        <w:t>Employability Skills Information</w:t>
      </w:r>
    </w:p>
    <w:p w:rsidR="00000000" w:rsidRPr="00997ED3" w:rsidP="00997ED3">
      <w:pPr>
        <w:pStyle w:val="BodyText"/>
      </w:pPr>
      <w:r w:rsidRPr="00997ED3">
        <w:t>This unit contains employability skills.</w:t>
      </w:r>
    </w:p>
    <w:p w:rsidR="00000000" w:rsidRPr="00997ED3" w:rsidP="00997ED3">
      <w:pPr>
        <w:pStyle w:val="AllowPageBreak"/>
      </w:pPr>
    </w:p>
    <w:p w:rsidR="00000000" w:rsidRPr="00997ED3" w:rsidP="00997ED3">
      <w:pPr>
        <w:pStyle w:val="Heading1"/>
      </w:pPr>
      <w:bookmarkStart w:id="7" w:name="O_498241"/>
      <w:bookmarkEnd w:id="7"/>
      <w:r w:rsidRPr="00997ED3">
        <w:t>Elements and Performance Criteria Pre-Content</w:t>
      </w:r>
    </w:p>
    <w:tbl>
      <w:tblPr>
        <w:tblW w:w="0" w:type="auto"/>
        <w:tblLayout w:type="fixed"/>
        <w:tblCellMar>
          <w:left w:w="62" w:type="dxa"/>
          <w:right w:w="62" w:type="dxa"/>
        </w:tblCellMar>
        <w:tblLook w:val="0000"/>
      </w:tblPr>
      <w:tblGrid>
        <w:gridCol w:w="2640"/>
        <w:gridCol w:w="6380"/>
      </w:tblGrid>
      <w:tr w:rsidTr="00997ED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Elements desc</w:t>
            </w:r>
            <w:r w:rsidRPr="00997ED3">
              <w:t>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97ED3" w:rsidP="00997ED3">
            <w:pPr>
              <w:pStyle w:val="BodyText"/>
            </w:pPr>
            <w:r w:rsidRPr="00997ED3">
              <w:t>Performance criteria describe the performance needed to demonstrate achievement of the element. Where bold italicised text is used, further information is detailed in the required skills and knowledge se</w:t>
            </w:r>
            <w:r w:rsidRPr="00997ED3">
              <w:t>ction and the range statement. Assessment of performance is to be consistent with the evidence guide.</w:t>
            </w:r>
          </w:p>
        </w:tc>
      </w:tr>
    </w:tbl>
    <w:p w:rsidR="00000000" w:rsidRPr="00997ED3" w:rsidP="00997ED3">
      <w:pPr>
        <w:pStyle w:val="BodyText"/>
      </w:pPr>
    </w:p>
    <w:p w:rsidR="00000000" w:rsidRPr="00997ED3" w:rsidP="00997ED3">
      <w:pPr>
        <w:pStyle w:val="AllowPageBreak"/>
      </w:pPr>
    </w:p>
    <w:p w:rsidR="00000000" w:rsidRPr="00997ED3" w:rsidP="00997ED3">
      <w:pPr>
        <w:pStyle w:val="Heading1"/>
      </w:pPr>
      <w:bookmarkStart w:id="8" w:name="O_498242"/>
      <w:bookmarkEnd w:id="8"/>
      <w:r w:rsidRPr="00997ED3">
        <w:t>Elements and Performance Criteria</w:t>
      </w:r>
    </w:p>
    <w:p w:rsidR="00000000" w:rsidRPr="00997ED3" w:rsidP="00997ED3">
      <w:pPr>
        <w:pStyle w:val="BodyText"/>
      </w:pPr>
    </w:p>
    <w:tbl>
      <w:tblPr>
        <w:tblW w:w="0" w:type="auto"/>
        <w:tblLayout w:type="fixed"/>
        <w:tblCellMar>
          <w:left w:w="62" w:type="dxa"/>
          <w:right w:w="62" w:type="dxa"/>
        </w:tblCellMar>
        <w:tblLook w:val="0000"/>
      </w:tblPr>
      <w:tblGrid>
        <w:gridCol w:w="678"/>
        <w:gridCol w:w="1962"/>
        <w:gridCol w:w="770"/>
        <w:gridCol w:w="5610"/>
      </w:tblGrid>
      <w:tr w:rsidTr="00997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1</w:t>
            </w:r>
          </w:p>
        </w:tc>
        <w:tc>
          <w:tcPr>
            <w:tcW w:w="1962" w:type="dxa"/>
            <w:vMerge w:val="restart"/>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Manage compliance with laws relating to establishing and licensing of a building contractor.</w:t>
            </w:r>
          </w:p>
        </w:tc>
        <w:tc>
          <w:tcPr>
            <w:tcW w:w="77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1.1</w:t>
            </w:r>
          </w:p>
        </w:tc>
        <w:tc>
          <w:tcPr>
            <w:tcW w:w="561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 xml:space="preserve">Company employees are aware of and comply with requirements of </w:t>
            </w:r>
            <w:r w:rsidRPr="00997ED3">
              <w:rPr>
                <w:rStyle w:val="BoldandItalics"/>
              </w:rPr>
              <w:t>laws relating to establishing and licensing of a building contractor</w:t>
            </w:r>
            <w:r w:rsidRPr="00997ED3">
              <w:t xml:space="preserve">. </w:t>
            </w:r>
          </w:p>
        </w:tc>
      </w:tr>
      <w:tr w:rsidTr="00997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1.2</w:t>
            </w:r>
          </w:p>
        </w:tc>
        <w:tc>
          <w:tcPr>
            <w:tcW w:w="561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Company takes necessary steps to obtain the necessary building or construction licenses.</w:t>
            </w:r>
          </w:p>
        </w:tc>
      </w:tr>
      <w:tr w:rsidTr="00997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1.3</w:t>
            </w:r>
          </w:p>
        </w:tc>
        <w:tc>
          <w:tcPr>
            <w:tcW w:w="561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Changes to licensing arrangements are identified and responded to in a timely manner.</w:t>
            </w:r>
          </w:p>
        </w:tc>
      </w:tr>
      <w:tr w:rsidTr="00997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1.4</w:t>
            </w:r>
          </w:p>
        </w:tc>
        <w:tc>
          <w:tcPr>
            <w:tcW w:w="5610" w:type="dxa"/>
            <w:tcBorders>
              <w:top w:val="nil"/>
              <w:left w:val="nil"/>
              <w:bottom w:val="nil"/>
              <w:right w:val="nil"/>
            </w:tcBorders>
            <w:tcMar>
              <w:top w:w="0" w:type="dxa"/>
              <w:left w:w="62" w:type="dxa"/>
              <w:bottom w:w="0" w:type="dxa"/>
              <w:right w:w="62" w:type="dxa"/>
            </w:tcMar>
          </w:tcPr>
          <w:p w:rsidR="00000000" w:rsidRPr="00997ED3" w:rsidP="00997ED3">
            <w:pPr>
              <w:pStyle w:val="BodyText"/>
            </w:pPr>
            <w:r w:rsidRPr="00997ED3">
              <w:t>Staff members are advised of the consequences of non-compliance with relevant legal obligations.</w:t>
            </w:r>
          </w:p>
        </w:tc>
      </w:tr>
    </w:tbl>
    <w:p w:rsidR="00000000" w:rsidRPr="00997ED3" w:rsidP="00997ED3">
      <w:pPr>
        <w:pStyle w:val="BodyText"/>
      </w:pPr>
    </w:p>
    <w:tbl>
      <w:tblPr>
        <w:tblW w:w="0" w:type="auto"/>
        <w:tblLayout w:type="fixed"/>
        <w:tblCellMar>
          <w:left w:w="62" w:type="dxa"/>
          <w:right w:w="62" w:type="dxa"/>
        </w:tblCellMar>
        <w:tblLook w:val="0000"/>
      </w:tblPr>
      <w:tblGrid>
        <w:gridCol w:w="678"/>
        <w:gridCol w:w="1962"/>
        <w:gridCol w:w="770"/>
        <w:gridCol w:w="5610"/>
      </w:tblGrid>
      <w:tr w:rsidTr="00997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2</w:t>
            </w:r>
          </w:p>
        </w:tc>
        <w:tc>
          <w:tcPr>
            <w:tcW w:w="1962" w:type="dxa"/>
            <w:vMerge w:val="restart"/>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Manage relationships on legal matters.</w:t>
            </w:r>
          </w:p>
        </w:tc>
        <w:tc>
          <w:tcPr>
            <w:tcW w:w="77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2.1</w:t>
            </w:r>
          </w:p>
        </w:tc>
        <w:tc>
          <w:tcPr>
            <w:tcW w:w="561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Processes are intro</w:t>
            </w:r>
            <w:r w:rsidRPr="00997ED3">
              <w:t>duced and managed which enable the company to obtain such legal advice as may be required in relation to particular contracts.</w:t>
            </w:r>
          </w:p>
        </w:tc>
      </w:tr>
      <w:tr w:rsidTr="00997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2.2</w:t>
            </w:r>
          </w:p>
        </w:tc>
        <w:tc>
          <w:tcPr>
            <w:tcW w:w="561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Systems are introduced and managed through which legal interpretations of contract clauses or clauses within tender documents may be obtained before submission of the tender.</w:t>
            </w:r>
          </w:p>
        </w:tc>
      </w:tr>
      <w:tr w:rsidTr="00997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2.3</w:t>
            </w:r>
          </w:p>
        </w:tc>
        <w:tc>
          <w:tcPr>
            <w:tcW w:w="5610" w:type="dxa"/>
            <w:tcBorders>
              <w:top w:val="nil"/>
              <w:left w:val="nil"/>
              <w:bottom w:val="nil"/>
              <w:right w:val="nil"/>
            </w:tcBorders>
            <w:tcMar>
              <w:top w:w="0" w:type="dxa"/>
              <w:left w:w="62" w:type="dxa"/>
              <w:bottom w:w="0" w:type="dxa"/>
              <w:right w:w="62" w:type="dxa"/>
            </w:tcMar>
          </w:tcPr>
          <w:p w:rsidR="00000000" w:rsidRPr="00997ED3" w:rsidP="00997ED3">
            <w:pPr>
              <w:pStyle w:val="BodyText"/>
            </w:pPr>
            <w:r w:rsidRPr="00997ED3">
              <w:t>Mechanisms for dialogue are established and managed between the company an</w:t>
            </w:r>
            <w:r w:rsidRPr="00997ED3">
              <w:t>d the client to improve communication and facilitate conciliation.</w:t>
            </w:r>
          </w:p>
        </w:tc>
      </w:tr>
    </w:tbl>
    <w:p w:rsidR="00000000" w:rsidRPr="00997ED3" w:rsidP="00997ED3">
      <w:pPr>
        <w:pStyle w:val="BodyText"/>
      </w:pPr>
    </w:p>
    <w:tbl>
      <w:tblPr>
        <w:tblW w:w="0" w:type="auto"/>
        <w:tblLayout w:type="fixed"/>
        <w:tblCellMar>
          <w:left w:w="62" w:type="dxa"/>
          <w:right w:w="62" w:type="dxa"/>
        </w:tblCellMar>
        <w:tblLook w:val="0000"/>
      </w:tblPr>
      <w:tblGrid>
        <w:gridCol w:w="678"/>
        <w:gridCol w:w="1962"/>
        <w:gridCol w:w="770"/>
        <w:gridCol w:w="5610"/>
      </w:tblGrid>
      <w:tr w:rsidTr="00997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3</w:t>
            </w:r>
          </w:p>
        </w:tc>
        <w:tc>
          <w:tcPr>
            <w:tcW w:w="1962" w:type="dxa"/>
            <w:vMerge w:val="restart"/>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Manage the administration of regulations relating to work health and safety (WHS) and welfare, workers' compensation, noise abatement and working hours.</w:t>
            </w:r>
          </w:p>
        </w:tc>
        <w:tc>
          <w:tcPr>
            <w:tcW w:w="77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3.1</w:t>
            </w:r>
          </w:p>
        </w:tc>
        <w:tc>
          <w:tcPr>
            <w:tcW w:w="561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 xml:space="preserve">Administration systems that </w:t>
            </w:r>
            <w:r w:rsidRPr="00997ED3">
              <w:t xml:space="preserve">facilitate the organisation conforming to its obligations and </w:t>
            </w:r>
            <w:r w:rsidRPr="00997ED3">
              <w:rPr>
                <w:rStyle w:val="BoldandItalics"/>
              </w:rPr>
              <w:t>regulations</w:t>
            </w:r>
            <w:r w:rsidRPr="00997ED3">
              <w:t xml:space="preserve"> under WHS and welfare, workers' compensation, noise abatement and working hours, are developed and managed. </w:t>
            </w:r>
          </w:p>
        </w:tc>
      </w:tr>
      <w:tr w:rsidTr="00997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3.2</w:t>
            </w:r>
          </w:p>
        </w:tc>
        <w:tc>
          <w:tcPr>
            <w:tcW w:w="561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Records demonstrating organisational compliance with legal obligations are maintained and managed.</w:t>
            </w:r>
          </w:p>
        </w:tc>
      </w:tr>
      <w:tr w:rsidTr="00997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3.3</w:t>
            </w:r>
          </w:p>
        </w:tc>
        <w:tc>
          <w:tcPr>
            <w:tcW w:w="5610" w:type="dxa"/>
            <w:tcBorders>
              <w:top w:val="nil"/>
              <w:left w:val="nil"/>
              <w:bottom w:val="nil"/>
              <w:right w:val="nil"/>
            </w:tcBorders>
            <w:tcMar>
              <w:top w:w="0" w:type="dxa"/>
              <w:left w:w="62" w:type="dxa"/>
              <w:bottom w:w="0" w:type="dxa"/>
              <w:right w:w="62" w:type="dxa"/>
            </w:tcMar>
          </w:tcPr>
          <w:p w:rsidR="00000000" w:rsidRPr="00997ED3" w:rsidP="00997ED3">
            <w:pPr>
              <w:pStyle w:val="BodyText"/>
            </w:pPr>
            <w:r w:rsidRPr="00997ED3">
              <w:t>Administrative guidelines and facilities for the proper and secure storage of organisational legal documentation are established and managed.</w:t>
            </w:r>
          </w:p>
        </w:tc>
      </w:tr>
    </w:tbl>
    <w:p w:rsidR="00000000" w:rsidRPr="00997ED3" w:rsidP="00997ED3">
      <w:pPr>
        <w:pStyle w:val="BodyText"/>
      </w:pPr>
    </w:p>
    <w:tbl>
      <w:tblPr>
        <w:tblW w:w="0" w:type="auto"/>
        <w:tblLayout w:type="fixed"/>
        <w:tblCellMar>
          <w:left w:w="62" w:type="dxa"/>
          <w:right w:w="62" w:type="dxa"/>
        </w:tblCellMar>
        <w:tblLook w:val="0000"/>
      </w:tblPr>
      <w:tblGrid>
        <w:gridCol w:w="678"/>
        <w:gridCol w:w="1962"/>
        <w:gridCol w:w="770"/>
        <w:gridCol w:w="5610"/>
      </w:tblGrid>
      <w:tr w:rsidTr="00997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4</w:t>
            </w:r>
          </w:p>
        </w:tc>
        <w:tc>
          <w:tcPr>
            <w:tcW w:w="1962" w:type="dxa"/>
            <w:vMerge w:val="restart"/>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Mana</w:t>
            </w:r>
            <w:r w:rsidRPr="00997ED3">
              <w:t>ge company compliance with taxation and insurance requirements of federal, state and territory legislation.</w:t>
            </w:r>
          </w:p>
        </w:tc>
        <w:tc>
          <w:tcPr>
            <w:tcW w:w="77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4.1</w:t>
            </w:r>
          </w:p>
        </w:tc>
        <w:tc>
          <w:tcPr>
            <w:tcW w:w="561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 xml:space="preserve">Systems that support and maintain organisational capacity to meet </w:t>
            </w:r>
            <w:r w:rsidRPr="00997ED3">
              <w:rPr>
                <w:rStyle w:val="BoldandItalics"/>
              </w:rPr>
              <w:t>legal obligations with regard to insurance and taxation</w:t>
            </w:r>
            <w:r w:rsidRPr="00997ED3">
              <w:t xml:space="preserve"> are instigated and managed. </w:t>
            </w:r>
          </w:p>
        </w:tc>
      </w:tr>
      <w:tr w:rsidTr="00997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4.2</w:t>
            </w:r>
          </w:p>
        </w:tc>
        <w:tc>
          <w:tcPr>
            <w:tcW w:w="5610" w:type="dxa"/>
            <w:tcBorders>
              <w:top w:val="nil"/>
              <w:left w:val="nil"/>
              <w:bottom w:val="nil"/>
              <w:right w:val="nil"/>
            </w:tcBorders>
            <w:tcMar>
              <w:top w:w="0" w:type="dxa"/>
              <w:left w:w="62" w:type="dxa"/>
              <w:bottom w:w="0" w:type="dxa"/>
              <w:right w:w="62" w:type="dxa"/>
            </w:tcMar>
          </w:tcPr>
          <w:p w:rsidR="00000000" w:rsidRPr="00997ED3" w:rsidP="00997ED3">
            <w:pPr>
              <w:pStyle w:val="BodyText"/>
            </w:pPr>
            <w:r w:rsidRPr="00997ED3">
              <w:t>Personnel receive appropriate training and instruction in matters relating to insurance and taxation and are made aware of their responsibilities.</w:t>
            </w:r>
          </w:p>
        </w:tc>
      </w:tr>
    </w:tbl>
    <w:p w:rsidR="00000000" w:rsidRPr="00997ED3" w:rsidP="00997ED3">
      <w:pPr>
        <w:pStyle w:val="BodyText"/>
      </w:pPr>
    </w:p>
    <w:tbl>
      <w:tblPr>
        <w:tblW w:w="0" w:type="auto"/>
        <w:tblLayout w:type="fixed"/>
        <w:tblCellMar>
          <w:left w:w="62" w:type="dxa"/>
          <w:right w:w="62" w:type="dxa"/>
        </w:tblCellMar>
        <w:tblLook w:val="0000"/>
      </w:tblPr>
      <w:tblGrid>
        <w:gridCol w:w="678"/>
        <w:gridCol w:w="1962"/>
        <w:gridCol w:w="770"/>
        <w:gridCol w:w="5610"/>
      </w:tblGrid>
      <w:tr w:rsidTr="00997ED3">
        <w:tblPrEx>
          <w:tblW w:w="0" w:type="auto"/>
          <w:tblLayout w:type="fixed"/>
          <w:tblCellMar>
            <w:left w:w="62" w:type="dxa"/>
            <w:right w:w="62" w:type="dxa"/>
          </w:tblCellMar>
          <w:tblLook w:val="0000"/>
        </w:tblPrEx>
        <w:trPr>
          <w:trHeight w:val="843"/>
        </w:trPr>
        <w:tc>
          <w:tcPr>
            <w:tcW w:w="678"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5</w:t>
            </w:r>
          </w:p>
        </w:tc>
        <w:tc>
          <w:tcPr>
            <w:tcW w:w="1962" w:type="dxa"/>
            <w:vMerge w:val="restart"/>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Manage organisational obligations and observe fair trading practice.</w:t>
            </w:r>
          </w:p>
        </w:tc>
        <w:tc>
          <w:tcPr>
            <w:tcW w:w="77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5.1</w:t>
            </w:r>
          </w:p>
        </w:tc>
        <w:tc>
          <w:tcPr>
            <w:tcW w:w="561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Practices and policies are developed and implemented which facilitate the organisation meeting its obligations to its clients, subcontractors and employees.</w:t>
            </w:r>
          </w:p>
        </w:tc>
      </w:tr>
      <w:tr w:rsidTr="00997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5.2</w:t>
            </w:r>
          </w:p>
        </w:tc>
        <w:tc>
          <w:tcPr>
            <w:tcW w:w="561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Codes of conduct are established and enforced for all employees and subcontractors.</w:t>
            </w:r>
          </w:p>
        </w:tc>
      </w:tr>
      <w:tr w:rsidTr="00997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5.3</w:t>
            </w:r>
          </w:p>
        </w:tc>
        <w:tc>
          <w:tcPr>
            <w:tcW w:w="5610" w:type="dxa"/>
            <w:tcBorders>
              <w:top w:val="nil"/>
              <w:left w:val="nil"/>
              <w:bottom w:val="nil"/>
              <w:right w:val="nil"/>
            </w:tcBorders>
            <w:tcMar>
              <w:top w:w="0" w:type="dxa"/>
              <w:left w:w="62" w:type="dxa"/>
              <w:bottom w:w="0" w:type="dxa"/>
              <w:right w:w="62" w:type="dxa"/>
            </w:tcMar>
          </w:tcPr>
          <w:p w:rsidR="00000000" w:rsidRPr="00997ED3" w:rsidP="00997ED3">
            <w:pPr>
              <w:pStyle w:val="BodyText"/>
            </w:pPr>
            <w:r w:rsidRPr="00997ED3">
              <w:t>Remedial action is taken where evidence of non-compliance with fair trading principles is identified.</w:t>
            </w:r>
          </w:p>
        </w:tc>
      </w:tr>
    </w:tbl>
    <w:p w:rsidR="00000000" w:rsidRPr="00997ED3" w:rsidP="00997ED3">
      <w:pPr>
        <w:pStyle w:val="BodyText"/>
      </w:pPr>
    </w:p>
    <w:tbl>
      <w:tblPr>
        <w:tblW w:w="0" w:type="auto"/>
        <w:tblLayout w:type="fixed"/>
        <w:tblCellMar>
          <w:left w:w="62" w:type="dxa"/>
          <w:right w:w="62" w:type="dxa"/>
        </w:tblCellMar>
        <w:tblLook w:val="0000"/>
      </w:tblPr>
      <w:tblGrid>
        <w:gridCol w:w="678"/>
        <w:gridCol w:w="1962"/>
        <w:gridCol w:w="770"/>
        <w:gridCol w:w="5610"/>
      </w:tblGrid>
      <w:tr w:rsidTr="00997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6</w:t>
            </w:r>
          </w:p>
        </w:tc>
        <w:tc>
          <w:tcPr>
            <w:tcW w:w="1962" w:type="dxa"/>
            <w:vMerge w:val="restart"/>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Manage compliance with environmental legislation.</w:t>
            </w:r>
          </w:p>
        </w:tc>
        <w:tc>
          <w:tcPr>
            <w:tcW w:w="77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6.1</w:t>
            </w:r>
          </w:p>
        </w:tc>
        <w:tc>
          <w:tcPr>
            <w:tcW w:w="561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Mechanisms to gather information in relation to the organisational environmental mana</w:t>
            </w:r>
            <w:r w:rsidRPr="00997ED3">
              <w:t>gement plan are established and managed.</w:t>
            </w:r>
          </w:p>
        </w:tc>
      </w:tr>
      <w:tr w:rsidTr="00997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6.2</w:t>
            </w:r>
          </w:p>
        </w:tc>
        <w:tc>
          <w:tcPr>
            <w:tcW w:w="561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Supply and removal of subcontract works and materials are managed and subject to constant scrutiny to ensure compliance with environmental standards.</w:t>
            </w:r>
          </w:p>
        </w:tc>
      </w:tr>
      <w:tr w:rsidTr="00997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6.3</w:t>
            </w:r>
          </w:p>
        </w:tc>
        <w:tc>
          <w:tcPr>
            <w:tcW w:w="5610" w:type="dxa"/>
            <w:tcBorders>
              <w:top w:val="nil"/>
              <w:left w:val="nil"/>
              <w:bottom w:val="nil"/>
              <w:right w:val="nil"/>
            </w:tcBorders>
            <w:tcMar>
              <w:top w:w="0" w:type="dxa"/>
              <w:left w:w="62" w:type="dxa"/>
              <w:bottom w:w="0" w:type="dxa"/>
              <w:right w:w="62" w:type="dxa"/>
            </w:tcMar>
          </w:tcPr>
          <w:p w:rsidR="00000000" w:rsidRPr="00997ED3" w:rsidP="00997ED3">
            <w:pPr>
              <w:pStyle w:val="BodyText"/>
            </w:pPr>
            <w:r w:rsidRPr="00997ED3">
              <w:t>Changes to legislation or environmental requirement</w:t>
            </w:r>
            <w:r w:rsidRPr="00997ED3">
              <w:t>s are recorded and organisational activities and systems altered to ensure ongoing compliance.</w:t>
            </w:r>
          </w:p>
        </w:tc>
      </w:tr>
    </w:tbl>
    <w:p w:rsidR="00A76F28" w:rsidP="00997ED3">
      <w:pPr>
        <w:pStyle w:val="BodyText"/>
      </w:pPr>
    </w:p>
    <w:p w:rsidR="00A76F28" w:rsidP="00997ED3">
      <w:pPr>
        <w:pStyle w:val="BodyText"/>
      </w:pPr>
    </w:p>
    <w:p w:rsidR="00000000" w:rsidRPr="00997ED3" w:rsidP="00997ED3">
      <w:pPr>
        <w:pStyle w:val="Heading1"/>
      </w:pPr>
      <w:bookmarkStart w:id="9" w:name="O_498243"/>
      <w:bookmarkEnd w:id="9"/>
      <w:r w:rsidRPr="00997ED3">
        <w:t>Required Skills and Knowledge</w:t>
      </w:r>
    </w:p>
    <w:tbl>
      <w:tblPr>
        <w:tblW w:w="0" w:type="auto"/>
        <w:tblLayout w:type="fixed"/>
        <w:tblCellMar>
          <w:left w:w="62" w:type="dxa"/>
          <w:right w:w="62" w:type="dxa"/>
        </w:tblCellMar>
        <w:tblLook w:val="0000"/>
      </w:tblPr>
      <w:tblGrid>
        <w:gridCol w:w="9178"/>
      </w:tblGrid>
      <w:tr w:rsidTr="00997ED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t>This section describes the skills and knowledge required for this unit.</w:t>
            </w:r>
          </w:p>
        </w:tc>
      </w:tr>
      <w:tr w:rsidTr="00997ED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rPr>
                <w:rStyle w:val="SpecialBold"/>
              </w:rPr>
              <w:t>Required skills</w:t>
            </w:r>
          </w:p>
        </w:tc>
      </w:tr>
      <w:tr w:rsidTr="00997ED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97ED3" w:rsidP="00997ED3">
            <w:pPr>
              <w:pStyle w:val="ListBullet"/>
            </w:pPr>
            <w:r w:rsidRPr="00997ED3">
              <w:t>communication skills to:</w:t>
            </w:r>
          </w:p>
          <w:p w:rsidR="00000000" w:rsidRPr="00997ED3" w:rsidP="00997ED3">
            <w:pPr>
              <w:pStyle w:val="ListBullet2"/>
            </w:pPr>
            <w:r w:rsidRPr="00997ED3">
              <w:t>enable clear and direct communication, using questioning to identify and confirm requirements, share information, listen and understand</w:t>
            </w:r>
          </w:p>
          <w:p w:rsidR="00000000" w:rsidRPr="00997ED3" w:rsidP="00997ED3">
            <w:pPr>
              <w:pStyle w:val="ListBullet2"/>
            </w:pPr>
            <w:r w:rsidRPr="00997ED3">
              <w:t>communicate with clients</w:t>
            </w:r>
          </w:p>
          <w:p w:rsidR="00000000" w:rsidRPr="00997ED3" w:rsidP="00997ED3">
            <w:pPr>
              <w:pStyle w:val="ListBullet2"/>
            </w:pPr>
            <w:r w:rsidRPr="00997ED3">
              <w:t>provide information and training to staff</w:t>
            </w:r>
          </w:p>
          <w:p w:rsidR="00000000" w:rsidRPr="00997ED3" w:rsidP="00997ED3">
            <w:pPr>
              <w:pStyle w:val="ListBullet2"/>
            </w:pPr>
            <w:r w:rsidRPr="00997ED3">
              <w:t>use and interpret non-verbal communication</w:t>
            </w:r>
          </w:p>
          <w:p w:rsidR="00000000" w:rsidRPr="00997ED3" w:rsidP="00997ED3">
            <w:pPr>
              <w:pStyle w:val="ListBullet2"/>
            </w:pPr>
            <w:r w:rsidRPr="00997ED3">
              <w:t>use language and concepts appropriate to cultural differences</w:t>
            </w:r>
          </w:p>
          <w:p w:rsidR="00000000" w:rsidRPr="00997ED3" w:rsidP="00997ED3">
            <w:pPr>
              <w:pStyle w:val="ListBullet2"/>
            </w:pPr>
            <w:r w:rsidRPr="00997ED3">
              <w:t>written skills to maintain records</w:t>
            </w:r>
          </w:p>
          <w:p w:rsidR="00000000" w:rsidRPr="00997ED3" w:rsidP="00997ED3">
            <w:pPr>
              <w:pStyle w:val="ListBullet"/>
            </w:pPr>
            <w:r w:rsidRPr="00997ED3">
              <w:t>initiative and enterprise skills to conceptualise and envisage unique solutions to complex problems and situations</w:t>
            </w:r>
          </w:p>
          <w:p w:rsidR="00000000" w:rsidRPr="00997ED3" w:rsidP="00997ED3">
            <w:pPr>
              <w:pStyle w:val="ListBullet"/>
            </w:pPr>
            <w:r w:rsidRPr="00997ED3">
              <w:t>facilitation skills to implement new and modified contract management systems</w:t>
            </w:r>
          </w:p>
          <w:p w:rsidR="00000000" w:rsidRPr="00997ED3" w:rsidP="00997ED3">
            <w:pPr>
              <w:pStyle w:val="ListBullet"/>
            </w:pPr>
            <w:r w:rsidRPr="00997ED3">
              <w:t>literacy skills to:</w:t>
            </w:r>
          </w:p>
          <w:p w:rsidR="00000000" w:rsidRPr="00997ED3" w:rsidP="00997ED3">
            <w:pPr>
              <w:pStyle w:val="ListBullet2"/>
            </w:pPr>
            <w:r w:rsidRPr="00997ED3">
              <w:t xml:space="preserve">interpret strategic and often ambiguous information to ensure logical and practical decisions </w:t>
            </w:r>
          </w:p>
          <w:p w:rsidR="00000000" w:rsidRPr="00997ED3" w:rsidP="00997ED3">
            <w:pPr>
              <w:pStyle w:val="ListBullet2"/>
            </w:pPr>
            <w:r w:rsidRPr="00997ED3">
              <w:t>read and interpret legislation, contracts and other relevant d</w:t>
            </w:r>
            <w:r w:rsidRPr="00997ED3">
              <w:t>ocumentation</w:t>
            </w:r>
          </w:p>
          <w:p w:rsidR="00000000" w:rsidRPr="00997ED3" w:rsidP="00997ED3">
            <w:pPr>
              <w:pStyle w:val="ListBullet"/>
            </w:pPr>
            <w:r w:rsidRPr="00997ED3">
              <w:t>management skills to delegate tasks within specific functional guidelines and direct the activities of personnel involved in the contracts management process</w:t>
            </w:r>
          </w:p>
          <w:p w:rsidR="00000000" w:rsidRPr="00997ED3" w:rsidP="00997ED3">
            <w:pPr>
              <w:pStyle w:val="ListBullet"/>
            </w:pPr>
            <w:r w:rsidRPr="00997ED3">
              <w:t>supervisory skills to monitor and oversee the performance of the contract management</w:t>
            </w:r>
            <w:r w:rsidRPr="00997ED3">
              <w:t xml:space="preserve"> systems and individuals involved in the process</w:t>
            </w:r>
          </w:p>
          <w:p w:rsidR="00000000" w:rsidRPr="00997ED3" w:rsidP="00997ED3">
            <w:pPr>
              <w:pStyle w:val="ListBullet"/>
            </w:pPr>
            <w:r w:rsidRPr="00997ED3">
              <w:t>technology skills to facilitate use of the organisation's software and office equipment</w:t>
            </w:r>
          </w:p>
          <w:p w:rsidR="00000000" w:rsidP="00997ED3">
            <w:pPr>
              <w:pStyle w:val="BodyText"/>
              <w:rPr>
                <w:lang w:val="en-NZ"/>
              </w:rPr>
            </w:pPr>
          </w:p>
        </w:tc>
      </w:tr>
      <w:tr w:rsidTr="00997ED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rPr>
                <w:rStyle w:val="SpecialBold"/>
              </w:rPr>
              <w:t>Required knowledge</w:t>
            </w:r>
          </w:p>
        </w:tc>
      </w:tr>
      <w:tr w:rsidTr="00997ED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97ED3" w:rsidP="00997ED3">
            <w:pPr>
              <w:pStyle w:val="ListBullet"/>
            </w:pPr>
            <w:r w:rsidRPr="00997ED3">
              <w:t xml:space="preserve">appropriate sector of the building and construction industry and the nature of the </w:t>
            </w:r>
            <w:r w:rsidRPr="00997ED3">
              <w:t>contracts upon which its activities are based</w:t>
            </w:r>
          </w:p>
          <w:p w:rsidR="00000000" w:rsidRPr="00997ED3" w:rsidP="00997ED3">
            <w:pPr>
              <w:pStyle w:val="ListBullet"/>
            </w:pPr>
            <w:r w:rsidRPr="00997ED3">
              <w:t>factors to be considered in assessing the risk inherent in different types of building and construction projects</w:t>
            </w:r>
          </w:p>
          <w:p w:rsidR="00000000" w:rsidRPr="00997ED3" w:rsidP="00997ED3">
            <w:pPr>
              <w:pStyle w:val="ListBullet"/>
            </w:pPr>
            <w:r w:rsidRPr="00997ED3">
              <w:t>financial and business administration principles commensurate with organisational needs</w:t>
            </w:r>
          </w:p>
          <w:p w:rsidR="00000000" w:rsidRPr="00997ED3" w:rsidP="00997ED3">
            <w:pPr>
              <w:pStyle w:val="ListBullet"/>
            </w:pPr>
            <w:r w:rsidRPr="00997ED3">
              <w:t>human res</w:t>
            </w:r>
            <w:r w:rsidRPr="00997ED3">
              <w:t>ource practices and the industry's industrial relations climate and practices</w:t>
            </w:r>
          </w:p>
          <w:p w:rsidR="00000000" w:rsidRPr="00997ED3" w:rsidP="00997ED3">
            <w:pPr>
              <w:pStyle w:val="ListBullet"/>
            </w:pPr>
            <w:r w:rsidRPr="00997ED3">
              <w:t>legislative, regulatory, and administrative obligations incumbent on a building and construction contractor for licensing, WHS, welfare, workers compensation, noise abatement, wo</w:t>
            </w:r>
            <w:r w:rsidRPr="00997ED3">
              <w:t>rking hours, taxation, insurance, fair trading and care of the environment</w:t>
            </w:r>
          </w:p>
        </w:tc>
      </w:tr>
    </w:tbl>
    <w:p w:rsidR="00000000" w:rsidRPr="00997ED3" w:rsidP="00997ED3">
      <w:pPr>
        <w:pStyle w:val="BodyText"/>
      </w:pPr>
    </w:p>
    <w:p w:rsidR="00000000" w:rsidRPr="00997ED3" w:rsidP="00997ED3">
      <w:pPr>
        <w:pStyle w:val="AllowPageBreak"/>
      </w:pPr>
    </w:p>
    <w:p w:rsidR="00000000" w:rsidRPr="00997ED3" w:rsidP="00997ED3">
      <w:pPr>
        <w:pStyle w:val="Heading1"/>
      </w:pPr>
      <w:bookmarkStart w:id="10" w:name="O_498244"/>
      <w:bookmarkEnd w:id="10"/>
      <w:r w:rsidRPr="00997ED3">
        <w:t>Evidence Guide</w:t>
      </w:r>
    </w:p>
    <w:tbl>
      <w:tblPr>
        <w:tblW w:w="0" w:type="auto"/>
        <w:tblLayout w:type="fixed"/>
        <w:tblCellMar>
          <w:left w:w="62" w:type="dxa"/>
          <w:right w:w="62" w:type="dxa"/>
        </w:tblCellMar>
        <w:tblLook w:val="0000"/>
      </w:tblPr>
      <w:tblGrid>
        <w:gridCol w:w="3692"/>
        <w:gridCol w:w="5486"/>
      </w:tblGrid>
      <w:tr w:rsidTr="00997ED3">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997ED3">
            <w:pPr>
              <w:pStyle w:val="BodyText"/>
              <w:rPr>
                <w:lang w:val="en-NZ"/>
              </w:rPr>
            </w:pPr>
            <w:r w:rsidRPr="00997ED3">
              <w:t>The evidence guide provides advice on assessment and must be read in conjunction with the performance criteria, required skills and knowledge, rang</w:t>
            </w:r>
            <w:r w:rsidRPr="00997ED3">
              <w:t>e statement and the Assessment Guidelines for the Training Package.</w:t>
            </w:r>
          </w:p>
        </w:tc>
      </w:tr>
      <w:tr w:rsidTr="00997ED3">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rPr>
                <w:rStyle w:val="SpecialBold"/>
              </w:rPr>
              <w:t>Overview of assessment</w:t>
            </w:r>
          </w:p>
        </w:tc>
        <w:tc>
          <w:tcPr>
            <w:tcW w:w="5486" w:type="dxa"/>
            <w:tcBorders>
              <w:top w:val="nil"/>
              <w:left w:val="nil"/>
              <w:bottom w:val="nil"/>
              <w:right w:val="nil"/>
            </w:tcBorders>
            <w:tcMar>
              <w:top w:w="0" w:type="dxa"/>
              <w:left w:w="62" w:type="dxa"/>
              <w:bottom w:w="0" w:type="dxa"/>
              <w:right w:w="62" w:type="dxa"/>
            </w:tcMar>
          </w:tcPr>
          <w:p w:rsidR="00000000" w:rsidRPr="00997ED3" w:rsidP="00997ED3">
            <w:pPr>
              <w:pStyle w:val="BodyText"/>
            </w:pPr>
            <w:r w:rsidRPr="00997ED3">
              <w:t xml:space="preserve">This unit of competency could be assessed by the development and implementation of policies, practices and administrative measures which ensure </w:t>
            </w:r>
            <w:r w:rsidRPr="00997ED3">
              <w:t>an organisation meets its legal obligations in a timely manner.</w:t>
            </w:r>
          </w:p>
          <w:p w:rsidR="00000000" w:rsidRPr="00997ED3" w:rsidP="00997ED3">
            <w:pPr>
              <w:pStyle w:val="BodyText"/>
            </w:pPr>
            <w:r w:rsidRPr="00997ED3">
              <w:t>This unit of competency can be assessed in the workplace or a close simulation of the workplace environment, provided that simulated or project-based assessment techniques fully replicate cons</w:t>
            </w:r>
            <w:r w:rsidRPr="00997ED3">
              <w:t xml:space="preserve">truction workplace conditions, materials, activities, responsibilities and procedures. </w:t>
            </w:r>
          </w:p>
          <w:p w:rsidR="00000000" w:rsidP="00997ED3">
            <w:pPr>
              <w:pStyle w:val="BodyText"/>
              <w:rPr>
                <w:lang w:val="en-NZ"/>
              </w:rPr>
            </w:pPr>
          </w:p>
        </w:tc>
      </w:tr>
      <w:tr w:rsidTr="00997ED3">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rPr>
                <w:rStyle w:val="SpecialBold"/>
              </w:rPr>
              <w:t>Critical aspects for assessment and evidence required to demonstrate competency in this unit</w:t>
            </w:r>
          </w:p>
        </w:tc>
        <w:tc>
          <w:tcPr>
            <w:tcW w:w="5486" w:type="dxa"/>
            <w:tcBorders>
              <w:top w:val="nil"/>
              <w:left w:val="nil"/>
              <w:bottom w:val="nil"/>
              <w:right w:val="nil"/>
            </w:tcBorders>
            <w:tcMar>
              <w:top w:w="0" w:type="dxa"/>
              <w:left w:w="62" w:type="dxa"/>
              <w:bottom w:w="0" w:type="dxa"/>
              <w:right w:w="62" w:type="dxa"/>
            </w:tcMar>
          </w:tcPr>
          <w:p w:rsidR="00000000" w:rsidRPr="00997ED3" w:rsidP="00997ED3">
            <w:pPr>
              <w:pStyle w:val="BodyText"/>
            </w:pPr>
            <w:r w:rsidRPr="00997ED3">
              <w:t>A person who demonstrates competency in this unit must be able to provide</w:t>
            </w:r>
            <w:r w:rsidRPr="00997ED3">
              <w:t xml:space="preserve"> evidence of the ability to:</w:t>
            </w:r>
          </w:p>
          <w:p w:rsidR="00000000" w:rsidRPr="00997ED3" w:rsidP="00997ED3">
            <w:pPr>
              <w:pStyle w:val="ListBullet"/>
            </w:pPr>
            <w:r w:rsidRPr="00997ED3">
              <w:t>ensure contractor licensing requirements are met</w:t>
            </w:r>
          </w:p>
          <w:p w:rsidR="00000000" w:rsidRPr="00997ED3" w:rsidP="00997ED3">
            <w:pPr>
              <w:pStyle w:val="ListBullet"/>
            </w:pPr>
            <w:r w:rsidRPr="00997ED3">
              <w:t>develop and maintain relationships with appropriate legal advisors and obtain advice and clarification as required</w:t>
            </w:r>
          </w:p>
          <w:p w:rsidR="00000000" w:rsidRPr="00997ED3" w:rsidP="00997ED3">
            <w:pPr>
              <w:pStyle w:val="ListBullet"/>
            </w:pPr>
            <w:r w:rsidRPr="00997ED3">
              <w:t>establish and maintain suitable communication mechanisms between the organisation and its clients</w:t>
            </w:r>
          </w:p>
          <w:p w:rsidR="00000000" w:rsidRPr="00997ED3" w:rsidP="00997ED3">
            <w:pPr>
              <w:pStyle w:val="ListBullet"/>
            </w:pPr>
            <w:r w:rsidRPr="00997ED3">
              <w:t>develop and manage administrative systems to facilitate compliance with legislation</w:t>
            </w:r>
          </w:p>
          <w:p w:rsidR="00000000" w:rsidRPr="00997ED3" w:rsidP="00997ED3">
            <w:pPr>
              <w:pStyle w:val="ListBullet"/>
            </w:pPr>
            <w:r w:rsidRPr="00997ED3">
              <w:t>develop and manage appropriate record-keeping procedures and storage of le</w:t>
            </w:r>
            <w:r w:rsidRPr="00997ED3">
              <w:t>gal documentation</w:t>
            </w:r>
          </w:p>
          <w:p w:rsidR="00000000" w:rsidRPr="00997ED3" w:rsidP="00997ED3">
            <w:pPr>
              <w:pStyle w:val="ListBullet"/>
            </w:pPr>
            <w:r w:rsidRPr="00997ED3">
              <w:t>ensure relevant personnel are informed, trained and updated regarding legal requirements and consequences of non-compliance</w:t>
            </w:r>
          </w:p>
          <w:p w:rsidR="00000000" w:rsidRPr="00997ED3" w:rsidP="00997ED3">
            <w:pPr>
              <w:pStyle w:val="ListBullet"/>
            </w:pPr>
            <w:r w:rsidRPr="00997ED3">
              <w:t>manage organisational activities and systems to ensure ongoing legal compliance.</w:t>
            </w:r>
          </w:p>
          <w:p w:rsidR="00000000" w:rsidP="00997ED3">
            <w:pPr>
              <w:pStyle w:val="BodyText"/>
              <w:rPr>
                <w:lang w:val="en-NZ"/>
              </w:rPr>
            </w:pPr>
          </w:p>
        </w:tc>
      </w:tr>
      <w:tr w:rsidTr="00997ED3">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rPr>
                <w:rStyle w:val="SpecialBold"/>
              </w:rPr>
              <w:t>Context of and specific resourc</w:t>
            </w:r>
            <w:r w:rsidRPr="00997ED3">
              <w:rPr>
                <w:rStyle w:val="SpecialBold"/>
              </w:rPr>
              <w:t>es for assessment</w:t>
            </w:r>
          </w:p>
        </w:tc>
        <w:tc>
          <w:tcPr>
            <w:tcW w:w="5486" w:type="dxa"/>
            <w:tcBorders>
              <w:top w:val="nil"/>
              <w:left w:val="nil"/>
              <w:bottom w:val="nil"/>
              <w:right w:val="nil"/>
            </w:tcBorders>
            <w:tcMar>
              <w:top w:w="0" w:type="dxa"/>
              <w:left w:w="62" w:type="dxa"/>
              <w:bottom w:w="0" w:type="dxa"/>
              <w:right w:w="62" w:type="dxa"/>
            </w:tcMar>
          </w:tcPr>
          <w:p w:rsidR="00000000" w:rsidRPr="00997ED3" w:rsidP="00997ED3">
            <w:pPr>
              <w:pStyle w:val="BodyText"/>
            </w:pPr>
            <w:r w:rsidRPr="00997ED3">
              <w:t>This competency is to be assessed using standard and authorised work practices, safety requirements and environmental constraints.</w:t>
            </w:r>
          </w:p>
          <w:p w:rsidR="00000000" w:rsidRPr="00997ED3" w:rsidP="00997ED3">
            <w:pPr>
              <w:pStyle w:val="BodyText"/>
            </w:pPr>
            <w:r w:rsidRPr="00997ED3">
              <w:t>Assessment of essential underpinning knowledge will usually be conducted in an off-site context.</w:t>
            </w:r>
          </w:p>
          <w:p w:rsidR="00000000" w:rsidRPr="00997ED3" w:rsidP="00997ED3">
            <w:pPr>
              <w:pStyle w:val="BodyText"/>
            </w:pPr>
            <w:r w:rsidRPr="00997ED3">
              <w:t>Assessment</w:t>
            </w:r>
            <w:r w:rsidRPr="00997ED3">
              <w:t xml:space="preserve"> is to comply with relevant regulatory or </w:t>
            </w:r>
            <w:r w:rsidRPr="00997ED3">
              <w:t>Australian standards' requirements.</w:t>
            </w:r>
          </w:p>
          <w:p w:rsidR="00000000" w:rsidRPr="00997ED3" w:rsidP="00997ED3">
            <w:pPr>
              <w:pStyle w:val="BodyText"/>
            </w:pPr>
            <w:r w:rsidRPr="00997ED3">
              <w:t>Resource implications for assessment include:</w:t>
            </w:r>
          </w:p>
          <w:p w:rsidR="00000000" w:rsidRPr="00997ED3" w:rsidP="00997ED3">
            <w:pPr>
              <w:pStyle w:val="ListBullet"/>
            </w:pPr>
            <w:r w:rsidRPr="00997ED3">
              <w:t>documentation normally available in either a building or construction office</w:t>
            </w:r>
          </w:p>
          <w:p w:rsidR="00000000" w:rsidRPr="00997ED3" w:rsidP="00997ED3">
            <w:pPr>
              <w:pStyle w:val="ListBullet"/>
            </w:pPr>
            <w:r w:rsidRPr="00997ED3">
              <w:t>relevant codes, standards and regulations</w:t>
            </w:r>
          </w:p>
          <w:p w:rsidR="00000000" w:rsidRPr="00997ED3" w:rsidP="00997ED3">
            <w:pPr>
              <w:pStyle w:val="ListBullet"/>
            </w:pPr>
            <w:r w:rsidRPr="00997ED3">
              <w:t>office equipment, including calculators, photocopiers and telephone systems</w:t>
            </w:r>
          </w:p>
          <w:p w:rsidR="00000000" w:rsidRPr="00997ED3" w:rsidP="00997ED3">
            <w:pPr>
              <w:pStyle w:val="ListBullet"/>
            </w:pPr>
            <w:r w:rsidRPr="00997ED3">
              <w:t>computers with appropriate software</w:t>
            </w:r>
          </w:p>
          <w:p w:rsidR="00000000" w:rsidRPr="00997ED3" w:rsidP="00997ED3">
            <w:pPr>
              <w:pStyle w:val="ListBullet"/>
            </w:pPr>
            <w:r w:rsidRPr="00997ED3">
              <w:t>a technical reference library with current publications on measurement, design, building construction and manufacturers' product literature</w:t>
            </w:r>
          </w:p>
          <w:p w:rsidR="00000000" w:rsidRPr="00997ED3" w:rsidP="00997ED3">
            <w:pPr>
              <w:pStyle w:val="ListBullet"/>
            </w:pPr>
            <w:r w:rsidRPr="00997ED3">
              <w:t>copi</w:t>
            </w:r>
            <w:r w:rsidRPr="00997ED3">
              <w:t>es of appropriate awards and workplace agreements</w:t>
            </w:r>
          </w:p>
          <w:p w:rsidR="00000000" w:rsidRPr="00997ED3" w:rsidP="00997ED3">
            <w:pPr>
              <w:pStyle w:val="ListBullet"/>
            </w:pPr>
            <w:r w:rsidRPr="00997ED3">
              <w:t>a suitable work area appropriate to the construction process.</w:t>
            </w:r>
          </w:p>
          <w:p w:rsidR="00000000" w:rsidRPr="00997ED3" w:rsidP="00997ED3">
            <w:pPr>
              <w:pStyle w:val="BodyText"/>
            </w:pPr>
            <w:r w:rsidRPr="00997ED3">
              <w:t>Reasonable adjustments for people with disabilities must be made to assessment processes where required. This could include access to modified e</w:t>
            </w:r>
            <w:r w:rsidRPr="00997ED3">
              <w:t xml:space="preserve">quipment and other physical resources, and the provision of appropriate assessment support. </w:t>
            </w:r>
          </w:p>
          <w:p w:rsidR="00000000" w:rsidP="00997ED3">
            <w:pPr>
              <w:pStyle w:val="BodyText"/>
              <w:rPr>
                <w:lang w:val="en-NZ"/>
              </w:rPr>
            </w:pPr>
          </w:p>
        </w:tc>
      </w:tr>
      <w:tr w:rsidTr="00997ED3">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rPr>
                <w:rStyle w:val="SpecialBold"/>
              </w:rPr>
              <w:t>Method of assessment</w:t>
            </w:r>
          </w:p>
        </w:tc>
        <w:tc>
          <w:tcPr>
            <w:tcW w:w="5486" w:type="dxa"/>
            <w:tcBorders>
              <w:top w:val="nil"/>
              <w:left w:val="nil"/>
              <w:bottom w:val="nil"/>
              <w:right w:val="nil"/>
            </w:tcBorders>
            <w:tcMar>
              <w:top w:w="0" w:type="dxa"/>
              <w:left w:w="62" w:type="dxa"/>
              <w:bottom w:w="0" w:type="dxa"/>
              <w:right w:w="62" w:type="dxa"/>
            </w:tcMar>
          </w:tcPr>
          <w:p w:rsidR="00000000" w:rsidRPr="00997ED3" w:rsidP="00997ED3">
            <w:pPr>
              <w:pStyle w:val="BodyText"/>
            </w:pPr>
            <w:r w:rsidRPr="00997ED3">
              <w:t>Assessment methods must:</w:t>
            </w:r>
          </w:p>
          <w:p w:rsidR="00000000" w:rsidRPr="00997ED3" w:rsidP="00997ED3">
            <w:pPr>
              <w:pStyle w:val="ListBullet"/>
            </w:pPr>
            <w:r w:rsidRPr="00997ED3">
              <w:t>satisfy the endorsed Assessment Guidelines of the Construction, Plumbing and Services Training Package</w:t>
            </w:r>
          </w:p>
          <w:p w:rsidR="00000000" w:rsidRPr="00997ED3" w:rsidP="00997ED3">
            <w:pPr>
              <w:pStyle w:val="ListBullet"/>
            </w:pPr>
            <w:r w:rsidRPr="00997ED3">
              <w:t xml:space="preserve">include </w:t>
            </w:r>
            <w:r w:rsidRPr="00997ED3">
              <w:t>direct observation of tasks in real or simulated work conditions, with questioning to confirm the ability to consistently identify and correctly interpret the essential underpinning knowledge required for practical application</w:t>
            </w:r>
          </w:p>
          <w:p w:rsidR="00000000" w:rsidRPr="00997ED3" w:rsidP="00997ED3">
            <w:pPr>
              <w:pStyle w:val="ListBullet"/>
            </w:pPr>
            <w:r w:rsidRPr="00997ED3">
              <w:t xml:space="preserve">reinforce the integration of </w:t>
            </w:r>
            <w:r w:rsidRPr="00997ED3">
              <w:t>employability skills with workplace tasks and job roles</w:t>
            </w:r>
          </w:p>
          <w:p w:rsidR="00000000" w:rsidRPr="00997ED3" w:rsidP="00997ED3">
            <w:pPr>
              <w:pStyle w:val="ListBullet"/>
            </w:pPr>
            <w:r w:rsidRPr="00997ED3">
              <w:t>confirm that competency is verified and able to be transferred to other circumstances and environments.</w:t>
            </w:r>
          </w:p>
          <w:p w:rsidR="00000000" w:rsidRPr="00997ED3" w:rsidP="00997ED3">
            <w:pPr>
              <w:pStyle w:val="BodyText"/>
            </w:pPr>
            <w:r w:rsidRPr="00997ED3">
              <w:t>Validity and sufficiency of evidence requires that:</w:t>
            </w:r>
          </w:p>
          <w:p w:rsidR="00000000" w:rsidRPr="00997ED3" w:rsidP="00997ED3">
            <w:pPr>
              <w:pStyle w:val="ListBullet"/>
            </w:pPr>
            <w:r w:rsidRPr="00997ED3">
              <w:t>competency will need to be demonstrated over a period of time reflecting the scope of the role and the practical requirements of the workplace</w:t>
            </w:r>
          </w:p>
          <w:p w:rsidR="00000000" w:rsidRPr="00997ED3" w:rsidP="00997ED3">
            <w:pPr>
              <w:pStyle w:val="ListBullet"/>
            </w:pPr>
            <w:r w:rsidRPr="00997ED3">
              <w:t>where the assessment is part of a structured learning experience the evidence collected must relate to a number o</w:t>
            </w:r>
            <w:r w:rsidRPr="00997ED3">
              <w:t xml:space="preserve">f performances assessed at different points in time and separated by further </w:t>
            </w:r>
            <w:r w:rsidRPr="00997ED3">
              <w:t>learning and practice, with a decision on competency only taken at the point when the assessor has complete confidence in the person's demonstrated ability and applied knowledge</w:t>
            </w:r>
          </w:p>
          <w:p w:rsidR="00000000" w:rsidRPr="00997ED3" w:rsidP="00997ED3">
            <w:pPr>
              <w:pStyle w:val="ListBullet"/>
            </w:pPr>
            <w:r w:rsidRPr="00997ED3">
              <w:t>a</w:t>
            </w:r>
            <w:r w:rsidRPr="00997ED3">
              <w:t>ll assessment that is part of a structured learning experience must include a combination of direct, indirect and supplementary evidence.</w:t>
            </w:r>
          </w:p>
          <w:p w:rsidR="00000000" w:rsidRPr="00997ED3" w:rsidP="00997ED3">
            <w:pPr>
              <w:pStyle w:val="BodyText"/>
            </w:pPr>
            <w:r w:rsidRPr="00997ED3">
              <w:t>Assessment processes and techniques should as far as is practical take into account the language, literacy and numerac</w:t>
            </w:r>
            <w:r w:rsidRPr="00997ED3">
              <w:t>y capacity of the candidate in relation to the competency being assessed.</w:t>
            </w:r>
          </w:p>
          <w:p w:rsidR="00000000" w:rsidRPr="00997ED3" w:rsidP="00997ED3">
            <w:pPr>
              <w:pStyle w:val="BodyText"/>
            </w:pPr>
            <w:r w:rsidRPr="00997ED3">
              <w:t>Supplementary evidence of competency may be obtained from relevant authenticated documentation from third parties, such as existing supervisors, team leaders or specialist training s</w:t>
            </w:r>
            <w:r w:rsidRPr="00997ED3">
              <w:t xml:space="preserve">taff. </w:t>
            </w:r>
          </w:p>
          <w:p w:rsidR="00000000" w:rsidRPr="00997ED3" w:rsidP="00997ED3">
            <w:pPr>
              <w:pStyle w:val="BodyText"/>
            </w:pPr>
          </w:p>
        </w:tc>
      </w:tr>
    </w:tbl>
    <w:p w:rsidR="00A76F28" w:rsidP="00997ED3">
      <w:pPr>
        <w:pStyle w:val="BodyText"/>
      </w:pPr>
    </w:p>
    <w:p w:rsidR="00A76F28" w:rsidP="00997ED3">
      <w:pPr>
        <w:pStyle w:val="BodyText"/>
      </w:pPr>
    </w:p>
    <w:p w:rsidR="00000000" w:rsidRPr="00997ED3" w:rsidP="00997ED3">
      <w:pPr>
        <w:pStyle w:val="Heading1"/>
      </w:pPr>
      <w:bookmarkStart w:id="11" w:name="O_498245"/>
      <w:bookmarkEnd w:id="11"/>
      <w:r w:rsidRPr="00997ED3">
        <w:t>Range Statement</w:t>
      </w:r>
    </w:p>
    <w:tbl>
      <w:tblPr>
        <w:tblW w:w="0" w:type="auto"/>
        <w:tblLayout w:type="fixed"/>
        <w:tblCellMar>
          <w:left w:w="62" w:type="dxa"/>
          <w:right w:w="62" w:type="dxa"/>
        </w:tblCellMar>
        <w:tblLook w:val="0000"/>
      </w:tblPr>
      <w:tblGrid>
        <w:gridCol w:w="3688"/>
        <w:gridCol w:w="5490"/>
      </w:tblGrid>
      <w:tr w:rsidTr="00997ED3">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997ED3">
            <w:pPr>
              <w:pStyle w:val="BodyText"/>
              <w:rPr>
                <w:lang w:val="en-NZ"/>
              </w:rPr>
            </w:pPr>
            <w:r w:rsidRPr="00997ED3">
              <w:t>The range statement relates to the unit of competency as a whole. It allows for different work environments and situations that may affect performance. Bold italicised wording, if used in the performance criteria</w:t>
            </w:r>
            <w:r w:rsidRPr="00997ED3">
              <w:t>, is detailed below. Essential operating conditions that may be present with training and assessment (depending on the work situation, needs of the candidate, accessibility of the item, and local industry and regional contexts) may also be included.</w:t>
            </w:r>
          </w:p>
        </w:tc>
      </w:tr>
      <w:tr w:rsidTr="00997ED3">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rPr>
                <w:rStyle w:val="BoldandItalics"/>
              </w:rPr>
              <w:t>Laws relating to establishing and licensing of a building contractor</w:t>
            </w:r>
            <w:r w:rsidRPr="00997ED3">
              <w:t xml:space="preserve"> include state laws such as: </w:t>
            </w:r>
          </w:p>
        </w:tc>
        <w:tc>
          <w:tcPr>
            <w:tcW w:w="5490" w:type="dxa"/>
            <w:tcBorders>
              <w:top w:val="nil"/>
              <w:left w:val="nil"/>
              <w:bottom w:val="nil"/>
              <w:right w:val="nil"/>
            </w:tcBorders>
            <w:tcMar>
              <w:top w:w="0" w:type="dxa"/>
              <w:left w:w="62" w:type="dxa"/>
              <w:bottom w:w="0" w:type="dxa"/>
              <w:right w:w="62" w:type="dxa"/>
            </w:tcMar>
          </w:tcPr>
          <w:p w:rsidR="00000000" w:rsidRPr="00997ED3" w:rsidP="00997ED3">
            <w:pPr>
              <w:pStyle w:val="ListBullet"/>
            </w:pPr>
            <w:r w:rsidRPr="00997ED3">
              <w:t>Builders Registration Act 1939 and the Home Building Contracts Act 1991 in Western Australia</w:t>
            </w:r>
          </w:p>
          <w:p w:rsidR="00000000" w:rsidRPr="00997ED3" w:rsidP="00997ED3">
            <w:pPr>
              <w:pStyle w:val="ListBullet"/>
            </w:pPr>
            <w:r w:rsidRPr="00997ED3">
              <w:t>Home Building Act and Regulations 1989 in New South Wales.</w:t>
            </w:r>
          </w:p>
          <w:p w:rsidR="00000000" w:rsidP="00997ED3">
            <w:pPr>
              <w:pStyle w:val="BodyText"/>
              <w:rPr>
                <w:lang w:val="en-NZ"/>
              </w:rPr>
            </w:pPr>
          </w:p>
        </w:tc>
      </w:tr>
      <w:tr w:rsidTr="00997ED3">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rPr>
                <w:rStyle w:val="BoldandItalics"/>
              </w:rPr>
              <w:t>Reg</w:t>
            </w:r>
            <w:r w:rsidRPr="00997ED3">
              <w:rPr>
                <w:rStyle w:val="BoldandItalics"/>
              </w:rPr>
              <w:t>ulations</w:t>
            </w:r>
            <w:r w:rsidRPr="00997ED3">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997ED3" w:rsidP="00997ED3">
            <w:pPr>
              <w:pStyle w:val="ListBullet"/>
            </w:pPr>
            <w:r w:rsidRPr="00997ED3">
              <w:t>federal, state or territory environmental protection legislation</w:t>
            </w:r>
          </w:p>
          <w:p w:rsidR="00000000" w:rsidRPr="00997ED3" w:rsidP="00997ED3">
            <w:pPr>
              <w:pStyle w:val="ListBullet"/>
            </w:pPr>
            <w:r w:rsidRPr="00997ED3">
              <w:t>local government Acts and the by-laws derived from them</w:t>
            </w:r>
          </w:p>
          <w:p w:rsidR="00000000" w:rsidRPr="00997ED3" w:rsidP="00997ED3">
            <w:pPr>
              <w:pStyle w:val="ListBullet"/>
            </w:pPr>
            <w:r w:rsidRPr="00997ED3">
              <w:t>state and federal industrial relations legislation</w:t>
            </w:r>
          </w:p>
          <w:p w:rsidR="00000000" w:rsidRPr="00997ED3" w:rsidP="00997ED3">
            <w:pPr>
              <w:pStyle w:val="ListBullet"/>
            </w:pPr>
            <w:r w:rsidRPr="00997ED3">
              <w:t>state codes of practice applicable to the various regulations</w:t>
            </w:r>
          </w:p>
          <w:p w:rsidR="00000000" w:rsidRPr="00997ED3" w:rsidP="00997ED3">
            <w:pPr>
              <w:pStyle w:val="ListBullet"/>
            </w:pPr>
            <w:r w:rsidRPr="00997ED3">
              <w:t>state laws, such as the Workers Compensation and Rehabilitation Act 1981 in Western Australia</w:t>
            </w:r>
          </w:p>
          <w:p w:rsidR="00000000" w:rsidRPr="00997ED3" w:rsidP="00997ED3">
            <w:pPr>
              <w:pStyle w:val="ListBullet"/>
            </w:pPr>
            <w:r w:rsidRPr="00997ED3">
              <w:t>state WHS legislation and regulations.</w:t>
            </w:r>
          </w:p>
          <w:p w:rsidR="00000000" w:rsidP="00997ED3">
            <w:pPr>
              <w:pStyle w:val="BodyText"/>
              <w:rPr>
                <w:lang w:val="en-NZ"/>
              </w:rPr>
            </w:pPr>
          </w:p>
        </w:tc>
      </w:tr>
      <w:tr w:rsidTr="00997ED3">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rPr>
                <w:rStyle w:val="BoldandItalics"/>
              </w:rPr>
              <w:t>Legal obligations with regard to insurance and taxation</w:t>
            </w:r>
            <w:r w:rsidRPr="00997ED3">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997ED3" w:rsidP="00997ED3">
            <w:pPr>
              <w:pStyle w:val="ListBullet"/>
            </w:pPr>
            <w:r w:rsidRPr="00997ED3">
              <w:t>appropriate business and project insurances</w:t>
            </w:r>
          </w:p>
          <w:p w:rsidR="00000000" w:rsidRPr="00997ED3" w:rsidP="00997ED3">
            <w:pPr>
              <w:pStyle w:val="ListBullet"/>
            </w:pPr>
            <w:r w:rsidRPr="00997ED3">
              <w:t>Fringe Ben</w:t>
            </w:r>
            <w:r w:rsidRPr="00997ED3">
              <w:t>efits Tax Act 1986</w:t>
            </w:r>
          </w:p>
          <w:p w:rsidR="00000000" w:rsidRPr="00997ED3" w:rsidP="00997ED3">
            <w:pPr>
              <w:pStyle w:val="ListBullet"/>
            </w:pPr>
            <w:r w:rsidRPr="00997ED3">
              <w:t>Goods and Services Tax Act 1999</w:t>
            </w:r>
          </w:p>
          <w:p w:rsidR="00000000" w:rsidRPr="00997ED3" w:rsidP="00997ED3">
            <w:pPr>
              <w:pStyle w:val="ListBullet"/>
            </w:pPr>
            <w:r w:rsidRPr="00997ED3">
              <w:t>Income Tax Assessment Act 1987</w:t>
            </w:r>
          </w:p>
          <w:p w:rsidR="00000000" w:rsidRPr="00997ED3" w:rsidP="00997ED3">
            <w:pPr>
              <w:pStyle w:val="ListBullet"/>
            </w:pPr>
            <w:r w:rsidRPr="00997ED3">
              <w:t>Insurance Contracts Act 1984</w:t>
            </w:r>
          </w:p>
          <w:p w:rsidR="00000000" w:rsidRPr="00997ED3" w:rsidP="00997ED3">
            <w:pPr>
              <w:pStyle w:val="ListBullet"/>
            </w:pPr>
            <w:r w:rsidRPr="00997ED3">
              <w:t>pay-as-you-go (PAYG) taxes</w:t>
            </w:r>
          </w:p>
          <w:p w:rsidR="00000000" w:rsidRPr="00997ED3" w:rsidP="00997ED3">
            <w:pPr>
              <w:pStyle w:val="ListBullet"/>
            </w:pPr>
            <w:r w:rsidRPr="00997ED3">
              <w:t>payroll tax</w:t>
            </w:r>
          </w:p>
          <w:p w:rsidR="00000000" w:rsidRPr="00997ED3" w:rsidP="00997ED3">
            <w:pPr>
              <w:pStyle w:val="ListBullet"/>
            </w:pPr>
            <w:r w:rsidRPr="00997ED3">
              <w:t>stamp duty</w:t>
            </w:r>
          </w:p>
          <w:p w:rsidR="00000000" w:rsidRPr="00997ED3" w:rsidP="00997ED3">
            <w:pPr>
              <w:pStyle w:val="ListBullet"/>
            </w:pPr>
            <w:r w:rsidRPr="00997ED3">
              <w:t>workers' compensation.</w:t>
            </w:r>
          </w:p>
          <w:p w:rsidR="00000000" w:rsidRPr="00997ED3" w:rsidP="00997ED3">
            <w:pPr>
              <w:pStyle w:val="BodyText"/>
            </w:pPr>
          </w:p>
        </w:tc>
      </w:tr>
    </w:tbl>
    <w:p w:rsidR="00A76F28" w:rsidP="00997ED3">
      <w:pPr>
        <w:pStyle w:val="BodyText"/>
      </w:pPr>
    </w:p>
    <w:p w:rsidR="00A76F28" w:rsidP="00997ED3">
      <w:pPr>
        <w:pStyle w:val="BodyText"/>
      </w:pPr>
    </w:p>
    <w:p w:rsidR="00000000" w:rsidRPr="00997ED3" w:rsidP="00997ED3">
      <w:pPr>
        <w:pStyle w:val="Heading1"/>
      </w:pPr>
      <w:bookmarkStart w:id="12" w:name="O_498246"/>
      <w:bookmarkEnd w:id="12"/>
      <w:r w:rsidRPr="00997ED3">
        <w:t>Unit Sector(s)</w:t>
      </w:r>
    </w:p>
    <w:tbl>
      <w:tblPr>
        <w:tblW w:w="0" w:type="auto"/>
        <w:tblLayout w:type="fixed"/>
        <w:tblCellMar>
          <w:left w:w="62" w:type="dxa"/>
          <w:right w:w="62" w:type="dxa"/>
        </w:tblCellMar>
        <w:tblLook w:val="0000"/>
      </w:tblPr>
      <w:tblGrid>
        <w:gridCol w:w="2546"/>
        <w:gridCol w:w="6524"/>
      </w:tblGrid>
      <w:tr w:rsidTr="00997ED3">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rPr>
                <w:rStyle w:val="SpecialBold"/>
              </w:rPr>
              <w:t>Functional area</w:t>
            </w:r>
          </w:p>
        </w:tc>
        <w:tc>
          <w:tcPr>
            <w:tcW w:w="6524"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p>
        </w:tc>
      </w:tr>
      <w:tr w:rsidTr="00997ED3">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997ED3">
            <w:pPr>
              <w:pStyle w:val="BodyText"/>
              <w:rPr>
                <w:lang w:val="en-NZ"/>
              </w:rPr>
            </w:pPr>
            <w:r w:rsidRPr="00997ED3">
              <w:rPr>
                <w:rStyle w:val="SpecialBold"/>
              </w:rPr>
              <w:t>Unit sector</w:t>
            </w:r>
          </w:p>
        </w:tc>
        <w:tc>
          <w:tcPr>
            <w:tcW w:w="6524" w:type="dxa"/>
            <w:tcBorders>
              <w:top w:val="nil"/>
              <w:left w:val="nil"/>
              <w:bottom w:val="nil"/>
              <w:right w:val="nil"/>
            </w:tcBorders>
            <w:tcMar>
              <w:top w:w="0" w:type="dxa"/>
              <w:left w:w="62" w:type="dxa"/>
              <w:bottom w:w="0" w:type="dxa"/>
              <w:right w:w="62" w:type="dxa"/>
            </w:tcMar>
          </w:tcPr>
          <w:p w:rsidR="00000000" w:rsidRPr="00997ED3" w:rsidP="00997ED3">
            <w:pPr>
              <w:pStyle w:val="BodyText"/>
            </w:pPr>
            <w:r w:rsidRPr="00997ED3">
              <w:t>Construction</w:t>
            </w:r>
          </w:p>
        </w:tc>
      </w:tr>
    </w:tbl>
    <w:p w:rsidR="00000000" w:rsidRPr="00997ED3" w:rsidP="00997ED3">
      <w:pPr>
        <w:pStyle w:val="BodyText"/>
      </w:pPr>
    </w:p>
    <w:p w:rsidR="00000000" w:rsidRPr="00997ED3" w:rsidP="00997ED3">
      <w:pPr>
        <w:pStyle w:val="AllowPageBreak"/>
      </w:pPr>
    </w:p>
    <w:p w:rsidR="00000000" w:rsidRPr="00997ED3" w:rsidP="00997ED3">
      <w:pPr>
        <w:pStyle w:val="Heading1"/>
      </w:pPr>
      <w:bookmarkStart w:id="13" w:name="O_498247"/>
      <w:bookmarkEnd w:id="13"/>
      <w:r w:rsidRPr="00997ED3">
        <w:t>Custom Content Section</w:t>
      </w:r>
    </w:p>
    <w:p w:rsidR="00000000" w:rsidRPr="00997ED3" w:rsidP="00997ED3">
      <w:pPr>
        <w:pStyle w:val="BodyText"/>
      </w:pPr>
      <w:r w:rsidRPr="00997ED3">
        <w:t>Not applicable.</w:t>
      </w:r>
    </w:p>
    <w:p w:rsidR="00000000" w:rsidRPr="00997ED3" w:rsidP="00997ED3"/>
    <w:sectPr w:rsidSect="00997E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D3" w:rsidRPr="00A76F28" w:rsidP="00A76F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F28" w:rsidP="00997E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76F28" w:rsidP="00997ED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76F28" w:rsidP="00997E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D3" w:rsidRPr="00A76F28" w:rsidP="00A76F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F28" w:rsidRPr="002D2AF8" w:rsidP="00997ED3">
    <w:pPr>
      <w:pStyle w:val="Header"/>
      <w:framePr w:wrap="around"/>
    </w:pPr>
    <w:r>
      <w:fldChar w:fldCharType="begin"/>
    </w:r>
    <w:r>
      <w:instrText xml:space="preserve"> TITLE   \* MERGEFORMAT </w:instrText>
    </w:r>
    <w:r>
      <w:fldChar w:fldCharType="separate"/>
    </w:r>
    <w:r>
      <w:t>CPCCBC6018A Manage processes for complying with legal obligations of a building or construction contractor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A76F28" w:rsidP="00997E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64A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525D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8ED0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E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ED3"/>
    <w:pPr>
      <w:spacing w:before="360" w:after="60"/>
      <w:outlineLvl w:val="0"/>
    </w:pPr>
    <w:rPr>
      <w:sz w:val="32"/>
    </w:rPr>
  </w:style>
  <w:style w:type="paragraph" w:styleId="Heading2">
    <w:name w:val="heading 2"/>
    <w:basedOn w:val="HeadingBase"/>
    <w:next w:val="BodyText"/>
    <w:link w:val="Heading2Char"/>
    <w:qFormat/>
    <w:rsid w:val="00997ED3"/>
    <w:pPr>
      <w:keepLines/>
      <w:spacing w:before="240" w:after="120"/>
      <w:outlineLvl w:val="1"/>
    </w:pPr>
    <w:rPr>
      <w:sz w:val="28"/>
      <w:szCs w:val="40"/>
    </w:rPr>
  </w:style>
  <w:style w:type="paragraph" w:styleId="Heading3">
    <w:name w:val="heading 3"/>
    <w:basedOn w:val="HeadingBase"/>
    <w:next w:val="BodyText"/>
    <w:link w:val="Heading3Char"/>
    <w:qFormat/>
    <w:rsid w:val="00997ED3"/>
    <w:pPr>
      <w:spacing w:before="180" w:after="120"/>
      <w:outlineLvl w:val="2"/>
    </w:pPr>
    <w:rPr>
      <w:spacing w:val="-10"/>
      <w:kern w:val="32"/>
    </w:rPr>
  </w:style>
  <w:style w:type="paragraph" w:styleId="Heading4">
    <w:name w:val="heading 4"/>
    <w:basedOn w:val="HeadingBase"/>
    <w:next w:val="BodyText"/>
    <w:link w:val="Heading4Char"/>
    <w:qFormat/>
    <w:rsid w:val="00997ED3"/>
    <w:pPr>
      <w:spacing w:before="160" w:after="120"/>
      <w:outlineLvl w:val="3"/>
    </w:pPr>
    <w:rPr>
      <w:sz w:val="22"/>
    </w:rPr>
  </w:style>
  <w:style w:type="paragraph" w:styleId="Heading5">
    <w:name w:val="heading 5"/>
    <w:basedOn w:val="HeadingBase"/>
    <w:next w:val="Normal"/>
    <w:link w:val="Heading5Char"/>
    <w:qFormat/>
    <w:rsid w:val="00997ED3"/>
    <w:pPr>
      <w:spacing w:before="80"/>
      <w:outlineLvl w:val="4"/>
    </w:pPr>
    <w:rPr>
      <w:color w:val="918585"/>
      <w:sz w:val="20"/>
    </w:rPr>
  </w:style>
  <w:style w:type="paragraph" w:styleId="Heading6">
    <w:name w:val="heading 6"/>
    <w:basedOn w:val="HeadingBase"/>
    <w:next w:val="Normal"/>
    <w:link w:val="Heading6Char"/>
    <w:qFormat/>
    <w:rsid w:val="00997ED3"/>
    <w:pPr>
      <w:spacing w:before="60"/>
      <w:outlineLvl w:val="5"/>
    </w:pPr>
    <w:rPr>
      <w:color w:val="918585"/>
      <w:sz w:val="20"/>
    </w:rPr>
  </w:style>
  <w:style w:type="paragraph" w:styleId="Heading7">
    <w:name w:val="heading 7"/>
    <w:basedOn w:val="Normal"/>
    <w:next w:val="Normal"/>
    <w:link w:val="Heading7Char"/>
    <w:qFormat/>
    <w:rsid w:val="00997ED3"/>
    <w:pPr>
      <w:ind w:left="720"/>
      <w:outlineLvl w:val="6"/>
    </w:pPr>
    <w:rPr>
      <w:i/>
    </w:rPr>
  </w:style>
  <w:style w:type="paragraph" w:styleId="Heading8">
    <w:name w:val="heading 8"/>
    <w:basedOn w:val="Normal"/>
    <w:next w:val="Normal"/>
    <w:link w:val="Heading8Char"/>
    <w:qFormat/>
    <w:rsid w:val="00997ED3"/>
    <w:pPr>
      <w:ind w:left="720"/>
      <w:outlineLvl w:val="7"/>
    </w:pPr>
    <w:rPr>
      <w:i/>
    </w:rPr>
  </w:style>
  <w:style w:type="paragraph" w:styleId="Heading9">
    <w:name w:val="heading 9"/>
    <w:basedOn w:val="Normal"/>
    <w:next w:val="Normal"/>
    <w:link w:val="Heading9Char"/>
    <w:qFormat/>
    <w:rsid w:val="00997ED3"/>
    <w:pPr>
      <w:ind w:left="720"/>
      <w:outlineLvl w:val="8"/>
    </w:pPr>
    <w:rPr>
      <w:i/>
    </w:rPr>
  </w:style>
  <w:style w:type="character" w:default="1" w:styleId="DefaultParagraphFont">
    <w:name w:val="Default Paragraph Font"/>
    <w:uiPriority w:val="1"/>
    <w:unhideWhenUsed/>
    <w:rsid w:val="00997E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ED3"/>
  </w:style>
  <w:style w:type="character" w:customStyle="1" w:styleId="Heading1Char">
    <w:name w:val="Heading 1 Char"/>
    <w:basedOn w:val="DefaultParagraphFont"/>
    <w:link w:val="Heading1"/>
    <w:rsid w:val="00997ED3"/>
    <w:rPr>
      <w:rFonts w:ascii="Times New Roman" w:eastAsia="Times New Roman" w:hAnsi="Times New Roman" w:cs="Times New Roman"/>
      <w:b/>
      <w:sz w:val="32"/>
      <w:szCs w:val="20"/>
      <w:lang w:eastAsia="en-US"/>
    </w:rPr>
  </w:style>
  <w:style w:type="paragraph" w:styleId="BodyText">
    <w:name w:val="Body Text"/>
    <w:basedOn w:val="Normal"/>
    <w:link w:val="BodyTextChar"/>
    <w:rsid w:val="00997E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7ED3"/>
    <w:rPr>
      <w:rFonts w:ascii="Times New Roman" w:eastAsia="Times New Roman" w:hAnsi="Times New Roman" w:cs="Times New Roman"/>
      <w:sz w:val="24"/>
      <w:lang w:eastAsia="en-US"/>
    </w:rPr>
  </w:style>
  <w:style w:type="paragraph" w:styleId="ListBullet">
    <w:name w:val="List Bullet"/>
    <w:basedOn w:val="List"/>
    <w:rsid w:val="00997ED3"/>
    <w:pPr>
      <w:numPr>
        <w:numId w:val="13"/>
      </w:numPr>
      <w:tabs>
        <w:tab w:val="clear" w:pos="340"/>
      </w:tabs>
      <w:spacing w:before="40" w:after="40"/>
    </w:pPr>
  </w:style>
  <w:style w:type="character" w:customStyle="1" w:styleId="SpecialBold">
    <w:name w:val="Special Bold"/>
    <w:basedOn w:val="DefaultParagraphFont"/>
    <w:rsid w:val="00997ED3"/>
    <w:rPr>
      <w:b/>
      <w:spacing w:val="0"/>
    </w:rPr>
  </w:style>
  <w:style w:type="paragraph" w:styleId="ListBullet2">
    <w:name w:val="List Bullet 2"/>
    <w:basedOn w:val="List2"/>
    <w:rsid w:val="00997ED3"/>
    <w:pPr>
      <w:numPr>
        <w:numId w:val="14"/>
      </w:numPr>
      <w:tabs>
        <w:tab w:val="clear" w:pos="680"/>
      </w:tabs>
    </w:pPr>
  </w:style>
  <w:style w:type="paragraph" w:customStyle="1" w:styleId="SuperHeading">
    <w:name w:val="SuperHeading"/>
    <w:basedOn w:val="Normal"/>
    <w:rsid w:val="00997ED3"/>
    <w:pPr>
      <w:spacing w:before="240" w:after="120"/>
      <w:outlineLvl w:val="0"/>
    </w:pPr>
    <w:rPr>
      <w:rFonts w:ascii="Times New Roman" w:hAnsi="Times New Roman"/>
      <w:b/>
      <w:sz w:val="32"/>
    </w:rPr>
  </w:style>
  <w:style w:type="paragraph" w:customStyle="1" w:styleId="AllowPageBreak">
    <w:name w:val="AllowPageBreak"/>
    <w:rsid w:val="00997E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97ED3"/>
    <w:rPr>
      <w:b/>
      <w:i/>
      <w:u w:val="none"/>
    </w:rPr>
  </w:style>
  <w:style w:type="character" w:customStyle="1" w:styleId="Heading2Char">
    <w:name w:val="Heading 2 Char"/>
    <w:basedOn w:val="DefaultParagraphFont"/>
    <w:link w:val="Heading2"/>
    <w:rsid w:val="00997E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E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E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E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E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E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E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ED3"/>
    <w:rPr>
      <w:rFonts w:ascii="Courier New" w:eastAsia="Times New Roman" w:hAnsi="Courier New" w:cs="Times New Roman"/>
      <w:i/>
      <w:szCs w:val="20"/>
      <w:lang w:eastAsia="en-US"/>
    </w:rPr>
  </w:style>
  <w:style w:type="paragraph" w:customStyle="1" w:styleId="HeadingBase">
    <w:name w:val="Heading Base"/>
    <w:rsid w:val="00997E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ED3"/>
    <w:pPr>
      <w:tabs>
        <w:tab w:val="right" w:leader="dot" w:pos="9072"/>
      </w:tabs>
      <w:ind w:left="567"/>
    </w:pPr>
    <w:rPr>
      <w:szCs w:val="22"/>
    </w:rPr>
  </w:style>
  <w:style w:type="paragraph" w:customStyle="1" w:styleId="TOCBase">
    <w:name w:val="TOC Base"/>
    <w:rsid w:val="00997E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ED3"/>
    <w:pPr>
      <w:tabs>
        <w:tab w:val="right" w:leader="dot" w:pos="9072"/>
      </w:tabs>
      <w:spacing w:before="40" w:after="40"/>
      <w:ind w:left="284"/>
    </w:pPr>
    <w:rPr>
      <w:rFonts w:ascii="Times New Roman" w:hAnsi="Times New Roman"/>
    </w:rPr>
  </w:style>
  <w:style w:type="paragraph" w:styleId="TOC1">
    <w:name w:val="toc 1"/>
    <w:basedOn w:val="TOCBase"/>
    <w:next w:val="Normal"/>
    <w:rsid w:val="00997E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7E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ED3"/>
    <w:rPr>
      <w:rFonts w:ascii="Times New Roman" w:eastAsia="Times New Roman" w:hAnsi="Times New Roman" w:cs="Times New Roman"/>
      <w:sz w:val="16"/>
      <w:lang w:eastAsia="en-US"/>
    </w:rPr>
  </w:style>
  <w:style w:type="paragraph" w:styleId="Title">
    <w:name w:val="Title"/>
    <w:basedOn w:val="HeadingBase"/>
    <w:link w:val="TitleChar"/>
    <w:qFormat/>
    <w:rsid w:val="00997ED3"/>
    <w:pPr>
      <w:spacing w:before="5040"/>
      <w:jc w:val="center"/>
    </w:pPr>
    <w:rPr>
      <w:sz w:val="48"/>
      <w:szCs w:val="72"/>
      <w:lang w:val="en-US"/>
    </w:rPr>
  </w:style>
  <w:style w:type="character" w:customStyle="1" w:styleId="TitleChar">
    <w:name w:val="Title Char"/>
    <w:basedOn w:val="DefaultParagraphFont"/>
    <w:link w:val="Title"/>
    <w:rsid w:val="00997E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ED3"/>
    <w:pPr>
      <w:tabs>
        <w:tab w:val="left" w:pos="3600"/>
        <w:tab w:val="left" w:pos="3958"/>
      </w:tabs>
    </w:pPr>
  </w:style>
  <w:style w:type="paragraph" w:styleId="List">
    <w:name w:val="List"/>
    <w:basedOn w:val="BodyText"/>
    <w:next w:val="BodyText"/>
    <w:rsid w:val="00997ED3"/>
    <w:pPr>
      <w:tabs>
        <w:tab w:val="left" w:pos="340"/>
      </w:tabs>
      <w:spacing w:before="60" w:after="60"/>
      <w:ind w:left="340" w:hanging="340"/>
    </w:pPr>
  </w:style>
  <w:style w:type="paragraph" w:customStyle="1" w:styleId="Note">
    <w:name w:val="Note"/>
    <w:basedOn w:val="BodyText"/>
    <w:rsid w:val="00997E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ED3"/>
    <w:pPr>
      <w:framePr w:wrap="auto" w:hAnchor="text" w:y="6049"/>
    </w:pPr>
    <w:rPr>
      <w:color w:val="000000"/>
      <w:sz w:val="40"/>
    </w:rPr>
  </w:style>
  <w:style w:type="paragraph" w:customStyle="1" w:styleId="TOCTitle">
    <w:name w:val="TOCTitle"/>
    <w:basedOn w:val="Heading1"/>
    <w:rsid w:val="00997ED3"/>
    <w:pPr>
      <w:spacing w:after="240"/>
      <w:jc w:val="center"/>
      <w:outlineLvl w:val="9"/>
    </w:pPr>
    <w:rPr>
      <w:caps/>
    </w:rPr>
  </w:style>
  <w:style w:type="paragraph" w:customStyle="1" w:styleId="Version">
    <w:name w:val="Version"/>
    <w:rsid w:val="00997E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7ED3"/>
    <w:pPr>
      <w:keepNext w:val="0"/>
      <w:tabs>
        <w:tab w:val="right" w:pos="4176"/>
      </w:tabs>
      <w:ind w:left="198" w:hanging="198"/>
    </w:pPr>
    <w:rPr>
      <w:rFonts w:ascii="Garamond" w:hAnsi="Garamond"/>
    </w:rPr>
  </w:style>
  <w:style w:type="paragraph" w:styleId="IndexHeading">
    <w:name w:val="index heading"/>
    <w:basedOn w:val="Normal"/>
    <w:next w:val="Index1"/>
    <w:semiHidden/>
    <w:rsid w:val="00997ED3"/>
    <w:pPr>
      <w:spacing w:before="120" w:after="120"/>
    </w:pPr>
    <w:rPr>
      <w:rFonts w:ascii="Arial" w:hAnsi="Arial"/>
      <w:b/>
      <w:color w:val="918585"/>
      <w:sz w:val="24"/>
    </w:rPr>
  </w:style>
  <w:style w:type="paragraph" w:styleId="Header">
    <w:name w:val="header"/>
    <w:basedOn w:val="Normal"/>
    <w:link w:val="HeaderChar"/>
    <w:rsid w:val="00997E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ED3"/>
    <w:rPr>
      <w:rFonts w:ascii="Times New Roman" w:eastAsia="Times New Roman" w:hAnsi="Times New Roman" w:cs="Times New Roman"/>
      <w:sz w:val="16"/>
      <w:szCs w:val="20"/>
      <w:lang w:val="en-GB" w:eastAsia="en-US"/>
    </w:rPr>
  </w:style>
  <w:style w:type="paragraph" w:customStyle="1" w:styleId="Chapter">
    <w:name w:val="Chapter"/>
    <w:basedOn w:val="Normal"/>
    <w:rsid w:val="00997ED3"/>
    <w:pPr>
      <w:spacing w:before="240"/>
    </w:pPr>
    <w:rPr>
      <w:rFonts w:ascii="Times New Roman" w:hAnsi="Times New Roman"/>
      <w:smallCaps/>
      <w:spacing w:val="80"/>
      <w:sz w:val="28"/>
    </w:rPr>
  </w:style>
  <w:style w:type="paragraph" w:customStyle="1" w:styleId="InChapter">
    <w:name w:val="InChapter"/>
    <w:basedOn w:val="Heading3"/>
    <w:rsid w:val="00997ED3"/>
    <w:pPr>
      <w:spacing w:after="240"/>
      <w:outlineLvl w:val="9"/>
    </w:pPr>
    <w:rPr>
      <w:noProof/>
    </w:rPr>
  </w:style>
  <w:style w:type="paragraph" w:styleId="Index2">
    <w:name w:val="index 2"/>
    <w:basedOn w:val="Normal"/>
    <w:next w:val="Normal"/>
    <w:semiHidden/>
    <w:rsid w:val="00997ED3"/>
    <w:pPr>
      <w:tabs>
        <w:tab w:val="right" w:pos="4176"/>
      </w:tabs>
      <w:ind w:left="568" w:hanging="284"/>
    </w:pPr>
    <w:rPr>
      <w:rFonts w:ascii="Garamond" w:hAnsi="Garamond"/>
    </w:rPr>
  </w:style>
  <w:style w:type="paragraph" w:customStyle="1" w:styleId="Byline">
    <w:name w:val="Byline"/>
    <w:rsid w:val="00997E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ED3"/>
    <w:pPr>
      <w:tabs>
        <w:tab w:val="clear" w:pos="3600"/>
        <w:tab w:val="clear" w:pos="3958"/>
      </w:tabs>
      <w:jc w:val="right"/>
    </w:pPr>
  </w:style>
  <w:style w:type="character" w:styleId="Emphasis">
    <w:name w:val="Emphasis"/>
    <w:basedOn w:val="DefaultParagraphFont"/>
    <w:qFormat/>
    <w:rsid w:val="00997ED3"/>
    <w:rPr>
      <w:i/>
    </w:rPr>
  </w:style>
  <w:style w:type="paragraph" w:styleId="Caption">
    <w:name w:val="caption"/>
    <w:basedOn w:val="BodyText"/>
    <w:next w:val="Normal"/>
    <w:qFormat/>
    <w:rsid w:val="00997ED3"/>
    <w:pPr>
      <w:framePr w:w="2268" w:hSpace="181" w:vSpace="181" w:wrap="around" w:vAnchor="text" w:hAnchor="page" w:x="1135" w:y="285" w:anchorLock="1"/>
    </w:pPr>
    <w:rPr>
      <w:i/>
    </w:rPr>
  </w:style>
  <w:style w:type="paragraph" w:customStyle="1" w:styleId="MiniTOCTitle">
    <w:name w:val="MiniTOCTitle"/>
    <w:basedOn w:val="Heading4"/>
    <w:rsid w:val="00997ED3"/>
    <w:pPr>
      <w:spacing w:before="240"/>
      <w:outlineLvl w:val="9"/>
    </w:pPr>
    <w:rPr>
      <w:noProof/>
      <w:sz w:val="24"/>
    </w:rPr>
  </w:style>
  <w:style w:type="paragraph" w:customStyle="1" w:styleId="MiniTOCItem">
    <w:name w:val="MiniTOCItem"/>
    <w:basedOn w:val="ListBullet"/>
    <w:rsid w:val="00997ED3"/>
    <w:pPr>
      <w:numPr>
        <w:numId w:val="0"/>
      </w:numPr>
      <w:tabs>
        <w:tab w:val="right" w:leader="dot" w:pos="6521"/>
      </w:tabs>
      <w:spacing w:before="0" w:after="0"/>
    </w:pPr>
  </w:style>
  <w:style w:type="paragraph" w:customStyle="1" w:styleId="TOFTitle">
    <w:name w:val="TOFTitle"/>
    <w:basedOn w:val="TOCTitle"/>
    <w:rsid w:val="00997ED3"/>
  </w:style>
  <w:style w:type="paragraph" w:styleId="TableofFigures">
    <w:name w:val="table of figures"/>
    <w:basedOn w:val="Normal"/>
    <w:next w:val="Normal"/>
    <w:semiHidden/>
    <w:rsid w:val="00997ED3"/>
    <w:pPr>
      <w:tabs>
        <w:tab w:val="right" w:leader="dot" w:pos="9072"/>
      </w:tabs>
      <w:ind w:left="970" w:hanging="403"/>
    </w:pPr>
    <w:rPr>
      <w:rFonts w:ascii="Times New Roman" w:hAnsi="Times New Roman"/>
      <w:b/>
    </w:rPr>
  </w:style>
  <w:style w:type="paragraph" w:styleId="ListNumber">
    <w:name w:val="List Number"/>
    <w:basedOn w:val="List"/>
    <w:rsid w:val="00997ED3"/>
    <w:pPr>
      <w:numPr>
        <w:numId w:val="11"/>
      </w:numPr>
    </w:pPr>
  </w:style>
  <w:style w:type="character" w:customStyle="1" w:styleId="WingdingSymbols">
    <w:name w:val="Wingding Symbols"/>
    <w:rsid w:val="00997ED3"/>
    <w:rPr>
      <w:rFonts w:ascii="Wingdings" w:hAnsi="Wingdings"/>
    </w:rPr>
  </w:style>
  <w:style w:type="paragraph" w:customStyle="1" w:styleId="TableHeading">
    <w:name w:val="Table Heading"/>
    <w:basedOn w:val="HeadingBase"/>
    <w:rsid w:val="00997ED3"/>
    <w:pPr>
      <w:keepLines/>
      <w:pBdr>
        <w:bottom w:val="single" w:sz="6" w:space="1" w:color="918585"/>
      </w:pBdr>
      <w:spacing w:before="240"/>
    </w:pPr>
  </w:style>
  <w:style w:type="character" w:customStyle="1" w:styleId="HotSpot">
    <w:name w:val="HotSpot"/>
    <w:rsid w:val="00997ED3"/>
    <w:rPr>
      <w:color w:val="0033CC"/>
      <w:u w:val="none"/>
    </w:rPr>
  </w:style>
  <w:style w:type="paragraph" w:customStyle="1" w:styleId="BodyTextRight">
    <w:name w:val="Body Text Right"/>
    <w:basedOn w:val="BodyText"/>
    <w:rsid w:val="00997ED3"/>
    <w:pPr>
      <w:spacing w:before="0" w:after="0"/>
      <w:jc w:val="right"/>
    </w:pPr>
  </w:style>
  <w:style w:type="paragraph" w:styleId="Index3">
    <w:name w:val="index 3"/>
    <w:basedOn w:val="ListNumber2"/>
    <w:next w:val="Normal"/>
    <w:semiHidden/>
    <w:rsid w:val="00997ED3"/>
    <w:pPr>
      <w:numPr>
        <w:numId w:val="0"/>
      </w:numPr>
      <w:tabs>
        <w:tab w:val="right" w:leader="dot" w:pos="4176"/>
      </w:tabs>
    </w:pPr>
  </w:style>
  <w:style w:type="paragraph" w:styleId="ListNumber2">
    <w:name w:val="List Number 2"/>
    <w:basedOn w:val="List2"/>
    <w:rsid w:val="00997ED3"/>
    <w:pPr>
      <w:numPr>
        <w:numId w:val="10"/>
      </w:numPr>
      <w:tabs>
        <w:tab w:val="clear" w:pos="1060"/>
      </w:tabs>
    </w:pPr>
  </w:style>
  <w:style w:type="paragraph" w:customStyle="1" w:styleId="MarginNote">
    <w:name w:val="Margin Note"/>
    <w:basedOn w:val="BodyText"/>
    <w:rsid w:val="00997E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E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E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ED3"/>
    <w:rPr>
      <w:sz w:val="32"/>
    </w:rPr>
  </w:style>
  <w:style w:type="paragraph" w:customStyle="1" w:styleId="HeadingProcedure">
    <w:name w:val="Heading Procedure"/>
    <w:basedOn w:val="HeadingBase"/>
    <w:next w:val="Normal"/>
    <w:rsid w:val="00997ED3"/>
    <w:pPr>
      <w:tabs>
        <w:tab w:val="left" w:pos="0"/>
      </w:tabs>
      <w:spacing w:before="120" w:after="60"/>
    </w:pPr>
    <w:rPr>
      <w:i/>
      <w:color w:val="918585"/>
      <w:sz w:val="22"/>
    </w:rPr>
  </w:style>
  <w:style w:type="paragraph" w:customStyle="1" w:styleId="TableBodyText">
    <w:name w:val="Table Body Text"/>
    <w:basedOn w:val="BodyText"/>
    <w:rsid w:val="00997ED3"/>
    <w:pPr>
      <w:spacing w:before="60" w:after="60"/>
    </w:pPr>
  </w:style>
  <w:style w:type="paragraph" w:styleId="ListContinue">
    <w:name w:val="List Continue"/>
    <w:basedOn w:val="List"/>
    <w:rsid w:val="00997ED3"/>
    <w:pPr>
      <w:ind w:firstLine="0"/>
    </w:pPr>
  </w:style>
  <w:style w:type="paragraph" w:customStyle="1" w:styleId="ListNote">
    <w:name w:val="List Note"/>
    <w:basedOn w:val="List"/>
    <w:rsid w:val="00997ED3"/>
    <w:pPr>
      <w:pBdr>
        <w:top w:val="single" w:sz="6" w:space="2" w:color="918585"/>
        <w:bottom w:val="single" w:sz="6" w:space="2" w:color="918585"/>
      </w:pBdr>
      <w:tabs>
        <w:tab w:val="left" w:pos="1021"/>
      </w:tabs>
      <w:ind w:firstLine="0"/>
    </w:pPr>
  </w:style>
  <w:style w:type="paragraph" w:customStyle="1" w:styleId="Warning">
    <w:name w:val="Warning"/>
    <w:basedOn w:val="BodyText"/>
    <w:rsid w:val="00997ED3"/>
    <w:pPr>
      <w:shd w:val="clear" w:color="auto" w:fill="D9D9D9"/>
      <w:tabs>
        <w:tab w:val="left" w:pos="992"/>
      </w:tabs>
      <w:ind w:left="119" w:right="119"/>
    </w:pPr>
    <w:rPr>
      <w:sz w:val="20"/>
    </w:rPr>
  </w:style>
  <w:style w:type="paragraph" w:customStyle="1" w:styleId="MarginIcons">
    <w:name w:val="Margin Icons"/>
    <w:basedOn w:val="BodyText"/>
    <w:rsid w:val="00997E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ED3"/>
    <w:rPr>
      <w:rFonts w:ascii="Courier New" w:hAnsi="Courier New"/>
    </w:rPr>
  </w:style>
  <w:style w:type="paragraph" w:customStyle="1" w:styleId="NoteBullet">
    <w:name w:val="Note Bullet"/>
    <w:basedOn w:val="Note"/>
    <w:rsid w:val="00997ED3"/>
    <w:pPr>
      <w:tabs>
        <w:tab w:val="clear" w:pos="680"/>
      </w:tabs>
      <w:spacing w:before="60" w:after="60"/>
    </w:pPr>
  </w:style>
  <w:style w:type="paragraph" w:customStyle="1" w:styleId="SubHeading2">
    <w:name w:val="SubHeading2"/>
    <w:basedOn w:val="HeadingBase"/>
    <w:rsid w:val="00997ED3"/>
    <w:pPr>
      <w:spacing w:before="240" w:after="60"/>
    </w:pPr>
    <w:rPr>
      <w:sz w:val="20"/>
    </w:rPr>
  </w:style>
  <w:style w:type="paragraph" w:customStyle="1" w:styleId="SubHeading1">
    <w:name w:val="SubHeading1"/>
    <w:basedOn w:val="HeadingBase"/>
    <w:rsid w:val="00997ED3"/>
    <w:pPr>
      <w:spacing w:before="240" w:after="60"/>
    </w:pPr>
    <w:rPr>
      <w:color w:val="918585"/>
      <w:sz w:val="22"/>
    </w:rPr>
  </w:style>
  <w:style w:type="paragraph" w:customStyle="1" w:styleId="SideHeading">
    <w:name w:val="Side Heading"/>
    <w:basedOn w:val="HeadingBase"/>
    <w:rsid w:val="00997E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ED3"/>
    <w:pPr>
      <w:numPr>
        <w:numId w:val="12"/>
      </w:numPr>
    </w:pPr>
  </w:style>
  <w:style w:type="paragraph" w:styleId="PlainText">
    <w:name w:val="Plain Text"/>
    <w:basedOn w:val="Normal"/>
    <w:link w:val="PlainTextChar"/>
    <w:rsid w:val="00997ED3"/>
    <w:rPr>
      <w:sz w:val="20"/>
    </w:rPr>
  </w:style>
  <w:style w:type="character" w:customStyle="1" w:styleId="PlainTextChar">
    <w:name w:val="Plain Text Char"/>
    <w:basedOn w:val="DefaultParagraphFont"/>
    <w:link w:val="PlainText"/>
    <w:rsid w:val="00997ED3"/>
    <w:rPr>
      <w:rFonts w:ascii="Courier New" w:eastAsia="Times New Roman" w:hAnsi="Courier New" w:cs="Times New Roman"/>
      <w:sz w:val="20"/>
      <w:szCs w:val="20"/>
      <w:lang w:eastAsia="en-US"/>
    </w:rPr>
  </w:style>
  <w:style w:type="character" w:customStyle="1" w:styleId="MenuOption">
    <w:name w:val="Menu Option"/>
    <w:basedOn w:val="DefaultParagraphFont"/>
    <w:rsid w:val="00997ED3"/>
    <w:rPr>
      <w:b/>
      <w:smallCaps/>
    </w:rPr>
  </w:style>
  <w:style w:type="paragraph" w:customStyle="1" w:styleId="TableListNumber">
    <w:name w:val="Table List Number"/>
    <w:basedOn w:val="ListNumber"/>
    <w:rsid w:val="00997ED3"/>
    <w:pPr>
      <w:numPr>
        <w:numId w:val="0"/>
      </w:numPr>
    </w:pPr>
  </w:style>
  <w:style w:type="paragraph" w:styleId="TOC4">
    <w:name w:val="toc 4"/>
    <w:basedOn w:val="TOCBase"/>
    <w:next w:val="Normal"/>
    <w:semiHidden/>
    <w:rsid w:val="00997ED3"/>
    <w:pPr>
      <w:tabs>
        <w:tab w:val="right" w:leader="dot" w:pos="9071"/>
      </w:tabs>
      <w:ind w:left="1701"/>
    </w:pPr>
  </w:style>
  <w:style w:type="paragraph" w:customStyle="1" w:styleId="ListAlpha">
    <w:name w:val="List Alpha"/>
    <w:basedOn w:val="List"/>
    <w:rsid w:val="00997ED3"/>
    <w:pPr>
      <w:numPr>
        <w:numId w:val="9"/>
      </w:numPr>
    </w:pPr>
  </w:style>
  <w:style w:type="paragraph" w:customStyle="1" w:styleId="ListAlpha2">
    <w:name w:val="List Alpha 2"/>
    <w:basedOn w:val="List2"/>
    <w:rsid w:val="00997ED3"/>
    <w:pPr>
      <w:numPr>
        <w:numId w:val="8"/>
      </w:numPr>
    </w:pPr>
  </w:style>
  <w:style w:type="paragraph" w:styleId="List2">
    <w:name w:val="List 2"/>
    <w:basedOn w:val="BodyText"/>
    <w:rsid w:val="00997ED3"/>
    <w:pPr>
      <w:tabs>
        <w:tab w:val="left" w:pos="680"/>
      </w:tabs>
      <w:spacing w:before="60" w:after="60"/>
      <w:ind w:left="680" w:hanging="340"/>
    </w:pPr>
  </w:style>
  <w:style w:type="paragraph" w:styleId="List3">
    <w:name w:val="List 3"/>
    <w:basedOn w:val="BodyText"/>
    <w:rsid w:val="00997ED3"/>
    <w:pPr>
      <w:tabs>
        <w:tab w:val="left" w:pos="1021"/>
      </w:tabs>
      <w:spacing w:before="60" w:after="60"/>
      <w:ind w:left="1020" w:hanging="340"/>
    </w:pPr>
  </w:style>
  <w:style w:type="paragraph" w:styleId="List4">
    <w:name w:val="List 4"/>
    <w:basedOn w:val="BodyText"/>
    <w:rsid w:val="00997ED3"/>
    <w:pPr>
      <w:tabs>
        <w:tab w:val="left" w:pos="1361"/>
      </w:tabs>
      <w:spacing w:before="60" w:after="60"/>
      <w:ind w:left="1361" w:hanging="340"/>
    </w:pPr>
  </w:style>
  <w:style w:type="paragraph" w:styleId="List5">
    <w:name w:val="List 5"/>
    <w:basedOn w:val="BodyText"/>
    <w:rsid w:val="00997ED3"/>
    <w:pPr>
      <w:tabs>
        <w:tab w:val="left" w:pos="1701"/>
      </w:tabs>
      <w:spacing w:before="60" w:after="60"/>
      <w:ind w:left="1701" w:hanging="340"/>
    </w:pPr>
  </w:style>
  <w:style w:type="paragraph" w:styleId="ListBullet3">
    <w:name w:val="List Bullet 3"/>
    <w:basedOn w:val="List3"/>
    <w:rsid w:val="00997ED3"/>
    <w:pPr>
      <w:numPr>
        <w:numId w:val="15"/>
      </w:numPr>
      <w:tabs>
        <w:tab w:val="clear" w:pos="1021"/>
      </w:tabs>
      <w:ind w:left="1037" w:hanging="357"/>
    </w:pPr>
  </w:style>
  <w:style w:type="paragraph" w:styleId="ListBullet4">
    <w:name w:val="List Bullet 4"/>
    <w:basedOn w:val="List4"/>
    <w:rsid w:val="00997ED3"/>
    <w:pPr>
      <w:numPr>
        <w:numId w:val="3"/>
      </w:numPr>
    </w:pPr>
  </w:style>
  <w:style w:type="paragraph" w:styleId="ListBullet5">
    <w:name w:val="List Bullet 5"/>
    <w:basedOn w:val="List5"/>
    <w:rsid w:val="00997ED3"/>
    <w:pPr>
      <w:numPr>
        <w:numId w:val="4"/>
      </w:numPr>
    </w:pPr>
  </w:style>
  <w:style w:type="paragraph" w:styleId="ListContinue2">
    <w:name w:val="List Continue 2"/>
    <w:basedOn w:val="List2"/>
    <w:rsid w:val="00997ED3"/>
    <w:pPr>
      <w:ind w:firstLine="0"/>
    </w:pPr>
  </w:style>
  <w:style w:type="paragraph" w:styleId="ListContinue3">
    <w:name w:val="List Continue 3"/>
    <w:basedOn w:val="List3"/>
    <w:rsid w:val="00997ED3"/>
    <w:pPr>
      <w:ind w:left="1021" w:firstLine="0"/>
    </w:pPr>
  </w:style>
  <w:style w:type="paragraph" w:styleId="ListContinue4">
    <w:name w:val="List Continue 4"/>
    <w:basedOn w:val="List4"/>
    <w:rsid w:val="00997ED3"/>
    <w:pPr>
      <w:ind w:firstLine="0"/>
    </w:pPr>
  </w:style>
  <w:style w:type="paragraph" w:styleId="ListContinue5">
    <w:name w:val="List Continue 5"/>
    <w:basedOn w:val="List5"/>
    <w:rsid w:val="00997ED3"/>
    <w:pPr>
      <w:ind w:firstLine="0"/>
    </w:pPr>
  </w:style>
  <w:style w:type="paragraph" w:styleId="ListNumber3">
    <w:name w:val="List Number 3"/>
    <w:basedOn w:val="List3"/>
    <w:rsid w:val="00997ED3"/>
    <w:pPr>
      <w:numPr>
        <w:numId w:val="5"/>
      </w:numPr>
    </w:pPr>
  </w:style>
  <w:style w:type="paragraph" w:styleId="ListNumber4">
    <w:name w:val="List Number 4"/>
    <w:basedOn w:val="List4"/>
    <w:rsid w:val="00997ED3"/>
    <w:pPr>
      <w:numPr>
        <w:numId w:val="6"/>
      </w:numPr>
    </w:pPr>
  </w:style>
  <w:style w:type="paragraph" w:styleId="ListNumber5">
    <w:name w:val="List Number 5"/>
    <w:basedOn w:val="List5"/>
    <w:rsid w:val="00997ED3"/>
    <w:pPr>
      <w:numPr>
        <w:numId w:val="7"/>
      </w:numPr>
    </w:pPr>
  </w:style>
  <w:style w:type="paragraph" w:styleId="BlockText">
    <w:name w:val="Block Text"/>
    <w:basedOn w:val="Normal"/>
    <w:rsid w:val="00997ED3"/>
    <w:pPr>
      <w:spacing w:after="120"/>
      <w:ind w:left="1440" w:right="1440"/>
    </w:pPr>
  </w:style>
  <w:style w:type="character" w:customStyle="1" w:styleId="Subscript">
    <w:name w:val="Subscript"/>
    <w:basedOn w:val="DefaultParagraphFont"/>
    <w:rsid w:val="00997ED3"/>
    <w:rPr>
      <w:sz w:val="16"/>
      <w:vertAlign w:val="subscript"/>
    </w:rPr>
  </w:style>
  <w:style w:type="character" w:customStyle="1" w:styleId="Superscript">
    <w:name w:val="Superscript"/>
    <w:basedOn w:val="DefaultParagraphFont"/>
    <w:rsid w:val="00997ED3"/>
    <w:rPr>
      <w:sz w:val="16"/>
      <w:vertAlign w:val="superscript"/>
    </w:rPr>
  </w:style>
  <w:style w:type="character" w:customStyle="1" w:styleId="Symbols">
    <w:name w:val="Symbols"/>
    <w:basedOn w:val="DefaultParagraphFont"/>
    <w:rsid w:val="00997ED3"/>
    <w:rPr>
      <w:rFonts w:ascii="Symbol" w:hAnsi="Symbol"/>
    </w:rPr>
  </w:style>
  <w:style w:type="character" w:customStyle="1" w:styleId="MenuOptions">
    <w:name w:val="Menu Options"/>
    <w:basedOn w:val="DefaultParagraphFont"/>
    <w:rsid w:val="00997ED3"/>
    <w:rPr>
      <w:rFonts w:ascii="Arial Narrow" w:hAnsi="Arial Narrow"/>
      <w:smallCaps/>
    </w:rPr>
  </w:style>
  <w:style w:type="character" w:customStyle="1" w:styleId="Buttons">
    <w:name w:val="Buttons"/>
    <w:basedOn w:val="DefaultParagraphFont"/>
    <w:rsid w:val="00997ED3"/>
    <w:rPr>
      <w:b/>
    </w:rPr>
  </w:style>
  <w:style w:type="character" w:customStyle="1" w:styleId="Underlined">
    <w:name w:val="Underlined"/>
    <w:basedOn w:val="DefaultParagraphFont"/>
    <w:rsid w:val="00997ED3"/>
    <w:rPr>
      <w:u w:val="single"/>
    </w:rPr>
  </w:style>
  <w:style w:type="paragraph" w:customStyle="1" w:styleId="TableBodyTextRight">
    <w:name w:val="Table Body Text Right"/>
    <w:basedOn w:val="TableBodyText"/>
    <w:rsid w:val="00997ED3"/>
    <w:pPr>
      <w:widowControl w:val="0"/>
      <w:autoSpaceDE w:val="0"/>
      <w:autoSpaceDN w:val="0"/>
      <w:adjustRightInd w:val="0"/>
      <w:jc w:val="right"/>
    </w:pPr>
    <w:rPr>
      <w:rFonts w:cs="Arial"/>
      <w:szCs w:val="18"/>
    </w:rPr>
  </w:style>
  <w:style w:type="paragraph" w:customStyle="1" w:styleId="CopyrightText">
    <w:name w:val="Copyright Text"/>
    <w:basedOn w:val="BodyText"/>
    <w:rsid w:val="00997ED3"/>
    <w:rPr>
      <w:sz w:val="18"/>
    </w:rPr>
  </w:style>
  <w:style w:type="paragraph" w:customStyle="1" w:styleId="BodySmallRight">
    <w:name w:val="Body Small Right"/>
    <w:basedOn w:val="BodyTextRight"/>
    <w:rsid w:val="00997ED3"/>
    <w:rPr>
      <w:sz w:val="18"/>
      <w:szCs w:val="18"/>
    </w:rPr>
  </w:style>
  <w:style w:type="paragraph" w:customStyle="1" w:styleId="MarginEdition">
    <w:name w:val="Margin Edition"/>
    <w:basedOn w:val="MarginNote"/>
    <w:rsid w:val="00997ED3"/>
    <w:pPr>
      <w:spacing w:before="0" w:after="0"/>
    </w:pPr>
    <w:rPr>
      <w:rFonts w:ascii="Times New Roman" w:hAnsi="Times New Roman"/>
      <w:color w:val="999999"/>
    </w:rPr>
  </w:style>
  <w:style w:type="paragraph" w:customStyle="1" w:styleId="Spacer">
    <w:name w:val="Spacer"/>
    <w:basedOn w:val="Normal"/>
    <w:rsid w:val="00997ED3"/>
    <w:rPr>
      <w:sz w:val="2"/>
      <w:szCs w:val="2"/>
    </w:rPr>
  </w:style>
  <w:style w:type="character" w:customStyle="1" w:styleId="Small">
    <w:name w:val="Small"/>
    <w:basedOn w:val="DefaultParagraphFont"/>
    <w:rsid w:val="00997ED3"/>
    <w:rPr>
      <w:sz w:val="16"/>
    </w:rPr>
  </w:style>
  <w:style w:type="paragraph" w:customStyle="1" w:styleId="WideTable">
    <w:name w:val="Wide Table"/>
    <w:basedOn w:val="Normal"/>
    <w:rsid w:val="00997ED3"/>
    <w:pPr>
      <w:ind w:left="-1418"/>
    </w:pPr>
    <w:rPr>
      <w:sz w:val="2"/>
      <w:szCs w:val="2"/>
    </w:rPr>
  </w:style>
  <w:style w:type="character" w:styleId="PageNumber">
    <w:name w:val="page number"/>
    <w:basedOn w:val="DefaultParagraphFont"/>
    <w:rsid w:val="00997ED3"/>
  </w:style>
  <w:style w:type="paragraph" w:styleId="Quote">
    <w:name w:val="Quote"/>
    <w:basedOn w:val="Heading1"/>
    <w:link w:val="QuoteChar"/>
    <w:qFormat/>
    <w:rsid w:val="00997ED3"/>
    <w:rPr>
      <w:b w:val="0"/>
      <w:sz w:val="72"/>
      <w:szCs w:val="72"/>
      <w:lang w:val="en-NZ"/>
    </w:rPr>
  </w:style>
  <w:style w:type="character" w:customStyle="1" w:styleId="QuoteChar">
    <w:name w:val="Quote Char"/>
    <w:basedOn w:val="DefaultParagraphFont"/>
    <w:link w:val="Quote"/>
    <w:rsid w:val="00997E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ED3"/>
    <w:pPr>
      <w:pageBreakBefore/>
    </w:pPr>
  </w:style>
  <w:style w:type="paragraph" w:customStyle="1" w:styleId="Border">
    <w:name w:val="Border"/>
    <w:basedOn w:val="Normal"/>
    <w:qFormat/>
    <w:rsid w:val="00997E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ED3"/>
    <w:rPr>
      <w:b/>
      <w:bCs/>
      <w:i/>
      <w:iCs/>
      <w:color w:val="auto"/>
    </w:rPr>
  </w:style>
  <w:style w:type="paragraph" w:styleId="IntenseQuote">
    <w:name w:val="Intense Quote"/>
    <w:basedOn w:val="Normal"/>
    <w:next w:val="Normal"/>
    <w:link w:val="IntenseQuoteChar"/>
    <w:uiPriority w:val="30"/>
    <w:qFormat/>
    <w:rsid w:val="00997E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E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ED3"/>
    <w:rPr>
      <w:smallCaps/>
      <w:color w:val="auto"/>
      <w:u w:val="single"/>
    </w:rPr>
  </w:style>
  <w:style w:type="character" w:styleId="IntenseReference">
    <w:name w:val="Intense Reference"/>
    <w:basedOn w:val="DefaultParagraphFont"/>
    <w:uiPriority w:val="32"/>
    <w:qFormat/>
    <w:rsid w:val="00997ED3"/>
    <w:rPr>
      <w:b/>
      <w:bCs/>
      <w:smallCaps/>
      <w:color w:val="auto"/>
      <w:spacing w:val="5"/>
      <w:u w:val="single"/>
    </w:rPr>
  </w:style>
  <w:style w:type="paragraph" w:customStyle="1" w:styleId="2ColumnHeading">
    <w:name w:val="2Column Heading"/>
    <w:basedOn w:val="BodyText"/>
    <w:qFormat/>
    <w:rsid w:val="00997ED3"/>
    <w:pPr>
      <w:spacing w:after="60"/>
      <w:ind w:left="-2268"/>
    </w:pPr>
    <w:rPr>
      <w:b/>
    </w:rPr>
  </w:style>
  <w:style w:type="paragraph" w:customStyle="1" w:styleId="Heading1TOC">
    <w:name w:val="Heading1 TOC"/>
    <w:basedOn w:val="Normal"/>
    <w:qFormat/>
    <w:rsid w:val="00997ED3"/>
    <w:pPr>
      <w:spacing w:before="240" w:after="120"/>
    </w:pPr>
    <w:rPr>
      <w:rFonts w:ascii="Times New Roman" w:hAnsi="Times New Roman"/>
      <w:b/>
      <w:sz w:val="32"/>
    </w:rPr>
  </w:style>
  <w:style w:type="paragraph" w:customStyle="1" w:styleId="Heading2TOC">
    <w:name w:val="Heading2 TOC"/>
    <w:basedOn w:val="Normal"/>
    <w:qFormat/>
    <w:rsid w:val="00997ED3"/>
    <w:pPr>
      <w:spacing w:before="240" w:after="60"/>
    </w:pPr>
    <w:rPr>
      <w:rFonts w:ascii="Times New Roman" w:hAnsi="Times New Roman"/>
      <w:b/>
      <w:sz w:val="28"/>
    </w:rPr>
  </w:style>
  <w:style w:type="character" w:customStyle="1" w:styleId="Underline">
    <w:name w:val="Underline"/>
    <w:basedOn w:val="DefaultParagraphFont"/>
    <w:qFormat/>
    <w:rsid w:val="00997ED3"/>
    <w:rPr>
      <w:u w:val="single"/>
    </w:rPr>
  </w:style>
  <w:style w:type="paragraph" w:styleId="BalloonText">
    <w:name w:val="Balloon Text"/>
    <w:basedOn w:val="Normal"/>
    <w:link w:val="BalloonTextChar"/>
    <w:rsid w:val="00997ED3"/>
    <w:rPr>
      <w:rFonts w:ascii="Tahoma" w:hAnsi="Tahoma" w:cs="Tahoma"/>
      <w:sz w:val="16"/>
      <w:szCs w:val="16"/>
    </w:rPr>
  </w:style>
  <w:style w:type="character" w:customStyle="1" w:styleId="BalloonTextChar">
    <w:name w:val="Balloon Text Char"/>
    <w:basedOn w:val="DefaultParagraphFont"/>
    <w:link w:val="BalloonText"/>
    <w:rsid w:val="00997E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E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7E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ED3"/>
    <w:rPr>
      <w:b/>
      <w:color w:val="660033"/>
      <w:spacing w:val="0"/>
    </w:rPr>
  </w:style>
  <w:style w:type="paragraph" w:customStyle="1" w:styleId="Nameditemlist">
    <w:name w:val="Named item list"/>
    <w:basedOn w:val="BodyText"/>
    <w:qFormat/>
    <w:rsid w:val="00997E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1695</Words>
  <Characters>10804</Characters>
  <Application>Microsoft Office Word</Application>
  <DocSecurity>0</DocSecurity>
  <Lines>384</Lines>
  <Paragraphs>160</Paragraphs>
  <ScaleCrop>false</ScaleCrop>
  <Company>Author-it Software Corporation Ltd.</Company>
  <LinksUpToDate>false</LinksUpToDate>
  <CharactersWithSpaces>12409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CPCCBC6018A Manage processes for complying with legal obligations of a building or construction contractor</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2013-02-06T06:43:00Z</dcterms:created>
  <dcterms:modified xsi:type="dcterms:W3CDTF">2013-02-06T06:43:00Z</dcterms:modified>
</cp:coreProperties>
</file>