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399" w:rsidP="00D64399">
      <w:pPr>
        <w:pStyle w:val="Title"/>
      </w:pPr>
      <w:r>
        <w:fldChar w:fldCharType="begin"/>
      </w:r>
      <w:r>
        <w:instrText xml:space="preserve"> TITLE   \* MERGEFORMAT </w:instrText>
      </w:r>
      <w:r>
        <w:fldChar w:fldCharType="separate"/>
      </w:r>
      <w:r>
        <w:t>CPCCBC6015A Apply building surveying procedures</w:t>
      </w:r>
      <w:r>
        <w:fldChar w:fldCharType="end"/>
      </w:r>
    </w:p>
    <w:p w:rsidR="00D64399" w:rsidP="00D64399">
      <w:pPr>
        <w:pStyle w:val="Version"/>
        <w:sectPr w:rsidSect="001E4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E85" w:rsidP="001E4E85">
      <w:pPr>
        <w:pStyle w:val="SuperHeading"/>
      </w:pPr>
      <w:r w:rsidRPr="001E4E85">
        <w:t>CPCCBC6015A Apply building surveying procedures</w:t>
      </w:r>
    </w:p>
    <w:p w:rsidR="00000000" w:rsidRPr="001E4E85" w:rsidP="001E4E85">
      <w:pPr>
        <w:pStyle w:val="Heading1"/>
      </w:pPr>
      <w:bookmarkStart w:id="1" w:name="O_269475"/>
      <w:bookmarkEnd w:id="1"/>
      <w:r w:rsidRPr="001E4E85">
        <w:t>Modification History</w:t>
      </w:r>
    </w:p>
    <w:p w:rsidR="00000000" w:rsidRPr="001E4E85" w:rsidP="001E4E85">
      <w:pPr>
        <w:pStyle w:val="BodyText"/>
      </w:pPr>
      <w:r w:rsidRPr="001E4E85">
        <w:t>Not Applicable</w:t>
      </w:r>
    </w:p>
    <w:p w:rsidR="00000000" w:rsidRPr="001E4E85" w:rsidP="001E4E85">
      <w:pPr>
        <w:pStyle w:val="AllowPageBreak"/>
      </w:pPr>
    </w:p>
    <w:p w:rsidR="00000000" w:rsidRPr="001E4E85" w:rsidP="001E4E85">
      <w:pPr>
        <w:pStyle w:val="Heading1"/>
      </w:pPr>
      <w:bookmarkStart w:id="2" w:name="O_197185"/>
      <w:bookmarkEnd w:id="2"/>
      <w:r w:rsidRPr="001E4E85">
        <w:t>Unit Descriptor</w:t>
      </w:r>
    </w:p>
    <w:tbl>
      <w:tblPr>
        <w:tblW w:w="0" w:type="auto"/>
        <w:tblLayout w:type="fixed"/>
        <w:tblCellMar>
          <w:left w:w="62" w:type="dxa"/>
          <w:right w:w="62" w:type="dxa"/>
        </w:tblCellMar>
        <w:tblLook w:val="0000"/>
      </w:tblPr>
      <w:tblGrid>
        <w:gridCol w:w="2637"/>
        <w:gridCol w:w="5885"/>
      </w:tblGrid>
      <w:tr w:rsidTr="00D64399">
        <w:tblPrEx>
          <w:tblW w:w="0" w:type="auto"/>
          <w:tblLayout w:type="fixed"/>
          <w:tblCellMar>
            <w:left w:w="62" w:type="dxa"/>
            <w:right w:w="62" w:type="dxa"/>
          </w:tblCellMar>
          <w:tblLook w:val="0000"/>
        </w:tblPrEx>
        <w:trPr>
          <w:tblHeader/>
        </w:trPr>
        <w:tc>
          <w:tcPr>
            <w:tcW w:w="2637"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This unit of competency specifies the outcomes required to conduct assessments of medium rise buildings fo</w:t>
            </w:r>
            <w:r w:rsidRPr="001E4E85">
              <w:t>r compliance with relevant building and land use standards.</w:t>
            </w:r>
          </w:p>
          <w:p w:rsidR="00000000" w:rsidRPr="001E4E85" w:rsidP="001E4E85">
            <w:pPr>
              <w:pStyle w:val="BodyText"/>
            </w:pPr>
            <w:r w:rsidRPr="001E4E85">
              <w:t>It requires a detailed understanding of building codes and standards, design principles and building survey practices.</w:t>
            </w:r>
          </w:p>
        </w:tc>
      </w:tr>
    </w:tbl>
    <w:p w:rsidR="00D64399" w:rsidP="001E4E85">
      <w:pPr>
        <w:pStyle w:val="BodyText"/>
      </w:pPr>
    </w:p>
    <w:p w:rsidR="00D64399" w:rsidP="001E4E85">
      <w:pPr>
        <w:pStyle w:val="BodyText"/>
      </w:pPr>
    </w:p>
    <w:p w:rsidR="00000000" w:rsidRPr="001E4E85" w:rsidP="001E4E85">
      <w:pPr>
        <w:pStyle w:val="Heading1"/>
      </w:pPr>
      <w:bookmarkStart w:id="3" w:name="O_197189"/>
      <w:bookmarkEnd w:id="3"/>
      <w:r w:rsidRPr="001E4E85">
        <w:t>Application of the Unit</w:t>
      </w:r>
    </w:p>
    <w:tbl>
      <w:tblPr>
        <w:tblW w:w="0" w:type="auto"/>
        <w:tblLayout w:type="fixed"/>
        <w:tblCellMar>
          <w:left w:w="62" w:type="dxa"/>
          <w:right w:w="62" w:type="dxa"/>
        </w:tblCellMar>
        <w:tblLook w:val="0000"/>
      </w:tblPr>
      <w:tblGrid>
        <w:gridCol w:w="2727"/>
        <w:gridCol w:w="5795"/>
      </w:tblGrid>
      <w:tr w:rsidTr="00D64399">
        <w:tblPrEx>
          <w:tblW w:w="0" w:type="auto"/>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Application of the unit</w:t>
            </w:r>
          </w:p>
        </w:tc>
        <w:tc>
          <w:tcPr>
            <w:tcW w:w="5795"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This unit of competency supports builders, project managers and related construction industry professionals responsible for ensuring that plans and building specifications comply with relevant legislation and codes for residential and commercial projects.</w:t>
            </w:r>
          </w:p>
          <w:p w:rsidR="00000000" w:rsidRPr="001E4E85" w:rsidP="001E4E85">
            <w:pPr>
              <w:pStyle w:val="BodyText"/>
            </w:pPr>
            <w:r w:rsidRPr="001E4E85">
              <w:t xml:space="preserve">The unit relates specifically to the assessment of medium rise buildings, being up to 25 metres in height, with a total floor area less than 2,000 square metres. </w:t>
            </w:r>
          </w:p>
        </w:tc>
      </w:tr>
    </w:tbl>
    <w:p w:rsidR="00D64399" w:rsidP="001E4E85">
      <w:pPr>
        <w:pStyle w:val="BodyText"/>
      </w:pPr>
    </w:p>
    <w:p w:rsidR="00D64399" w:rsidP="001E4E85">
      <w:pPr>
        <w:pStyle w:val="BodyText"/>
      </w:pPr>
    </w:p>
    <w:p w:rsidR="00000000" w:rsidRPr="001E4E85" w:rsidP="001E4E85">
      <w:pPr>
        <w:pStyle w:val="Heading1"/>
      </w:pPr>
      <w:bookmarkStart w:id="4" w:name="O_277735"/>
      <w:bookmarkEnd w:id="4"/>
      <w:r w:rsidRPr="001E4E85">
        <w:t>Licensing/Regulatory Information</w:t>
      </w:r>
    </w:p>
    <w:p w:rsidR="00000000" w:rsidRPr="001E4E85" w:rsidP="001E4E85">
      <w:pPr>
        <w:pStyle w:val="BodyText"/>
      </w:pPr>
      <w:r w:rsidRPr="001E4E85">
        <w:t>Not Applicable</w:t>
      </w:r>
    </w:p>
    <w:p w:rsidR="00000000" w:rsidRPr="001E4E85" w:rsidP="001E4E85">
      <w:pPr>
        <w:pStyle w:val="AllowPageBreak"/>
      </w:pPr>
    </w:p>
    <w:p w:rsidR="00000000" w:rsidRPr="001E4E85" w:rsidP="001E4E85">
      <w:pPr>
        <w:pStyle w:val="Heading1"/>
      </w:pPr>
      <w:bookmarkStart w:id="5" w:name="O_197187"/>
      <w:bookmarkEnd w:id="5"/>
      <w:r w:rsidRPr="001E4E85">
        <w:t>Pre-Requisites</w:t>
      </w:r>
    </w:p>
    <w:tbl>
      <w:tblPr>
        <w:tblW w:w="0" w:type="auto"/>
        <w:tblLayout w:type="fixed"/>
        <w:tblCellMar>
          <w:left w:w="62" w:type="dxa"/>
          <w:right w:w="62" w:type="dxa"/>
        </w:tblCellMar>
        <w:tblLook w:val="0000"/>
      </w:tblPr>
      <w:tblGrid>
        <w:gridCol w:w="2739"/>
        <w:gridCol w:w="5783"/>
      </w:tblGrid>
      <w:tr w:rsidTr="00D64399">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Nil</w:t>
            </w:r>
          </w:p>
        </w:tc>
      </w:tr>
    </w:tbl>
    <w:p w:rsidR="00D64399" w:rsidP="001E4E85">
      <w:pPr>
        <w:pStyle w:val="BodyText"/>
      </w:pPr>
    </w:p>
    <w:p w:rsidR="00D64399" w:rsidP="001E4E85">
      <w:pPr>
        <w:pStyle w:val="BodyText"/>
      </w:pPr>
    </w:p>
    <w:p w:rsidR="00000000" w:rsidRPr="001E4E85" w:rsidP="001E4E85">
      <w:pPr>
        <w:pStyle w:val="Heading1"/>
      </w:pPr>
      <w:bookmarkStart w:id="6" w:name="O_197186"/>
      <w:bookmarkEnd w:id="6"/>
      <w:r w:rsidRPr="001E4E85">
        <w:t>Employability Skills Information</w:t>
      </w:r>
    </w:p>
    <w:tbl>
      <w:tblPr>
        <w:tblW w:w="0" w:type="auto"/>
        <w:tblLayout w:type="fixed"/>
        <w:tblCellMar>
          <w:left w:w="62" w:type="dxa"/>
          <w:right w:w="62" w:type="dxa"/>
        </w:tblCellMar>
        <w:tblLook w:val="0000"/>
      </w:tblPr>
      <w:tblGrid>
        <w:gridCol w:w="2772"/>
        <w:gridCol w:w="5750"/>
      </w:tblGrid>
      <w:tr w:rsidTr="00D64399">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This unit contains employability skills.</w:t>
            </w:r>
          </w:p>
        </w:tc>
      </w:tr>
    </w:tbl>
    <w:p w:rsidR="00D64399" w:rsidP="001E4E85">
      <w:pPr>
        <w:pStyle w:val="BodyText"/>
      </w:pPr>
    </w:p>
    <w:p w:rsidR="00D64399" w:rsidP="001E4E85">
      <w:pPr>
        <w:pStyle w:val="BodyText"/>
      </w:pPr>
    </w:p>
    <w:p w:rsidR="00000000" w:rsidRPr="001E4E85" w:rsidP="001E4E85">
      <w:pPr>
        <w:pStyle w:val="Heading1"/>
      </w:pPr>
      <w:bookmarkStart w:id="7" w:name="O_287521"/>
      <w:bookmarkEnd w:id="7"/>
      <w:r w:rsidRPr="001E4E85">
        <w:t>Elements and Performance Criteria Pre-Content</w:t>
      </w:r>
    </w:p>
    <w:tbl>
      <w:tblPr>
        <w:tblW w:w="0" w:type="auto"/>
        <w:tblLayout w:type="fixed"/>
        <w:tblCellMar>
          <w:left w:w="62" w:type="dxa"/>
          <w:right w:w="62" w:type="dxa"/>
        </w:tblCellMar>
        <w:tblLook w:val="0000"/>
      </w:tblPr>
      <w:tblGrid>
        <w:gridCol w:w="2567"/>
        <w:gridCol w:w="5955"/>
      </w:tblGrid>
      <w:tr w:rsidTr="00D6439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E4E85">
            <w:pPr>
              <w:pStyle w:val="BodyText"/>
              <w:rPr>
                <w:lang w:val="en-NZ"/>
              </w:rPr>
            </w:pPr>
            <w:r w:rsidRPr="001E4E8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E4E85" w:rsidP="001E4E85">
            <w:pPr>
              <w:pStyle w:val="BodyText"/>
            </w:pPr>
            <w:r w:rsidRPr="001E4E85">
              <w:t xml:space="preserve">Performance criteria describe the performance needed to demonstrate achievement of the element. Where bold italicised text is used, further </w:t>
            </w:r>
            <w:r w:rsidRPr="001E4E85">
              <w:t>information is detailed in the required skills and knowledge section and the range statement. Assessment of performance is to be consistent with the evidence guide.</w:t>
            </w:r>
          </w:p>
        </w:tc>
      </w:tr>
    </w:tbl>
    <w:p w:rsidR="00000000" w:rsidRPr="001E4E85" w:rsidP="001E4E85">
      <w:pPr>
        <w:pStyle w:val="BodyText"/>
      </w:pPr>
    </w:p>
    <w:p w:rsidR="00000000" w:rsidRPr="001E4E85" w:rsidP="001E4E85">
      <w:pPr>
        <w:pStyle w:val="AllowPageBreak"/>
      </w:pPr>
    </w:p>
    <w:p w:rsidR="00000000" w:rsidRPr="001E4E85" w:rsidP="001E4E85">
      <w:pPr>
        <w:pStyle w:val="Heading1"/>
      </w:pPr>
      <w:bookmarkStart w:id="8" w:name="O_234188"/>
      <w:bookmarkEnd w:id="8"/>
      <w:r w:rsidRPr="001E4E85">
        <w:t>Elements and Performance Criteria</w:t>
      </w:r>
    </w:p>
    <w:tbl>
      <w:tblPr>
        <w:tblW w:w="0" w:type="auto"/>
        <w:tblLayout w:type="fixed"/>
        <w:tblCellMar>
          <w:left w:w="62" w:type="dxa"/>
          <w:right w:w="62" w:type="dxa"/>
        </w:tblCellMar>
        <w:tblLook w:val="0000"/>
      </w:tblPr>
      <w:tblGrid>
        <w:gridCol w:w="2567"/>
        <w:gridCol w:w="5955"/>
      </w:tblGrid>
      <w:tr w:rsidTr="00D6439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E4E85" w:rsidP="001E4E85">
            <w:pPr>
              <w:pStyle w:val="BodyText"/>
            </w:pPr>
            <w:r w:rsidRPr="001E4E8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E4E85">
            <w:pPr>
              <w:pStyle w:val="BodyText"/>
              <w:rPr>
                <w:lang w:val="en-NZ"/>
              </w:rPr>
            </w:pPr>
            <w:r w:rsidRPr="001E4E85">
              <w:rPr>
                <w:rStyle w:val="SpecialBold"/>
              </w:rPr>
              <w:t>PERFORMANCE CRITERIA</w:t>
            </w:r>
          </w:p>
        </w:tc>
      </w:tr>
      <w:tr w:rsidTr="00D6439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E4E85">
            <w:pPr>
              <w:pStyle w:val="List"/>
              <w:rPr>
                <w:lang w:val="en-NZ"/>
              </w:rPr>
            </w:pPr>
            <w:r w:rsidRPr="001E4E85">
              <w:t>1.</w:t>
            </w:r>
            <w:r w:rsidRPr="001E4E85">
              <w:tab/>
              <w:t>Revie</w:t>
            </w:r>
            <w:r w:rsidRPr="001E4E85">
              <w:t>w documents submitted for building and land use approval for compliance with relevant legislation and codes.</w:t>
            </w:r>
          </w:p>
        </w:tc>
        <w:tc>
          <w:tcPr>
            <w:tcW w:w="5955" w:type="dxa"/>
            <w:tcBorders>
              <w:top w:val="nil"/>
              <w:left w:val="nil"/>
              <w:bottom w:val="nil"/>
              <w:right w:val="nil"/>
            </w:tcBorders>
            <w:tcMar>
              <w:top w:w="0" w:type="dxa"/>
              <w:left w:w="62" w:type="dxa"/>
              <w:bottom w:w="0" w:type="dxa"/>
              <w:right w:w="62" w:type="dxa"/>
            </w:tcMar>
          </w:tcPr>
          <w:p w:rsidR="00000000" w:rsidRPr="001E4E85" w:rsidP="001E4E85">
            <w:pPr>
              <w:pStyle w:val="List2"/>
            </w:pPr>
            <w:r w:rsidRPr="001E4E85">
              <w:t>1.1.</w:t>
            </w:r>
            <w:r w:rsidRPr="001E4E85">
              <w:tab/>
              <w:t xml:space="preserve">Plans, </w:t>
            </w:r>
            <w:r w:rsidRPr="001E4E85">
              <w:rPr>
                <w:rStyle w:val="BoldandItalics"/>
              </w:rPr>
              <w:t>specifications</w:t>
            </w:r>
            <w:r w:rsidRPr="001E4E85">
              <w:t xml:space="preserve"> and engineering drawings for medium rise buildings are accessed and interpreted. </w:t>
            </w:r>
          </w:p>
          <w:p w:rsidR="00000000" w:rsidRPr="001E4E85" w:rsidP="001E4E85">
            <w:pPr>
              <w:pStyle w:val="List2"/>
            </w:pPr>
            <w:r w:rsidRPr="001E4E85">
              <w:t>1.2.</w:t>
            </w:r>
            <w:r w:rsidRPr="001E4E85">
              <w:tab/>
            </w:r>
            <w:r w:rsidRPr="001E4E85">
              <w:t>Legislative requirements are interpreted and applied to various building projects.</w:t>
            </w:r>
          </w:p>
          <w:p w:rsidR="00000000" w:rsidP="001E4E85">
            <w:pPr>
              <w:pStyle w:val="List2"/>
              <w:rPr>
                <w:lang w:val="en-NZ"/>
              </w:rPr>
            </w:pPr>
            <w:r w:rsidRPr="001E4E85">
              <w:t>1.3.</w:t>
            </w:r>
            <w:r w:rsidRPr="001E4E85">
              <w:tab/>
              <w:t>Common faults with medium rise buildings are identified and recorded.</w:t>
            </w:r>
          </w:p>
        </w:tc>
      </w:tr>
      <w:tr w:rsidTr="00D6439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E4E85">
            <w:pPr>
              <w:pStyle w:val="List"/>
              <w:rPr>
                <w:lang w:val="en-NZ"/>
              </w:rPr>
            </w:pPr>
            <w:r w:rsidRPr="001E4E85">
              <w:t>2.</w:t>
            </w:r>
            <w:r w:rsidRPr="001E4E85">
              <w:tab/>
              <w:t>Inspect building work.</w:t>
            </w:r>
          </w:p>
        </w:tc>
        <w:tc>
          <w:tcPr>
            <w:tcW w:w="5955" w:type="dxa"/>
            <w:tcBorders>
              <w:top w:val="nil"/>
              <w:left w:val="nil"/>
              <w:bottom w:val="nil"/>
              <w:right w:val="nil"/>
            </w:tcBorders>
            <w:tcMar>
              <w:top w:w="0" w:type="dxa"/>
              <w:left w:w="62" w:type="dxa"/>
              <w:bottom w:w="0" w:type="dxa"/>
              <w:right w:w="62" w:type="dxa"/>
            </w:tcMar>
          </w:tcPr>
          <w:p w:rsidR="00000000" w:rsidRPr="001E4E85" w:rsidP="001E4E85">
            <w:pPr>
              <w:pStyle w:val="List2"/>
            </w:pPr>
            <w:r w:rsidRPr="001E4E85">
              <w:t>2.1.</w:t>
            </w:r>
            <w:r w:rsidRPr="001E4E85">
              <w:tab/>
              <w:t xml:space="preserve">Progress of building work is monitored for compliance with </w:t>
            </w:r>
            <w:r w:rsidRPr="001E4E85">
              <w:rPr>
                <w:rStyle w:val="BoldandItalics"/>
              </w:rPr>
              <w:t>standar</w:t>
            </w:r>
            <w:r w:rsidRPr="001E4E85">
              <w:rPr>
                <w:rStyle w:val="BoldandItalics"/>
              </w:rPr>
              <w:t>d construction practice</w:t>
            </w:r>
            <w:r w:rsidRPr="001E4E85">
              <w:t xml:space="preserve"> in accordance with organisational quality assurance procedures. </w:t>
            </w:r>
          </w:p>
          <w:p w:rsidR="00000000" w:rsidRPr="001E4E85" w:rsidP="001E4E85">
            <w:pPr>
              <w:pStyle w:val="List2"/>
            </w:pPr>
            <w:r w:rsidRPr="001E4E85">
              <w:t>2.2.</w:t>
            </w:r>
            <w:r w:rsidRPr="001E4E85">
              <w:tab/>
              <w:t xml:space="preserve">Work that does not comply with standards and </w:t>
            </w:r>
            <w:r w:rsidRPr="001E4E85">
              <w:rPr>
                <w:rStyle w:val="BoldandItalics"/>
              </w:rPr>
              <w:t>performance requirements</w:t>
            </w:r>
            <w:r w:rsidRPr="001E4E85">
              <w:t xml:space="preserve"> is recorded and required remedial action is documented and communicated to appropriate perso</w:t>
            </w:r>
            <w:r w:rsidRPr="001E4E85">
              <w:t xml:space="preserve">nnel. </w:t>
            </w:r>
          </w:p>
          <w:p w:rsidR="00000000" w:rsidP="001E4E85">
            <w:pPr>
              <w:pStyle w:val="List2"/>
              <w:rPr>
                <w:lang w:val="en-NZ"/>
              </w:rPr>
            </w:pPr>
            <w:r w:rsidRPr="001E4E85">
              <w:t>2.3.</w:t>
            </w:r>
            <w:r w:rsidRPr="001E4E85">
              <w:tab/>
              <w:t>Ongoing communication with appropriate personnel is maintained to assist in monitoring progress of building work.</w:t>
            </w:r>
          </w:p>
        </w:tc>
      </w:tr>
      <w:tr w:rsidTr="00D6439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E4E85">
            <w:pPr>
              <w:pStyle w:val="List"/>
              <w:rPr>
                <w:lang w:val="en-NZ"/>
              </w:rPr>
            </w:pPr>
            <w:r w:rsidRPr="001E4E85">
              <w:t>3.</w:t>
            </w:r>
            <w:r w:rsidRPr="001E4E85">
              <w:tab/>
              <w:t>Prepare reports on various building types.</w:t>
            </w:r>
          </w:p>
        </w:tc>
        <w:tc>
          <w:tcPr>
            <w:tcW w:w="5955" w:type="dxa"/>
            <w:tcBorders>
              <w:top w:val="nil"/>
              <w:left w:val="nil"/>
              <w:bottom w:val="nil"/>
              <w:right w:val="nil"/>
            </w:tcBorders>
            <w:tcMar>
              <w:top w:w="0" w:type="dxa"/>
              <w:left w:w="62" w:type="dxa"/>
              <w:bottom w:w="0" w:type="dxa"/>
              <w:right w:w="62" w:type="dxa"/>
            </w:tcMar>
          </w:tcPr>
          <w:p w:rsidR="00000000" w:rsidRPr="001E4E85" w:rsidP="001E4E85">
            <w:pPr>
              <w:pStyle w:val="List2"/>
            </w:pPr>
            <w:r w:rsidRPr="001E4E85">
              <w:t>3.1.</w:t>
            </w:r>
            <w:r w:rsidRPr="001E4E85">
              <w:tab/>
              <w:t>Advice with respect to work on medium rise buildings is prepared and reported.</w:t>
            </w:r>
          </w:p>
          <w:p w:rsidR="00000000" w:rsidRPr="001E4E85" w:rsidP="001E4E85">
            <w:pPr>
              <w:pStyle w:val="List2"/>
            </w:pPr>
            <w:r w:rsidRPr="001E4E85">
              <w:t>3.2.</w:t>
            </w:r>
            <w:r w:rsidRPr="001E4E85">
              <w:tab/>
              <w:t>Report on suitability of existing buildings prior to purchase inspections is documented.</w:t>
            </w:r>
          </w:p>
          <w:p w:rsidR="00000000" w:rsidRPr="001E4E85" w:rsidP="001E4E85">
            <w:pPr>
              <w:pStyle w:val="List2"/>
            </w:pPr>
            <w:r w:rsidRPr="001E4E85">
              <w:t>3.3.</w:t>
            </w:r>
            <w:r w:rsidRPr="001E4E85">
              <w:tab/>
              <w:t>Records of building safety inspections conducted on existing buildings are documented.</w:t>
            </w:r>
          </w:p>
          <w:p w:rsidR="00000000" w:rsidRPr="001E4E85" w:rsidP="001E4E85">
            <w:pPr>
              <w:pStyle w:val="List2"/>
            </w:pPr>
            <w:r w:rsidRPr="001E4E85">
              <w:t>3.4.</w:t>
            </w:r>
            <w:r w:rsidRPr="001E4E85">
              <w:tab/>
              <w:t>Reports on construction work prior to occupancy inspection are d</w:t>
            </w:r>
            <w:r w:rsidRPr="001E4E85">
              <w:t>ocumented.</w:t>
            </w:r>
          </w:p>
        </w:tc>
      </w:tr>
    </w:tbl>
    <w:p w:rsidR="00D64399" w:rsidP="001E4E85">
      <w:pPr>
        <w:pStyle w:val="BodyText"/>
      </w:pPr>
    </w:p>
    <w:p w:rsidR="00D64399" w:rsidP="001E4E85">
      <w:pPr>
        <w:pStyle w:val="BodyText"/>
      </w:pPr>
    </w:p>
    <w:p w:rsidR="00000000" w:rsidRPr="001E4E85" w:rsidP="001E4E85">
      <w:pPr>
        <w:pStyle w:val="Heading1"/>
      </w:pPr>
      <w:bookmarkStart w:id="9" w:name="O_258138"/>
      <w:bookmarkEnd w:id="9"/>
      <w:r w:rsidRPr="001E4E85">
        <w:t>Required Skills and Knowledge</w:t>
      </w:r>
    </w:p>
    <w:tbl>
      <w:tblPr>
        <w:tblW w:w="0" w:type="auto"/>
        <w:tblLayout w:type="fixed"/>
        <w:tblCellMar>
          <w:left w:w="62" w:type="dxa"/>
          <w:right w:w="62" w:type="dxa"/>
        </w:tblCellMar>
        <w:tblLook w:val="0000"/>
      </w:tblPr>
      <w:tblGrid>
        <w:gridCol w:w="8522"/>
      </w:tblGrid>
      <w:tr w:rsidTr="00D6439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REQUIRED SKILLS AND KNOWLEDGE</w:t>
            </w:r>
          </w:p>
        </w:tc>
      </w:tr>
      <w:tr w:rsidTr="00D64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t>This section describes the skills and knowledge required for this unit.</w:t>
            </w:r>
          </w:p>
        </w:tc>
      </w:tr>
      <w:tr w:rsidTr="00D64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Required skills</w:t>
            </w:r>
          </w:p>
        </w:tc>
      </w:tr>
      <w:tr w:rsidTr="00D64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Required skills for this unit are:</w:t>
            </w:r>
          </w:p>
          <w:p w:rsidR="00000000" w:rsidRPr="001E4E85" w:rsidP="001E4E85">
            <w:pPr>
              <w:pStyle w:val="ListBullet"/>
            </w:pPr>
            <w:r w:rsidRPr="001E4E85">
              <w:t>application of building survey procedures to the assessment of building systems</w:t>
            </w:r>
          </w:p>
          <w:p w:rsidR="00000000" w:rsidRPr="001E4E85" w:rsidP="001E4E85">
            <w:pPr>
              <w:pStyle w:val="ListBullet"/>
            </w:pPr>
            <w:r w:rsidRPr="001E4E85">
              <w:t>application of design concepts and principles</w:t>
            </w:r>
          </w:p>
          <w:p w:rsidR="00000000" w:rsidRPr="001E4E85" w:rsidP="001E4E85">
            <w:pPr>
              <w:pStyle w:val="ListBullet"/>
            </w:pPr>
            <w:r w:rsidRPr="001E4E85">
              <w:t>application of measurements and calculations</w:t>
            </w:r>
          </w:p>
          <w:p w:rsidR="00000000" w:rsidRPr="001E4E85" w:rsidP="001E4E85">
            <w:pPr>
              <w:pStyle w:val="ListBullet"/>
            </w:pPr>
            <w:r w:rsidRPr="001E4E85">
              <w:t>communication skills to:</w:t>
            </w:r>
          </w:p>
          <w:p w:rsidR="00000000" w:rsidRPr="001E4E85" w:rsidP="001E4E85">
            <w:pPr>
              <w:pStyle w:val="ListBullet2"/>
            </w:pPr>
            <w:r w:rsidRPr="001E4E85">
              <w:t>communicate building work progress</w:t>
            </w:r>
          </w:p>
          <w:p w:rsidR="00000000" w:rsidRPr="001E4E85" w:rsidP="001E4E85">
            <w:pPr>
              <w:pStyle w:val="ListBullet2"/>
            </w:pPr>
            <w:r w:rsidRPr="001E4E85">
              <w:t>enable clear and direct communication, using questioning to identify and confirm requirements, share information, listen and understand</w:t>
            </w:r>
          </w:p>
          <w:p w:rsidR="00000000" w:rsidRPr="001E4E85" w:rsidP="001E4E85">
            <w:pPr>
              <w:pStyle w:val="ListBullet2"/>
            </w:pPr>
            <w:r w:rsidRPr="001E4E85">
              <w:t>read and interpret:</w:t>
            </w:r>
          </w:p>
          <w:p w:rsidR="00000000" w:rsidRPr="001E4E85" w:rsidP="001E4E85">
            <w:pPr>
              <w:pStyle w:val="ListBullet3"/>
            </w:pPr>
            <w:r w:rsidRPr="001E4E85">
              <w:t>legislation</w:t>
            </w:r>
          </w:p>
          <w:p w:rsidR="00000000" w:rsidRPr="001E4E85" w:rsidP="001E4E85">
            <w:pPr>
              <w:pStyle w:val="ListBullet3"/>
            </w:pPr>
            <w:r w:rsidRPr="001E4E85">
              <w:t>plans, specifications and drawings</w:t>
            </w:r>
          </w:p>
          <w:p w:rsidR="00000000" w:rsidRPr="001E4E85" w:rsidP="001E4E85">
            <w:pPr>
              <w:pStyle w:val="ListBullet3"/>
            </w:pPr>
            <w:r w:rsidRPr="001E4E85">
              <w:t>other relevant documentation</w:t>
            </w:r>
          </w:p>
          <w:p w:rsidR="00000000" w:rsidRPr="001E4E85" w:rsidP="001E4E85">
            <w:pPr>
              <w:pStyle w:val="ListBullet2"/>
            </w:pPr>
            <w:r w:rsidRPr="001E4E85">
              <w:t>use and interpret non-</w:t>
            </w:r>
            <w:r w:rsidRPr="001E4E85">
              <w:t>verbal communication</w:t>
            </w:r>
          </w:p>
          <w:p w:rsidR="00000000" w:rsidRPr="001E4E85" w:rsidP="001E4E85">
            <w:pPr>
              <w:pStyle w:val="ListBullet2"/>
            </w:pPr>
            <w:r w:rsidRPr="001E4E85">
              <w:t>use language and concepts appropriate to cultural differences</w:t>
            </w:r>
          </w:p>
          <w:p w:rsidR="00000000" w:rsidRPr="001E4E85" w:rsidP="001E4E85">
            <w:pPr>
              <w:pStyle w:val="ListBullet2"/>
            </w:pPr>
            <w:r w:rsidRPr="001E4E85">
              <w:t>written skills to record relevant information and prepare reports</w:t>
            </w:r>
          </w:p>
          <w:p w:rsidR="00000000" w:rsidRPr="001E4E85" w:rsidP="001E4E85">
            <w:pPr>
              <w:pStyle w:val="ListBullet"/>
            </w:pPr>
            <w:r w:rsidRPr="001E4E85">
              <w:t>interpretation skills, including the ability to interpret documentation from a wide range of sources</w:t>
            </w:r>
          </w:p>
          <w:p w:rsidR="00000000" w:rsidRPr="001E4E85" w:rsidP="001E4E85">
            <w:pPr>
              <w:pStyle w:val="ListBullet"/>
            </w:pPr>
            <w:r w:rsidRPr="001E4E85">
              <w:t>numeracy skills to apply measurements and calculations and to interpret mathematical information</w:t>
            </w:r>
          </w:p>
          <w:p w:rsidR="00000000" w:rsidP="001E4E85">
            <w:pPr>
              <w:pStyle w:val="ListBullet"/>
              <w:rPr>
                <w:lang w:val="en-NZ"/>
              </w:rPr>
            </w:pPr>
            <w:r w:rsidRPr="001E4E85">
              <w:t>technological skills to facilitate use of the organisation's software and office equipment.</w:t>
            </w:r>
          </w:p>
        </w:tc>
      </w:tr>
      <w:tr w:rsidTr="00D64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Required knowledge</w:t>
            </w:r>
          </w:p>
        </w:tc>
      </w:tr>
      <w:tr w:rsidTr="00D643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Required knowledge for this unit is:</w:t>
            </w:r>
          </w:p>
          <w:p w:rsidR="00000000" w:rsidRPr="001E4E85" w:rsidP="001E4E85">
            <w:pPr>
              <w:pStyle w:val="ListBullet"/>
            </w:pPr>
            <w:r w:rsidRPr="001E4E85">
              <w:t>applicat</w:t>
            </w:r>
            <w:r w:rsidRPr="001E4E85">
              <w:t>ions of structural principles in buildings</w:t>
            </w:r>
          </w:p>
          <w:p w:rsidR="00000000" w:rsidRPr="001E4E85" w:rsidP="001E4E85">
            <w:pPr>
              <w:pStyle w:val="ListBullet"/>
            </w:pPr>
            <w:r w:rsidRPr="001E4E85">
              <w:t>building survey practices</w:t>
            </w:r>
          </w:p>
          <w:p w:rsidR="00000000" w:rsidRPr="001E4E85" w:rsidP="001E4E85">
            <w:pPr>
              <w:pStyle w:val="ListBullet"/>
            </w:pPr>
            <w:r w:rsidRPr="001E4E85">
              <w:t>design principles and behaviour of structural members undergoing stress, strain, compression, bending or combined actions</w:t>
            </w:r>
          </w:p>
          <w:p w:rsidR="00000000" w:rsidRPr="001E4E85" w:rsidP="001E4E85">
            <w:pPr>
              <w:pStyle w:val="ListBullet"/>
            </w:pPr>
            <w:r w:rsidRPr="001E4E85">
              <w:t>nature of materials and effect of performance</w:t>
            </w:r>
          </w:p>
          <w:p w:rsidR="00000000" w:rsidRPr="001E4E85" w:rsidP="001E4E85">
            <w:pPr>
              <w:pStyle w:val="ListBullet"/>
            </w:pPr>
            <w:r w:rsidRPr="001E4E85">
              <w:t>relevant legislatio</w:t>
            </w:r>
            <w:r w:rsidRPr="001E4E85">
              <w:t>n, codes and practices, including Building Code of Australia (BCA), Australian standards and OHS requirements</w:t>
            </w:r>
          </w:p>
          <w:p w:rsidR="00000000" w:rsidRPr="001E4E85" w:rsidP="001E4E85">
            <w:pPr>
              <w:pStyle w:val="ListBullet"/>
            </w:pPr>
            <w:r w:rsidRPr="001E4E85">
              <w:t>work drawings and specifications.</w:t>
            </w:r>
          </w:p>
        </w:tc>
      </w:tr>
    </w:tbl>
    <w:p w:rsidR="00D64399" w:rsidP="001E4E85">
      <w:pPr>
        <w:pStyle w:val="BodyText"/>
      </w:pPr>
    </w:p>
    <w:p w:rsidR="00D64399" w:rsidP="001E4E85">
      <w:pPr>
        <w:pStyle w:val="BodyText"/>
      </w:pPr>
    </w:p>
    <w:p w:rsidR="00000000" w:rsidRPr="001E4E85" w:rsidP="001E4E85">
      <w:pPr>
        <w:pStyle w:val="AllowPageBreak"/>
      </w:pPr>
    </w:p>
    <w:p w:rsidR="00000000" w:rsidRPr="001E4E85" w:rsidP="001E4E85">
      <w:pPr>
        <w:pStyle w:val="Heading1"/>
      </w:pPr>
      <w:bookmarkStart w:id="10" w:name="O_242172"/>
      <w:bookmarkEnd w:id="10"/>
      <w:r w:rsidRPr="001E4E85">
        <w:t>Evidence Guide</w:t>
      </w:r>
    </w:p>
    <w:tbl>
      <w:tblPr>
        <w:tblW w:w="0" w:type="auto"/>
        <w:tblLayout w:type="fixed"/>
        <w:tblCellMar>
          <w:left w:w="62" w:type="dxa"/>
          <w:right w:w="62" w:type="dxa"/>
        </w:tblCellMar>
        <w:tblLook w:val="0000"/>
      </w:tblPr>
      <w:tblGrid>
        <w:gridCol w:w="3496"/>
        <w:gridCol w:w="5026"/>
      </w:tblGrid>
      <w:tr w:rsidTr="00D6439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E4E85">
            <w:pPr>
              <w:pStyle w:val="BodyText"/>
              <w:rPr>
                <w:lang w:val="en-NZ"/>
              </w:rPr>
            </w:pPr>
            <w:r w:rsidRPr="001E4E85">
              <w:rPr>
                <w:rStyle w:val="SpecialBold"/>
              </w:rPr>
              <w:t>EVIDENCE GUIDE</w:t>
            </w:r>
          </w:p>
        </w:tc>
      </w:tr>
      <w:tr w:rsidTr="00D6439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E4E85">
            <w:pPr>
              <w:pStyle w:val="BodyText"/>
              <w:rPr>
                <w:lang w:val="en-NZ"/>
              </w:rPr>
            </w:pPr>
            <w:r w:rsidRPr="001E4E85">
              <w:t>The evidence guide provides advice on assessment and must be read in conjunction with the performance criteria, required skills and knowledge, range statement and the Assessment Guidelines for the Training Package.</w:t>
            </w:r>
          </w:p>
        </w:tc>
      </w:tr>
      <w:tr w:rsidTr="00D64399">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This unit of com</w:t>
            </w:r>
            <w:r w:rsidRPr="001E4E85">
              <w:t>petency could be assessed by the application of building survey procedures to assessment of all structural components that form a building project.</w:t>
            </w:r>
          </w:p>
          <w:p w:rsidR="00000000" w:rsidP="001E4E85">
            <w:pPr>
              <w:pStyle w:val="BodyText"/>
              <w:rPr>
                <w:lang w:val="en-NZ"/>
              </w:rPr>
            </w:pPr>
            <w:r w:rsidRPr="001E4E85">
              <w:t>This unit of competency can be assessed in the workplace or a close simulation of the workplace environment,</w:t>
            </w:r>
            <w:r w:rsidRPr="001E4E85">
              <w:t xml:space="preserve"> provided that simulated or project-based assessment techniques fully replicate construction workplace conditions, materials, activities, responsibilities and procedures. </w:t>
            </w:r>
          </w:p>
        </w:tc>
      </w:tr>
      <w:tr w:rsidTr="00D64399">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 xml:space="preserve">Critical aspects for assessment and evidence required to demonstrate competency in </w:t>
            </w:r>
            <w:r w:rsidRPr="001E4E85">
              <w:rPr>
                <w:rStyle w:val="SpecialBold"/>
              </w:rPr>
              <w:t>this unit</w:t>
            </w:r>
          </w:p>
        </w:tc>
        <w:tc>
          <w:tcPr>
            <w:tcW w:w="5026"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A person who demonstrates competency in this unit must be able to provide evidence of the ability to:</w:t>
            </w:r>
          </w:p>
          <w:p w:rsidR="00000000" w:rsidRPr="001E4E85" w:rsidP="001E4E85">
            <w:pPr>
              <w:pStyle w:val="ListBullet"/>
            </w:pPr>
            <w:r w:rsidRPr="001E4E85">
              <w:t>comply with OHS and organisational quality procedures and processes</w:t>
            </w:r>
          </w:p>
          <w:p w:rsidR="00000000" w:rsidRPr="001E4E85" w:rsidP="001E4E85">
            <w:pPr>
              <w:pStyle w:val="ListBullet"/>
            </w:pPr>
            <w:r w:rsidRPr="001E4E85">
              <w:t>apply and interpret relevant documentation and codes</w:t>
            </w:r>
          </w:p>
          <w:p w:rsidR="00000000" w:rsidRPr="001E4E85" w:rsidP="001E4E85">
            <w:pPr>
              <w:pStyle w:val="ListBullet"/>
            </w:pPr>
            <w:r w:rsidRPr="001E4E85">
              <w:t>apply design principles relating to performance of the building system</w:t>
            </w:r>
          </w:p>
          <w:p w:rsidR="00000000" w:rsidP="001E4E85">
            <w:pPr>
              <w:pStyle w:val="ListBullet"/>
              <w:rPr>
                <w:lang w:val="en-NZ"/>
              </w:rPr>
            </w:pPr>
            <w:r w:rsidRPr="001E4E85">
              <w:t>identify typical faults and problems and the action required to rectify such faults.</w:t>
            </w:r>
          </w:p>
        </w:tc>
      </w:tr>
      <w:tr w:rsidTr="00D64399">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This competency is to be assessed using standard a</w:t>
            </w:r>
            <w:r w:rsidRPr="001E4E85">
              <w:t>nd authorised work practices, safety requirements and environmental constraints.</w:t>
            </w:r>
          </w:p>
          <w:p w:rsidR="00000000" w:rsidRPr="001E4E85" w:rsidP="001E4E85">
            <w:pPr>
              <w:pStyle w:val="BodyText"/>
            </w:pPr>
            <w:r w:rsidRPr="001E4E85">
              <w:t>Assessment of essential underpinning knowledge will usually be conducted in an off-site context.</w:t>
            </w:r>
          </w:p>
          <w:p w:rsidR="00000000" w:rsidRPr="001E4E85" w:rsidP="001E4E85">
            <w:pPr>
              <w:pStyle w:val="BodyText"/>
            </w:pPr>
            <w:r w:rsidRPr="001E4E85">
              <w:t>Assessment is to comply with relevant regulatory or Australian standards' requ</w:t>
            </w:r>
            <w:r w:rsidRPr="001E4E85">
              <w:t>irements.</w:t>
            </w:r>
          </w:p>
          <w:p w:rsidR="00000000" w:rsidRPr="001E4E85" w:rsidP="001E4E85">
            <w:pPr>
              <w:pStyle w:val="BodyText"/>
            </w:pPr>
            <w:r w:rsidRPr="001E4E85">
              <w:t>Resource implications for assessment include:</w:t>
            </w:r>
          </w:p>
          <w:p w:rsidR="00000000" w:rsidRPr="001E4E85" w:rsidP="001E4E85">
            <w:pPr>
              <w:pStyle w:val="ListBullet"/>
            </w:pPr>
            <w:r w:rsidRPr="001E4E85">
              <w:t>documentation, including design brief drawings, specifications, codes, design concepts, construction schedules and other necessary supporting documents</w:t>
            </w:r>
          </w:p>
          <w:p w:rsidR="00000000" w:rsidRPr="001E4E85" w:rsidP="001E4E85">
            <w:pPr>
              <w:pStyle w:val="ListBullet"/>
            </w:pPr>
            <w:r w:rsidRPr="001E4E85">
              <w:t>research resources, including timber product in</w:t>
            </w:r>
            <w:r w:rsidRPr="001E4E85">
              <w:t>formation and samples</w:t>
            </w:r>
          </w:p>
          <w:p w:rsidR="00000000" w:rsidRPr="001E4E85" w:rsidP="001E4E85">
            <w:pPr>
              <w:pStyle w:val="ListBullet"/>
            </w:pPr>
            <w:r w:rsidRPr="001E4E85">
              <w:t>access to relevant legislation, regulations and codes of practice, including the BCA</w:t>
            </w:r>
          </w:p>
          <w:p w:rsidR="00000000" w:rsidRPr="001E4E85" w:rsidP="001E4E85">
            <w:pPr>
              <w:pStyle w:val="ListBullet"/>
            </w:pPr>
            <w:r w:rsidRPr="001E4E85">
              <w:t>relevant computer software package and suitable hardware.</w:t>
            </w:r>
          </w:p>
          <w:p w:rsidR="00000000" w:rsidP="001E4E85">
            <w:pPr>
              <w:pStyle w:val="BodyText"/>
              <w:rPr>
                <w:lang w:val="en-NZ"/>
              </w:rPr>
            </w:pPr>
            <w:r w:rsidRPr="001E4E85">
              <w:t>Reasonable adjustments for people with disabilities must be made to assessment processes wh</w:t>
            </w:r>
            <w:r w:rsidRPr="001E4E85">
              <w:t xml:space="preserve">ere required. This could include access to modified equipment and other physical resources, and the provision of appropriate assessment support. </w:t>
            </w:r>
          </w:p>
        </w:tc>
      </w:tr>
      <w:tr w:rsidTr="00D64399">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Assessment methods must:</w:t>
            </w:r>
          </w:p>
          <w:p w:rsidR="00000000" w:rsidRPr="001E4E85" w:rsidP="001E4E85">
            <w:pPr>
              <w:pStyle w:val="ListBullet"/>
            </w:pPr>
            <w:r w:rsidRPr="001E4E85">
              <w:t>satisfy the endorsed Assessment Guidelines of the Construction, Plumbing and Services Training Package</w:t>
            </w:r>
          </w:p>
          <w:p w:rsidR="00000000" w:rsidRPr="001E4E85" w:rsidP="001E4E85">
            <w:pPr>
              <w:pStyle w:val="ListBullet"/>
            </w:pPr>
            <w:r w:rsidRPr="001E4E85">
              <w:t xml:space="preserve">include direct observation of tasks in real or simulated work conditions, with questioning to confirm the ability to consistently identify and correctly </w:t>
            </w:r>
            <w:r w:rsidRPr="001E4E85">
              <w:t>interpret the essential underpinning knowledge required for practical application</w:t>
            </w:r>
          </w:p>
          <w:p w:rsidR="00000000" w:rsidRPr="001E4E85" w:rsidP="001E4E85">
            <w:pPr>
              <w:pStyle w:val="ListBullet"/>
            </w:pPr>
            <w:r w:rsidRPr="001E4E85">
              <w:t>reinforce the integration of employability skills with workplace tasks and job roles</w:t>
            </w:r>
          </w:p>
          <w:p w:rsidR="00000000" w:rsidRPr="001E4E85" w:rsidP="001E4E85">
            <w:pPr>
              <w:pStyle w:val="ListBullet"/>
            </w:pPr>
            <w:r w:rsidRPr="001E4E85">
              <w:t>confirm that competency is verified and able to be transferred to other circumstances and</w:t>
            </w:r>
            <w:r w:rsidRPr="001E4E85">
              <w:t xml:space="preserve"> environments.</w:t>
            </w:r>
          </w:p>
          <w:p w:rsidR="00000000" w:rsidRPr="001E4E85" w:rsidP="001E4E85">
            <w:pPr>
              <w:pStyle w:val="BodyText"/>
            </w:pPr>
            <w:r w:rsidRPr="001E4E85">
              <w:t>Validity and sufficiency of evidence requires that:</w:t>
            </w:r>
          </w:p>
          <w:p w:rsidR="00000000" w:rsidRPr="001E4E85" w:rsidP="001E4E85">
            <w:pPr>
              <w:pStyle w:val="ListBullet"/>
            </w:pPr>
            <w:r w:rsidRPr="001E4E85">
              <w:t>competency will need to be demonstrated over a period of time reflecting the scope of the role and the practical requirements of the workplace</w:t>
            </w:r>
          </w:p>
          <w:p w:rsidR="00000000" w:rsidRPr="001E4E85" w:rsidP="001E4E85">
            <w:pPr>
              <w:pStyle w:val="ListBullet"/>
            </w:pPr>
            <w:r w:rsidRPr="001E4E85">
              <w:t xml:space="preserve">where the assessment is part of a structured </w:t>
            </w:r>
            <w:r w:rsidRPr="001E4E85">
              <w:t>learning experience the evidence collected must relate to a number of performances assessed at different points in time and separated by further learning and practice, with a decision on competency only taken at the point when the assessor has complete con</w:t>
            </w:r>
            <w:r w:rsidRPr="001E4E85">
              <w:t>fidence in the person's demonstrated ability and applied knowledge</w:t>
            </w:r>
          </w:p>
          <w:p w:rsidR="00000000" w:rsidRPr="001E4E85" w:rsidP="001E4E85">
            <w:pPr>
              <w:pStyle w:val="ListBullet"/>
            </w:pPr>
            <w:r w:rsidRPr="001E4E85">
              <w:t>all assessment that is part of a structured learning experience must include a combination of direct, indirect and supplementary evidence.</w:t>
            </w:r>
          </w:p>
          <w:p w:rsidR="00000000" w:rsidRPr="001E4E85" w:rsidP="001E4E85">
            <w:pPr>
              <w:pStyle w:val="BodyText"/>
            </w:pPr>
            <w:r w:rsidRPr="001E4E85">
              <w:t xml:space="preserve">Assessment processes and techniques should as far </w:t>
            </w:r>
            <w:r w:rsidRPr="001E4E85">
              <w:t>as is practical take into account the language, literacy and numeracy capacity of the candidate in relation to the competency being assessed.</w:t>
            </w:r>
          </w:p>
          <w:p w:rsidR="00000000" w:rsidRPr="001E4E85" w:rsidP="001E4E85">
            <w:pPr>
              <w:pStyle w:val="BodyText"/>
            </w:pPr>
            <w:r w:rsidRPr="001E4E85">
              <w:t>Supplementary evidence of competency may be obtained from relevant authenticated documentation from third parties,</w:t>
            </w:r>
            <w:r w:rsidRPr="001E4E85">
              <w:t xml:space="preserve"> such as existing supervisors, team leaders or specialist training staff. </w:t>
            </w:r>
          </w:p>
        </w:tc>
      </w:tr>
    </w:tbl>
    <w:p w:rsidR="00D64399" w:rsidP="001E4E85">
      <w:pPr>
        <w:pStyle w:val="BodyText"/>
      </w:pPr>
    </w:p>
    <w:p w:rsidR="00D64399" w:rsidP="001E4E85">
      <w:pPr>
        <w:pStyle w:val="BodyText"/>
      </w:pPr>
    </w:p>
    <w:p w:rsidR="00000000" w:rsidRPr="001E4E85" w:rsidP="001E4E85">
      <w:pPr>
        <w:pStyle w:val="Heading1"/>
      </w:pPr>
      <w:bookmarkStart w:id="11" w:name="O_250155"/>
      <w:bookmarkEnd w:id="11"/>
      <w:r w:rsidRPr="001E4E85">
        <w:t>Range Statement</w:t>
      </w:r>
    </w:p>
    <w:tbl>
      <w:tblPr>
        <w:tblW w:w="0" w:type="auto"/>
        <w:tblLayout w:type="fixed"/>
        <w:tblCellMar>
          <w:left w:w="62" w:type="dxa"/>
          <w:right w:w="62" w:type="dxa"/>
        </w:tblCellMar>
        <w:tblLook w:val="0000"/>
      </w:tblPr>
      <w:tblGrid>
        <w:gridCol w:w="3528"/>
        <w:gridCol w:w="4994"/>
      </w:tblGrid>
      <w:tr w:rsidTr="00D6439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E4E85">
            <w:pPr>
              <w:pStyle w:val="BodyText"/>
              <w:rPr>
                <w:lang w:val="en-NZ"/>
              </w:rPr>
            </w:pPr>
            <w:r w:rsidRPr="001E4E85">
              <w:rPr>
                <w:rStyle w:val="SpecialBold"/>
              </w:rPr>
              <w:t>RANGE STATEMENT</w:t>
            </w:r>
          </w:p>
        </w:tc>
      </w:tr>
      <w:tr w:rsidTr="00D6439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E4E85">
            <w:pPr>
              <w:pStyle w:val="BodyText"/>
              <w:rPr>
                <w:lang w:val="en-NZ"/>
              </w:rPr>
            </w:pPr>
            <w:r w:rsidRPr="001E4E85">
              <w:t>The range statement relates to the unit of competency as a whole. It allows for different work environments and situations that may affect performance. Bold italicised wording, if used in the performance criteria, is detailed below. Essential operating con</w:t>
            </w:r>
            <w:r w:rsidRPr="001E4E85">
              <w:t>ditions that may be present with training and assessment (depending on the work situation, needs of the candidate, accessibility of the item, and local industry and regional contexts) may also be included.</w:t>
            </w:r>
          </w:p>
        </w:tc>
      </w:tr>
      <w:tr w:rsidTr="00D64399">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BoldandItalics"/>
              </w:rPr>
              <w:t>Specifications</w:t>
            </w:r>
            <w:r w:rsidRPr="001E4E85">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1E4E85" w:rsidP="001E4E85">
            <w:pPr>
              <w:pStyle w:val="ListBullet"/>
            </w:pPr>
            <w:r w:rsidRPr="001E4E85">
              <w:t>detailed specifications addressing specific components, e.g. construction, mechanical, structural, services or other requirements</w:t>
            </w:r>
          </w:p>
          <w:p w:rsidR="00000000" w:rsidRPr="001E4E85" w:rsidP="001E4E85">
            <w:pPr>
              <w:pStyle w:val="ListBullet"/>
            </w:pPr>
            <w:r w:rsidRPr="001E4E85">
              <w:t>developed specifications</w:t>
            </w:r>
          </w:p>
          <w:p w:rsidR="00000000" w:rsidRPr="001E4E85" w:rsidP="001E4E85">
            <w:pPr>
              <w:pStyle w:val="ListBullet"/>
            </w:pPr>
            <w:r w:rsidRPr="001E4E85">
              <w:t>industry standard specifications</w:t>
            </w:r>
          </w:p>
          <w:p w:rsidR="00000000" w:rsidP="001E4E85">
            <w:pPr>
              <w:pStyle w:val="ListBullet"/>
              <w:rPr>
                <w:lang w:val="en-NZ"/>
              </w:rPr>
            </w:pPr>
            <w:r w:rsidRPr="001E4E85">
              <w:t>preliminary or outline specifications.</w:t>
            </w:r>
          </w:p>
        </w:tc>
      </w:tr>
      <w:tr w:rsidTr="00D64399">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BoldandItalics"/>
              </w:rPr>
              <w:t>Standard construction practi</w:t>
            </w:r>
            <w:r w:rsidRPr="001E4E85">
              <w:rPr>
                <w:rStyle w:val="BoldandItalics"/>
              </w:rPr>
              <w:t>ce</w:t>
            </w:r>
            <w:r w:rsidRPr="001E4E85">
              <w:t xml:space="preserve"> includes: </w:t>
            </w:r>
          </w:p>
        </w:tc>
        <w:tc>
          <w:tcPr>
            <w:tcW w:w="4994" w:type="dxa"/>
            <w:tcBorders>
              <w:top w:val="nil"/>
              <w:left w:val="nil"/>
              <w:bottom w:val="nil"/>
              <w:right w:val="nil"/>
            </w:tcBorders>
            <w:tcMar>
              <w:top w:w="0" w:type="dxa"/>
              <w:left w:w="62" w:type="dxa"/>
              <w:bottom w:w="0" w:type="dxa"/>
              <w:right w:w="62" w:type="dxa"/>
            </w:tcMar>
          </w:tcPr>
          <w:p w:rsidR="00000000" w:rsidP="001E4E85">
            <w:pPr>
              <w:pStyle w:val="ListBullet"/>
              <w:rPr>
                <w:lang w:val="en-NZ"/>
              </w:rPr>
            </w:pPr>
            <w:r w:rsidRPr="001E4E85">
              <w:t>Building Code of Australia (BCA), including relevant Australian standards.</w:t>
            </w:r>
          </w:p>
        </w:tc>
      </w:tr>
      <w:tr w:rsidTr="00D64399">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BoldandItalics"/>
              </w:rPr>
              <w:t>Performance requirements</w:t>
            </w:r>
            <w:r w:rsidRPr="001E4E85">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1E4E85" w:rsidP="001E4E85">
            <w:pPr>
              <w:pStyle w:val="ListBullet"/>
            </w:pPr>
            <w:r w:rsidRPr="001E4E85">
              <w:t>cost</w:t>
            </w:r>
          </w:p>
          <w:p w:rsidR="00000000" w:rsidRPr="001E4E85" w:rsidP="001E4E85">
            <w:pPr>
              <w:pStyle w:val="ListBullet"/>
            </w:pPr>
            <w:r w:rsidRPr="001E4E85">
              <w:t>detail relating to materials</w:t>
            </w:r>
          </w:p>
          <w:p w:rsidR="00000000" w:rsidRPr="001E4E85" w:rsidP="001E4E85">
            <w:pPr>
              <w:pStyle w:val="ListBullet"/>
            </w:pPr>
            <w:r w:rsidRPr="001E4E85">
              <w:t>milestones</w:t>
            </w:r>
          </w:p>
          <w:p w:rsidR="00000000" w:rsidRPr="001E4E85" w:rsidP="001E4E85">
            <w:pPr>
              <w:pStyle w:val="ListBullet"/>
            </w:pPr>
            <w:r w:rsidRPr="001E4E85">
              <w:t>nominated subcontractors</w:t>
            </w:r>
          </w:p>
          <w:p w:rsidR="00000000" w:rsidRPr="001E4E85" w:rsidP="001E4E85">
            <w:pPr>
              <w:pStyle w:val="ListBullet"/>
            </w:pPr>
            <w:r w:rsidRPr="001E4E85">
              <w:t>provision of site access/facilities</w:t>
            </w:r>
          </w:p>
          <w:p w:rsidR="00000000" w:rsidRPr="001E4E85" w:rsidP="001E4E85">
            <w:pPr>
              <w:pStyle w:val="ListBullet"/>
            </w:pPr>
            <w:r w:rsidRPr="001E4E85">
              <w:t>quality assurance</w:t>
            </w:r>
          </w:p>
          <w:p w:rsidR="00000000" w:rsidRPr="001E4E85" w:rsidP="001E4E85">
            <w:pPr>
              <w:pStyle w:val="ListBullet"/>
            </w:pPr>
            <w:r w:rsidRPr="001E4E85">
              <w:t>quality of work</w:t>
            </w:r>
          </w:p>
          <w:p w:rsidR="00000000" w:rsidRPr="001E4E85" w:rsidP="001E4E85">
            <w:pPr>
              <w:pStyle w:val="ListBullet"/>
            </w:pPr>
            <w:r w:rsidRPr="001E4E85">
              <w:t>standard procedures</w:t>
            </w:r>
          </w:p>
          <w:p w:rsidR="00000000" w:rsidRPr="001E4E85" w:rsidP="001E4E85">
            <w:pPr>
              <w:pStyle w:val="ListBullet"/>
            </w:pPr>
            <w:r w:rsidRPr="001E4E85">
              <w:t>standards of work</w:t>
            </w:r>
          </w:p>
          <w:p w:rsidR="00000000" w:rsidRPr="001E4E85" w:rsidP="001E4E85">
            <w:pPr>
              <w:pStyle w:val="ListBullet"/>
            </w:pPr>
            <w:r w:rsidRPr="001E4E85">
              <w:t>work schedules.</w:t>
            </w:r>
          </w:p>
        </w:tc>
      </w:tr>
    </w:tbl>
    <w:p w:rsidR="00D64399" w:rsidP="001E4E85">
      <w:pPr>
        <w:pStyle w:val="BodyText"/>
      </w:pPr>
    </w:p>
    <w:p w:rsidR="00D64399" w:rsidP="001E4E85">
      <w:pPr>
        <w:pStyle w:val="BodyText"/>
      </w:pPr>
    </w:p>
    <w:p w:rsidR="00000000" w:rsidRPr="001E4E85" w:rsidP="001E4E85">
      <w:pPr>
        <w:pStyle w:val="Heading1"/>
      </w:pPr>
      <w:bookmarkStart w:id="12" w:name="O_197191"/>
      <w:bookmarkEnd w:id="12"/>
      <w:r w:rsidRPr="001E4E85">
        <w:t>Unit Sector(s)</w:t>
      </w:r>
    </w:p>
    <w:tbl>
      <w:tblPr>
        <w:tblW w:w="0" w:type="auto"/>
        <w:tblLayout w:type="fixed"/>
        <w:tblCellMar>
          <w:left w:w="62" w:type="dxa"/>
          <w:right w:w="62" w:type="dxa"/>
        </w:tblCellMar>
        <w:tblLook w:val="0000"/>
      </w:tblPr>
      <w:tblGrid>
        <w:gridCol w:w="2591"/>
        <w:gridCol w:w="5931"/>
      </w:tblGrid>
      <w:tr w:rsidTr="00D64399">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Construction</w:t>
            </w:r>
          </w:p>
        </w:tc>
      </w:tr>
    </w:tbl>
    <w:p w:rsidR="00D64399" w:rsidP="001E4E85">
      <w:pPr>
        <w:pStyle w:val="BodyText"/>
      </w:pPr>
    </w:p>
    <w:p w:rsidR="00D64399" w:rsidP="001E4E85">
      <w:pPr>
        <w:pStyle w:val="BodyText"/>
      </w:pPr>
    </w:p>
    <w:p w:rsidR="00000000" w:rsidRPr="001E4E85" w:rsidP="001E4E85">
      <w:pPr>
        <w:pStyle w:val="Heading1"/>
      </w:pPr>
      <w:bookmarkStart w:id="13" w:name="O_197188"/>
      <w:bookmarkEnd w:id="13"/>
      <w:r w:rsidRPr="001E4E85">
        <w:t>Co-requisite units</w:t>
      </w:r>
    </w:p>
    <w:tbl>
      <w:tblPr>
        <w:tblW w:w="0" w:type="auto"/>
        <w:tblLayout w:type="fixed"/>
        <w:tblCellMar>
          <w:left w:w="62" w:type="dxa"/>
          <w:right w:w="62" w:type="dxa"/>
        </w:tblCellMar>
        <w:tblLook w:val="0000"/>
      </w:tblPr>
      <w:tblGrid>
        <w:gridCol w:w="2611"/>
        <w:gridCol w:w="5911"/>
      </w:tblGrid>
      <w:tr w:rsidTr="00D64399">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1E4E85" w:rsidP="001E4E85">
            <w:pPr>
              <w:pStyle w:val="BodyText"/>
            </w:pPr>
            <w:r w:rsidRPr="001E4E85">
              <w:t>Nil</w:t>
            </w:r>
          </w:p>
        </w:tc>
      </w:tr>
    </w:tbl>
    <w:p w:rsidR="00D64399" w:rsidP="001E4E85">
      <w:pPr>
        <w:pStyle w:val="BodyText"/>
      </w:pPr>
    </w:p>
    <w:p w:rsidR="00D64399" w:rsidP="001E4E85">
      <w:pPr>
        <w:pStyle w:val="BodyText"/>
      </w:pPr>
    </w:p>
    <w:p w:rsidR="00000000" w:rsidRPr="001E4E85" w:rsidP="001E4E85">
      <w:pPr>
        <w:pStyle w:val="Heading1"/>
      </w:pPr>
      <w:bookmarkStart w:id="14" w:name="O_197190"/>
      <w:bookmarkEnd w:id="14"/>
      <w:r w:rsidRPr="001E4E85">
        <w:t>Functional area</w:t>
      </w:r>
    </w:p>
    <w:tbl>
      <w:tblPr>
        <w:tblW w:w="0" w:type="auto"/>
        <w:tblLayout w:type="fixed"/>
        <w:tblCellMar>
          <w:left w:w="62" w:type="dxa"/>
          <w:right w:w="62" w:type="dxa"/>
        </w:tblCellMar>
        <w:tblLook w:val="0000"/>
      </w:tblPr>
      <w:tblGrid>
        <w:gridCol w:w="2729"/>
        <w:gridCol w:w="5793"/>
      </w:tblGrid>
      <w:tr w:rsidTr="00D64399">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1E4E85">
            <w:pPr>
              <w:pStyle w:val="BodyText"/>
              <w:rPr>
                <w:lang w:val="en-NZ"/>
              </w:rPr>
            </w:pPr>
            <w:r w:rsidRPr="001E4E85">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1E4E85" w:rsidP="001E4E85">
            <w:pPr>
              <w:pStyle w:val="BodyText"/>
            </w:pPr>
          </w:p>
        </w:tc>
      </w:tr>
    </w:tbl>
    <w:p w:rsidR="00D64399" w:rsidP="001E4E85">
      <w:pPr>
        <w:pStyle w:val="BodyText"/>
      </w:pPr>
    </w:p>
    <w:p w:rsidR="00D64399" w:rsidP="001E4E85">
      <w:pPr>
        <w:pStyle w:val="BodyText"/>
      </w:pPr>
    </w:p>
    <w:p w:rsidR="00000000" w:rsidRPr="001E4E85" w:rsidP="001E4E85"/>
    <w:sectPr w:rsidSect="001E4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4399" w:rsidP="00D64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99" w:rsidP="001E4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64399" w:rsidP="001E4E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64399" w:rsidP="001E4E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4399" w:rsidP="00D643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399" w:rsidP="001E4E85">
    <w:pPr>
      <w:pStyle w:val="Header"/>
      <w:framePr w:wrap="around"/>
    </w:pPr>
    <w:r>
      <w:fldChar w:fldCharType="begin"/>
    </w:r>
    <w:r>
      <w:instrText xml:space="preserve"> TITLE   \* MERGEFORMAT </w:instrText>
    </w:r>
    <w:r>
      <w:fldChar w:fldCharType="separate"/>
    </w:r>
    <w:r>
      <w:t>CPCCBC6015A Apply building surveying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4399" w:rsidP="001E4E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CE2A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FAF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526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E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4E85"/>
    <w:pPr>
      <w:spacing w:before="360" w:after="60"/>
      <w:outlineLvl w:val="0"/>
    </w:pPr>
    <w:rPr>
      <w:sz w:val="32"/>
    </w:rPr>
  </w:style>
  <w:style w:type="paragraph" w:styleId="Heading2">
    <w:name w:val="heading 2"/>
    <w:basedOn w:val="HeadingBase"/>
    <w:next w:val="BodyText"/>
    <w:link w:val="Heading2Char"/>
    <w:qFormat/>
    <w:rsid w:val="001E4E85"/>
    <w:pPr>
      <w:keepLines/>
      <w:spacing w:before="240" w:after="120"/>
      <w:outlineLvl w:val="1"/>
    </w:pPr>
    <w:rPr>
      <w:sz w:val="28"/>
      <w:szCs w:val="40"/>
    </w:rPr>
  </w:style>
  <w:style w:type="paragraph" w:styleId="Heading3">
    <w:name w:val="heading 3"/>
    <w:basedOn w:val="HeadingBase"/>
    <w:next w:val="BodyText"/>
    <w:link w:val="Heading3Char"/>
    <w:qFormat/>
    <w:rsid w:val="001E4E85"/>
    <w:pPr>
      <w:spacing w:before="180" w:after="120"/>
      <w:outlineLvl w:val="2"/>
    </w:pPr>
    <w:rPr>
      <w:spacing w:val="-10"/>
      <w:kern w:val="32"/>
    </w:rPr>
  </w:style>
  <w:style w:type="paragraph" w:styleId="Heading4">
    <w:name w:val="heading 4"/>
    <w:basedOn w:val="HeadingBase"/>
    <w:next w:val="BodyText"/>
    <w:link w:val="Heading4Char"/>
    <w:qFormat/>
    <w:rsid w:val="001E4E85"/>
    <w:pPr>
      <w:spacing w:before="160" w:after="120"/>
      <w:outlineLvl w:val="3"/>
    </w:pPr>
    <w:rPr>
      <w:sz w:val="22"/>
    </w:rPr>
  </w:style>
  <w:style w:type="paragraph" w:styleId="Heading5">
    <w:name w:val="heading 5"/>
    <w:basedOn w:val="HeadingBase"/>
    <w:next w:val="Normal"/>
    <w:link w:val="Heading5Char"/>
    <w:qFormat/>
    <w:rsid w:val="001E4E85"/>
    <w:pPr>
      <w:spacing w:before="80"/>
      <w:outlineLvl w:val="4"/>
    </w:pPr>
    <w:rPr>
      <w:color w:val="918585"/>
      <w:sz w:val="20"/>
    </w:rPr>
  </w:style>
  <w:style w:type="paragraph" w:styleId="Heading6">
    <w:name w:val="heading 6"/>
    <w:basedOn w:val="HeadingBase"/>
    <w:next w:val="Normal"/>
    <w:link w:val="Heading6Char"/>
    <w:qFormat/>
    <w:rsid w:val="001E4E85"/>
    <w:pPr>
      <w:spacing w:before="60"/>
      <w:outlineLvl w:val="5"/>
    </w:pPr>
    <w:rPr>
      <w:color w:val="918585"/>
      <w:sz w:val="20"/>
    </w:rPr>
  </w:style>
  <w:style w:type="paragraph" w:styleId="Heading7">
    <w:name w:val="heading 7"/>
    <w:basedOn w:val="Normal"/>
    <w:next w:val="Normal"/>
    <w:link w:val="Heading7Char"/>
    <w:qFormat/>
    <w:rsid w:val="001E4E85"/>
    <w:pPr>
      <w:ind w:left="720"/>
      <w:outlineLvl w:val="6"/>
    </w:pPr>
    <w:rPr>
      <w:i/>
    </w:rPr>
  </w:style>
  <w:style w:type="paragraph" w:styleId="Heading8">
    <w:name w:val="heading 8"/>
    <w:basedOn w:val="Normal"/>
    <w:next w:val="Normal"/>
    <w:link w:val="Heading8Char"/>
    <w:qFormat/>
    <w:rsid w:val="001E4E85"/>
    <w:pPr>
      <w:ind w:left="720"/>
      <w:outlineLvl w:val="7"/>
    </w:pPr>
    <w:rPr>
      <w:i/>
    </w:rPr>
  </w:style>
  <w:style w:type="paragraph" w:styleId="Heading9">
    <w:name w:val="heading 9"/>
    <w:basedOn w:val="Normal"/>
    <w:next w:val="Normal"/>
    <w:link w:val="Heading9Char"/>
    <w:qFormat/>
    <w:rsid w:val="001E4E85"/>
    <w:pPr>
      <w:ind w:left="720"/>
      <w:outlineLvl w:val="8"/>
    </w:pPr>
    <w:rPr>
      <w:i/>
    </w:rPr>
  </w:style>
  <w:style w:type="character" w:default="1" w:styleId="DefaultParagraphFont">
    <w:name w:val="Default Paragraph Font"/>
    <w:uiPriority w:val="1"/>
    <w:unhideWhenUsed/>
    <w:rsid w:val="001E4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E85"/>
  </w:style>
  <w:style w:type="character" w:customStyle="1" w:styleId="Heading1Char">
    <w:name w:val="Heading 1 Char"/>
    <w:link w:val="Heading1"/>
    <w:rsid w:val="001E4E85"/>
    <w:rPr>
      <w:rFonts w:ascii="Times New Roman" w:eastAsia="Times New Roman" w:hAnsi="Times New Roman" w:cs="Times New Roman"/>
      <w:b/>
      <w:sz w:val="32"/>
      <w:szCs w:val="20"/>
      <w:lang w:eastAsia="en-US"/>
    </w:rPr>
  </w:style>
  <w:style w:type="paragraph" w:styleId="BodyText">
    <w:name w:val="Body Text"/>
    <w:basedOn w:val="Normal"/>
    <w:link w:val="BodyTextChar"/>
    <w:rsid w:val="001E4E85"/>
    <w:pPr>
      <w:spacing w:before="120" w:after="120"/>
      <w:contextualSpacing/>
    </w:pPr>
    <w:rPr>
      <w:rFonts w:ascii="Times New Roman" w:hAnsi="Times New Roman"/>
      <w:sz w:val="24"/>
      <w:szCs w:val="22"/>
    </w:rPr>
  </w:style>
  <w:style w:type="character" w:customStyle="1" w:styleId="BodyTextChar">
    <w:name w:val="Body Text Char"/>
    <w:link w:val="BodyText"/>
    <w:rsid w:val="001E4E85"/>
    <w:rPr>
      <w:rFonts w:ascii="Times New Roman" w:eastAsia="Times New Roman" w:hAnsi="Times New Roman" w:cs="Times New Roman"/>
      <w:sz w:val="24"/>
      <w:lang w:val="en-US" w:eastAsia="en-US"/>
    </w:rPr>
  </w:style>
  <w:style w:type="paragraph" w:styleId="Footer">
    <w:name w:val="footer"/>
    <w:basedOn w:val="Normal"/>
    <w:link w:val="FooterChar"/>
    <w:rsid w:val="001E4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E4E85"/>
    <w:rPr>
      <w:rFonts w:ascii="Times New Roman" w:eastAsia="Times New Roman" w:hAnsi="Times New Roman" w:cs="Times New Roman"/>
      <w:sz w:val="16"/>
      <w:lang w:val="en-US" w:eastAsia="en-US"/>
    </w:rPr>
  </w:style>
  <w:style w:type="paragraph" w:styleId="List">
    <w:name w:val="List"/>
    <w:basedOn w:val="BodyText"/>
    <w:next w:val="BodyText"/>
    <w:rsid w:val="001E4E85"/>
    <w:pPr>
      <w:tabs>
        <w:tab w:val="left" w:pos="340"/>
      </w:tabs>
      <w:spacing w:before="60" w:after="60"/>
      <w:ind w:left="340" w:hanging="340"/>
    </w:pPr>
  </w:style>
  <w:style w:type="paragraph" w:styleId="ListBullet">
    <w:name w:val="List Bullet"/>
    <w:basedOn w:val="List"/>
    <w:rsid w:val="001E4E85"/>
    <w:pPr>
      <w:numPr>
        <w:numId w:val="14"/>
      </w:numPr>
      <w:tabs>
        <w:tab w:val="clear" w:pos="340"/>
      </w:tabs>
      <w:spacing w:before="40" w:after="40"/>
    </w:pPr>
  </w:style>
  <w:style w:type="character" w:customStyle="1" w:styleId="SpecialBold">
    <w:name w:val="Special Bold"/>
    <w:rsid w:val="001E4E85"/>
    <w:rPr>
      <w:b/>
      <w:spacing w:val="0"/>
    </w:rPr>
  </w:style>
  <w:style w:type="paragraph" w:styleId="ListBullet2">
    <w:name w:val="List Bullet 2"/>
    <w:basedOn w:val="List2"/>
    <w:rsid w:val="001E4E85"/>
    <w:pPr>
      <w:numPr>
        <w:numId w:val="15"/>
      </w:numPr>
      <w:tabs>
        <w:tab w:val="clear" w:pos="680"/>
      </w:tabs>
    </w:pPr>
  </w:style>
  <w:style w:type="paragraph" w:styleId="Header">
    <w:name w:val="header"/>
    <w:basedOn w:val="Normal"/>
    <w:link w:val="HeaderChar"/>
    <w:rsid w:val="001E4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E4E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4E85"/>
    <w:pPr>
      <w:spacing w:before="240" w:after="120"/>
      <w:outlineLvl w:val="0"/>
    </w:pPr>
    <w:rPr>
      <w:rFonts w:ascii="Times New Roman" w:hAnsi="Times New Roman"/>
      <w:b/>
      <w:sz w:val="28"/>
    </w:rPr>
  </w:style>
  <w:style w:type="paragraph" w:customStyle="1" w:styleId="AllowPageBreak">
    <w:name w:val="AllowPageBreak"/>
    <w:rsid w:val="001E4E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4E85"/>
    <w:pPr>
      <w:tabs>
        <w:tab w:val="left" w:pos="680"/>
      </w:tabs>
      <w:spacing w:before="60" w:after="60"/>
      <w:ind w:left="680" w:hanging="340"/>
    </w:pPr>
  </w:style>
  <w:style w:type="paragraph" w:styleId="ListBullet3">
    <w:name w:val="List Bullet 3"/>
    <w:basedOn w:val="List3"/>
    <w:rsid w:val="001E4E85"/>
    <w:pPr>
      <w:numPr>
        <w:numId w:val="3"/>
      </w:numPr>
      <w:tabs>
        <w:tab w:val="clear" w:pos="1021"/>
      </w:tabs>
      <w:ind w:left="1037" w:hanging="357"/>
    </w:pPr>
  </w:style>
  <w:style w:type="character" w:customStyle="1" w:styleId="BoldandItalics">
    <w:name w:val="Bold and Italics"/>
    <w:qFormat/>
    <w:rsid w:val="001E4E85"/>
    <w:rPr>
      <w:b/>
      <w:i/>
      <w:u w:val="none"/>
    </w:rPr>
  </w:style>
  <w:style w:type="character" w:customStyle="1" w:styleId="Heading2Char">
    <w:name w:val="Heading 2 Char"/>
    <w:link w:val="Heading2"/>
    <w:rsid w:val="001E4E85"/>
    <w:rPr>
      <w:rFonts w:ascii="Times New Roman" w:eastAsia="Times New Roman" w:hAnsi="Times New Roman" w:cs="Times New Roman"/>
      <w:b/>
      <w:sz w:val="28"/>
      <w:szCs w:val="40"/>
      <w:lang w:eastAsia="en-US"/>
    </w:rPr>
  </w:style>
  <w:style w:type="character" w:customStyle="1" w:styleId="Heading3Char">
    <w:name w:val="Heading 3 Char"/>
    <w:link w:val="Heading3"/>
    <w:rsid w:val="001E4E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E4E85"/>
    <w:rPr>
      <w:rFonts w:ascii="Times New Roman" w:eastAsia="Times New Roman" w:hAnsi="Times New Roman" w:cs="Times New Roman"/>
      <w:b/>
      <w:szCs w:val="20"/>
      <w:lang w:eastAsia="en-US"/>
    </w:rPr>
  </w:style>
  <w:style w:type="character" w:customStyle="1" w:styleId="Heading5Char">
    <w:name w:val="Heading 5 Char"/>
    <w:link w:val="Heading5"/>
    <w:rsid w:val="001E4E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E4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E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4E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4E85"/>
    <w:rPr>
      <w:rFonts w:ascii="Courier New" w:eastAsia="Times New Roman" w:hAnsi="Courier New" w:cs="Times New Roman"/>
      <w:i/>
      <w:szCs w:val="20"/>
      <w:lang w:val="en-US" w:eastAsia="en-US"/>
    </w:rPr>
  </w:style>
  <w:style w:type="paragraph" w:customStyle="1" w:styleId="HeadingBase">
    <w:name w:val="Heading Base"/>
    <w:rsid w:val="001E4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E85"/>
    <w:pPr>
      <w:tabs>
        <w:tab w:val="right" w:leader="dot" w:pos="9072"/>
      </w:tabs>
      <w:ind w:left="567"/>
    </w:pPr>
    <w:rPr>
      <w:szCs w:val="22"/>
    </w:rPr>
  </w:style>
  <w:style w:type="paragraph" w:customStyle="1" w:styleId="TOCBase">
    <w:name w:val="TOC Base"/>
    <w:rsid w:val="001E4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E85"/>
    <w:pPr>
      <w:tabs>
        <w:tab w:val="right" w:leader="dot" w:pos="9072"/>
      </w:tabs>
      <w:spacing w:before="40" w:after="40"/>
      <w:ind w:left="284"/>
    </w:pPr>
    <w:rPr>
      <w:rFonts w:ascii="Times New Roman" w:hAnsi="Times New Roman"/>
    </w:rPr>
  </w:style>
  <w:style w:type="paragraph" w:styleId="TOC1">
    <w:name w:val="toc 1"/>
    <w:basedOn w:val="TOCBase"/>
    <w:next w:val="Normal"/>
    <w:rsid w:val="001E4E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4E85"/>
    <w:pPr>
      <w:spacing w:before="5040"/>
      <w:jc w:val="center"/>
    </w:pPr>
    <w:rPr>
      <w:sz w:val="48"/>
      <w:szCs w:val="72"/>
      <w:lang w:val="en-US"/>
    </w:rPr>
  </w:style>
  <w:style w:type="character" w:customStyle="1" w:styleId="TitleChar">
    <w:name w:val="Title Char"/>
    <w:link w:val="Title"/>
    <w:rsid w:val="001E4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E85"/>
    <w:pPr>
      <w:tabs>
        <w:tab w:val="left" w:pos="3600"/>
        <w:tab w:val="left" w:pos="3958"/>
      </w:tabs>
    </w:pPr>
  </w:style>
  <w:style w:type="paragraph" w:customStyle="1" w:styleId="Note">
    <w:name w:val="Note"/>
    <w:basedOn w:val="BodyText"/>
    <w:rsid w:val="001E4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E85"/>
    <w:pPr>
      <w:framePr w:wrap="auto" w:hAnchor="text" w:y="6049"/>
    </w:pPr>
    <w:rPr>
      <w:color w:val="000000"/>
      <w:sz w:val="40"/>
    </w:rPr>
  </w:style>
  <w:style w:type="paragraph" w:customStyle="1" w:styleId="TOCTitle">
    <w:name w:val="TOCTitle"/>
    <w:basedOn w:val="Heading1"/>
    <w:rsid w:val="001E4E85"/>
    <w:pPr>
      <w:spacing w:after="240"/>
      <w:jc w:val="center"/>
      <w:outlineLvl w:val="9"/>
    </w:pPr>
    <w:rPr>
      <w:caps/>
    </w:rPr>
  </w:style>
  <w:style w:type="paragraph" w:customStyle="1" w:styleId="Version">
    <w:name w:val="Version"/>
    <w:rsid w:val="001E4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E85"/>
    <w:pPr>
      <w:keepNext w:val="0"/>
      <w:tabs>
        <w:tab w:val="right" w:pos="4176"/>
      </w:tabs>
      <w:ind w:left="198" w:hanging="198"/>
    </w:pPr>
    <w:rPr>
      <w:rFonts w:ascii="Garamond" w:hAnsi="Garamond"/>
    </w:rPr>
  </w:style>
  <w:style w:type="paragraph" w:styleId="IndexHeading">
    <w:name w:val="index heading"/>
    <w:basedOn w:val="Normal"/>
    <w:next w:val="Index1"/>
    <w:semiHidden/>
    <w:rsid w:val="001E4E85"/>
    <w:pPr>
      <w:spacing w:before="120" w:after="120"/>
    </w:pPr>
    <w:rPr>
      <w:rFonts w:ascii="Arial" w:hAnsi="Arial"/>
      <w:b/>
      <w:color w:val="918585"/>
      <w:sz w:val="24"/>
    </w:rPr>
  </w:style>
  <w:style w:type="paragraph" w:customStyle="1" w:styleId="Chapter">
    <w:name w:val="Chapter"/>
    <w:basedOn w:val="Normal"/>
    <w:rsid w:val="001E4E85"/>
    <w:pPr>
      <w:spacing w:before="240"/>
    </w:pPr>
    <w:rPr>
      <w:rFonts w:ascii="Times New Roman" w:hAnsi="Times New Roman"/>
      <w:smallCaps/>
      <w:spacing w:val="80"/>
      <w:sz w:val="28"/>
    </w:rPr>
  </w:style>
  <w:style w:type="paragraph" w:customStyle="1" w:styleId="InChapter">
    <w:name w:val="InChapter"/>
    <w:basedOn w:val="Heading3"/>
    <w:rsid w:val="001E4E85"/>
    <w:pPr>
      <w:spacing w:after="240"/>
      <w:outlineLvl w:val="9"/>
    </w:pPr>
    <w:rPr>
      <w:noProof/>
    </w:rPr>
  </w:style>
  <w:style w:type="paragraph" w:styleId="Index2">
    <w:name w:val="index 2"/>
    <w:basedOn w:val="Normal"/>
    <w:next w:val="Normal"/>
    <w:semiHidden/>
    <w:rsid w:val="001E4E85"/>
    <w:pPr>
      <w:tabs>
        <w:tab w:val="right" w:pos="4176"/>
      </w:tabs>
      <w:ind w:left="568" w:hanging="284"/>
    </w:pPr>
    <w:rPr>
      <w:rFonts w:ascii="Garamond" w:hAnsi="Garamond"/>
    </w:rPr>
  </w:style>
  <w:style w:type="paragraph" w:customStyle="1" w:styleId="Byline">
    <w:name w:val="Byline"/>
    <w:rsid w:val="001E4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E85"/>
    <w:pPr>
      <w:tabs>
        <w:tab w:val="clear" w:pos="3600"/>
        <w:tab w:val="clear" w:pos="3958"/>
      </w:tabs>
      <w:jc w:val="right"/>
    </w:pPr>
  </w:style>
  <w:style w:type="character" w:styleId="Emphasis">
    <w:name w:val="Emphasis"/>
    <w:qFormat/>
    <w:rsid w:val="001E4E85"/>
    <w:rPr>
      <w:i/>
    </w:rPr>
  </w:style>
  <w:style w:type="paragraph" w:styleId="Caption">
    <w:name w:val="caption"/>
    <w:basedOn w:val="BodyText"/>
    <w:next w:val="Normal"/>
    <w:qFormat/>
    <w:rsid w:val="001E4E85"/>
    <w:pPr>
      <w:framePr w:w="2268" w:hSpace="181" w:vSpace="181" w:wrap="around" w:vAnchor="text" w:hAnchor="page" w:x="1135" w:y="285" w:anchorLock="1"/>
    </w:pPr>
    <w:rPr>
      <w:i/>
    </w:rPr>
  </w:style>
  <w:style w:type="paragraph" w:customStyle="1" w:styleId="MiniTOCTitle">
    <w:name w:val="MiniTOCTitle"/>
    <w:basedOn w:val="Heading4"/>
    <w:rsid w:val="001E4E85"/>
    <w:pPr>
      <w:spacing w:before="240"/>
      <w:outlineLvl w:val="9"/>
    </w:pPr>
    <w:rPr>
      <w:noProof/>
      <w:sz w:val="24"/>
    </w:rPr>
  </w:style>
  <w:style w:type="paragraph" w:customStyle="1" w:styleId="MiniTOCItem">
    <w:name w:val="MiniTOCItem"/>
    <w:basedOn w:val="ListBullet"/>
    <w:rsid w:val="001E4E85"/>
    <w:pPr>
      <w:numPr>
        <w:numId w:val="0"/>
      </w:numPr>
      <w:tabs>
        <w:tab w:val="right" w:leader="dot" w:pos="6521"/>
      </w:tabs>
      <w:spacing w:before="0" w:after="0"/>
    </w:pPr>
  </w:style>
  <w:style w:type="paragraph" w:customStyle="1" w:styleId="TOFTitle">
    <w:name w:val="TOFTitle"/>
    <w:basedOn w:val="TOCTitle"/>
    <w:rsid w:val="001E4E85"/>
  </w:style>
  <w:style w:type="paragraph" w:styleId="TableofFigures">
    <w:name w:val="table of figures"/>
    <w:basedOn w:val="Normal"/>
    <w:next w:val="Normal"/>
    <w:semiHidden/>
    <w:rsid w:val="001E4E85"/>
    <w:pPr>
      <w:tabs>
        <w:tab w:val="right" w:leader="dot" w:pos="9072"/>
      </w:tabs>
      <w:ind w:left="970" w:hanging="403"/>
    </w:pPr>
    <w:rPr>
      <w:rFonts w:ascii="Times New Roman" w:hAnsi="Times New Roman"/>
      <w:b/>
    </w:rPr>
  </w:style>
  <w:style w:type="paragraph" w:styleId="ListNumber">
    <w:name w:val="List Number"/>
    <w:basedOn w:val="List"/>
    <w:rsid w:val="001E4E85"/>
    <w:pPr>
      <w:numPr>
        <w:numId w:val="12"/>
      </w:numPr>
    </w:pPr>
  </w:style>
  <w:style w:type="character" w:customStyle="1" w:styleId="WingdingSymbols">
    <w:name w:val="Wingding Symbols"/>
    <w:rsid w:val="001E4E85"/>
    <w:rPr>
      <w:rFonts w:ascii="Wingdings" w:hAnsi="Wingdings"/>
    </w:rPr>
  </w:style>
  <w:style w:type="paragraph" w:customStyle="1" w:styleId="TableHeading">
    <w:name w:val="Table Heading"/>
    <w:basedOn w:val="HeadingBase"/>
    <w:rsid w:val="001E4E85"/>
    <w:pPr>
      <w:keepLines/>
      <w:pBdr>
        <w:bottom w:val="single" w:sz="6" w:space="1" w:color="918585"/>
      </w:pBdr>
      <w:spacing w:before="240"/>
    </w:pPr>
  </w:style>
  <w:style w:type="character" w:customStyle="1" w:styleId="HotSpot">
    <w:name w:val="HotSpot"/>
    <w:rsid w:val="001E4E85"/>
    <w:rPr>
      <w:color w:val="0033CC"/>
      <w:u w:val="none"/>
    </w:rPr>
  </w:style>
  <w:style w:type="paragraph" w:customStyle="1" w:styleId="BodyTextRight">
    <w:name w:val="Body Text Right"/>
    <w:basedOn w:val="BodyText"/>
    <w:rsid w:val="001E4E85"/>
    <w:pPr>
      <w:spacing w:before="0" w:after="0"/>
      <w:jc w:val="right"/>
    </w:pPr>
  </w:style>
  <w:style w:type="paragraph" w:styleId="Index3">
    <w:name w:val="index 3"/>
    <w:basedOn w:val="ListNumber2"/>
    <w:next w:val="Normal"/>
    <w:semiHidden/>
    <w:rsid w:val="001E4E85"/>
    <w:pPr>
      <w:numPr>
        <w:numId w:val="0"/>
      </w:numPr>
      <w:tabs>
        <w:tab w:val="right" w:leader="dot" w:pos="4176"/>
      </w:tabs>
    </w:pPr>
  </w:style>
  <w:style w:type="paragraph" w:styleId="ListNumber2">
    <w:name w:val="List Number 2"/>
    <w:basedOn w:val="List2"/>
    <w:rsid w:val="001E4E85"/>
    <w:pPr>
      <w:numPr>
        <w:numId w:val="11"/>
      </w:numPr>
      <w:tabs>
        <w:tab w:val="clear" w:pos="1060"/>
      </w:tabs>
    </w:pPr>
  </w:style>
  <w:style w:type="paragraph" w:customStyle="1" w:styleId="MarginNote">
    <w:name w:val="Margin Note"/>
    <w:basedOn w:val="BodyText"/>
    <w:rsid w:val="001E4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E4E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4E85"/>
    <w:rPr>
      <w:sz w:val="32"/>
    </w:rPr>
  </w:style>
  <w:style w:type="paragraph" w:customStyle="1" w:styleId="HeadingProcedure">
    <w:name w:val="Heading Procedure"/>
    <w:basedOn w:val="HeadingBase"/>
    <w:next w:val="Normal"/>
    <w:rsid w:val="001E4E85"/>
    <w:pPr>
      <w:tabs>
        <w:tab w:val="left" w:pos="0"/>
      </w:tabs>
      <w:spacing w:before="120" w:after="60"/>
    </w:pPr>
    <w:rPr>
      <w:i/>
      <w:color w:val="918585"/>
      <w:sz w:val="22"/>
    </w:rPr>
  </w:style>
  <w:style w:type="paragraph" w:customStyle="1" w:styleId="TableBodyText">
    <w:name w:val="Table Body Text"/>
    <w:basedOn w:val="BodyText"/>
    <w:rsid w:val="001E4E85"/>
    <w:pPr>
      <w:spacing w:before="60" w:after="60"/>
    </w:pPr>
  </w:style>
  <w:style w:type="paragraph" w:styleId="ListContinue">
    <w:name w:val="List Continue"/>
    <w:basedOn w:val="List"/>
    <w:rsid w:val="001E4E85"/>
    <w:pPr>
      <w:ind w:firstLine="0"/>
    </w:pPr>
  </w:style>
  <w:style w:type="paragraph" w:customStyle="1" w:styleId="ListNote">
    <w:name w:val="List Note"/>
    <w:basedOn w:val="List"/>
    <w:rsid w:val="001E4E85"/>
    <w:pPr>
      <w:pBdr>
        <w:top w:val="single" w:sz="6" w:space="2" w:color="918585"/>
        <w:bottom w:val="single" w:sz="6" w:space="2" w:color="918585"/>
      </w:pBdr>
      <w:tabs>
        <w:tab w:val="left" w:pos="1021"/>
      </w:tabs>
      <w:ind w:firstLine="0"/>
    </w:pPr>
  </w:style>
  <w:style w:type="paragraph" w:customStyle="1" w:styleId="Warning">
    <w:name w:val="Warning"/>
    <w:basedOn w:val="BodyText"/>
    <w:rsid w:val="001E4E85"/>
    <w:pPr>
      <w:shd w:val="clear" w:color="auto" w:fill="D9D9D9"/>
      <w:tabs>
        <w:tab w:val="left" w:pos="992"/>
      </w:tabs>
      <w:ind w:left="119" w:right="119"/>
    </w:pPr>
    <w:rPr>
      <w:sz w:val="20"/>
    </w:rPr>
  </w:style>
  <w:style w:type="paragraph" w:customStyle="1" w:styleId="MarginIcons">
    <w:name w:val="Margin Icons"/>
    <w:basedOn w:val="BodyText"/>
    <w:rsid w:val="001E4E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E4E85"/>
    <w:rPr>
      <w:rFonts w:ascii="Courier New" w:hAnsi="Courier New"/>
    </w:rPr>
  </w:style>
  <w:style w:type="paragraph" w:customStyle="1" w:styleId="NoteBullet">
    <w:name w:val="Note Bullet"/>
    <w:basedOn w:val="Note"/>
    <w:rsid w:val="001E4E85"/>
    <w:pPr>
      <w:tabs>
        <w:tab w:val="clear" w:pos="680"/>
      </w:tabs>
      <w:spacing w:before="60" w:after="60"/>
    </w:pPr>
  </w:style>
  <w:style w:type="paragraph" w:customStyle="1" w:styleId="SubHeading2">
    <w:name w:val="SubHeading2"/>
    <w:basedOn w:val="HeadingBase"/>
    <w:rsid w:val="001E4E85"/>
    <w:pPr>
      <w:spacing w:before="240" w:after="60"/>
    </w:pPr>
    <w:rPr>
      <w:sz w:val="20"/>
    </w:rPr>
  </w:style>
  <w:style w:type="paragraph" w:customStyle="1" w:styleId="SubHeading1">
    <w:name w:val="SubHeading1"/>
    <w:basedOn w:val="HeadingBase"/>
    <w:rsid w:val="001E4E85"/>
    <w:pPr>
      <w:spacing w:before="240" w:after="60"/>
    </w:pPr>
    <w:rPr>
      <w:color w:val="918585"/>
      <w:sz w:val="22"/>
    </w:rPr>
  </w:style>
  <w:style w:type="paragraph" w:customStyle="1" w:styleId="SideHeading">
    <w:name w:val="Side Heading"/>
    <w:basedOn w:val="HeadingBase"/>
    <w:rsid w:val="001E4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E85"/>
    <w:pPr>
      <w:numPr>
        <w:numId w:val="13"/>
      </w:numPr>
    </w:pPr>
  </w:style>
  <w:style w:type="paragraph" w:styleId="PlainText">
    <w:name w:val="Plain Text"/>
    <w:basedOn w:val="Normal"/>
    <w:link w:val="PlainTextChar"/>
    <w:rsid w:val="001E4E85"/>
    <w:rPr>
      <w:sz w:val="20"/>
    </w:rPr>
  </w:style>
  <w:style w:type="character" w:customStyle="1" w:styleId="PlainTextChar">
    <w:name w:val="Plain Text Char"/>
    <w:basedOn w:val="DefaultParagraphFont"/>
    <w:link w:val="PlainText"/>
    <w:rsid w:val="001E4E85"/>
    <w:rPr>
      <w:rFonts w:ascii="Courier New" w:eastAsia="Times New Roman" w:hAnsi="Courier New" w:cs="Times New Roman"/>
      <w:sz w:val="20"/>
      <w:szCs w:val="20"/>
      <w:lang w:val="en-US" w:eastAsia="en-US"/>
    </w:rPr>
  </w:style>
  <w:style w:type="character" w:customStyle="1" w:styleId="MenuOption">
    <w:name w:val="Menu Option"/>
    <w:rsid w:val="001E4E85"/>
    <w:rPr>
      <w:b/>
      <w:smallCaps/>
    </w:rPr>
  </w:style>
  <w:style w:type="paragraph" w:customStyle="1" w:styleId="TableListNumber">
    <w:name w:val="Table List Number"/>
    <w:basedOn w:val="ListNumber"/>
    <w:rsid w:val="001E4E85"/>
    <w:pPr>
      <w:numPr>
        <w:numId w:val="0"/>
      </w:numPr>
    </w:pPr>
  </w:style>
  <w:style w:type="paragraph" w:styleId="TOC4">
    <w:name w:val="toc 4"/>
    <w:basedOn w:val="TOCBase"/>
    <w:next w:val="Normal"/>
    <w:semiHidden/>
    <w:rsid w:val="001E4E85"/>
    <w:pPr>
      <w:tabs>
        <w:tab w:val="right" w:leader="dot" w:pos="9071"/>
      </w:tabs>
      <w:ind w:left="1701"/>
    </w:pPr>
  </w:style>
  <w:style w:type="paragraph" w:customStyle="1" w:styleId="ListAlpha">
    <w:name w:val="List Alpha"/>
    <w:basedOn w:val="List"/>
    <w:rsid w:val="001E4E85"/>
    <w:pPr>
      <w:numPr>
        <w:numId w:val="10"/>
      </w:numPr>
    </w:pPr>
  </w:style>
  <w:style w:type="paragraph" w:customStyle="1" w:styleId="ListAlpha2">
    <w:name w:val="List Alpha 2"/>
    <w:basedOn w:val="List2"/>
    <w:rsid w:val="001E4E85"/>
    <w:pPr>
      <w:numPr>
        <w:numId w:val="9"/>
      </w:numPr>
    </w:pPr>
  </w:style>
  <w:style w:type="paragraph" w:styleId="List3">
    <w:name w:val="List 3"/>
    <w:basedOn w:val="BodyText"/>
    <w:rsid w:val="001E4E85"/>
    <w:pPr>
      <w:tabs>
        <w:tab w:val="left" w:pos="1021"/>
      </w:tabs>
      <w:spacing w:before="60" w:after="60"/>
      <w:ind w:left="1020" w:hanging="340"/>
    </w:pPr>
  </w:style>
  <w:style w:type="paragraph" w:styleId="List4">
    <w:name w:val="List 4"/>
    <w:basedOn w:val="BodyText"/>
    <w:rsid w:val="001E4E85"/>
    <w:pPr>
      <w:tabs>
        <w:tab w:val="left" w:pos="1361"/>
      </w:tabs>
      <w:spacing w:before="60" w:after="60"/>
      <w:ind w:left="1361" w:hanging="340"/>
    </w:pPr>
  </w:style>
  <w:style w:type="paragraph" w:styleId="List5">
    <w:name w:val="List 5"/>
    <w:basedOn w:val="BodyText"/>
    <w:rsid w:val="001E4E85"/>
    <w:pPr>
      <w:tabs>
        <w:tab w:val="left" w:pos="1701"/>
      </w:tabs>
      <w:spacing w:before="60" w:after="60"/>
      <w:ind w:left="1701" w:hanging="340"/>
    </w:pPr>
  </w:style>
  <w:style w:type="paragraph" w:styleId="ListBullet4">
    <w:name w:val="List Bullet 4"/>
    <w:basedOn w:val="List4"/>
    <w:rsid w:val="001E4E85"/>
    <w:pPr>
      <w:numPr>
        <w:numId w:val="4"/>
      </w:numPr>
    </w:pPr>
  </w:style>
  <w:style w:type="paragraph" w:styleId="ListBullet5">
    <w:name w:val="List Bullet 5"/>
    <w:basedOn w:val="List5"/>
    <w:rsid w:val="001E4E85"/>
    <w:pPr>
      <w:numPr>
        <w:numId w:val="5"/>
      </w:numPr>
    </w:pPr>
  </w:style>
  <w:style w:type="paragraph" w:styleId="ListContinue2">
    <w:name w:val="List Continue 2"/>
    <w:basedOn w:val="List2"/>
    <w:rsid w:val="001E4E85"/>
    <w:pPr>
      <w:ind w:firstLine="0"/>
    </w:pPr>
  </w:style>
  <w:style w:type="paragraph" w:styleId="ListContinue3">
    <w:name w:val="List Continue 3"/>
    <w:basedOn w:val="List3"/>
    <w:rsid w:val="001E4E85"/>
    <w:pPr>
      <w:ind w:left="1021" w:firstLine="0"/>
    </w:pPr>
  </w:style>
  <w:style w:type="paragraph" w:styleId="ListContinue4">
    <w:name w:val="List Continue 4"/>
    <w:basedOn w:val="List4"/>
    <w:rsid w:val="001E4E85"/>
    <w:pPr>
      <w:ind w:firstLine="0"/>
    </w:pPr>
  </w:style>
  <w:style w:type="paragraph" w:styleId="ListContinue5">
    <w:name w:val="List Continue 5"/>
    <w:basedOn w:val="List5"/>
    <w:rsid w:val="001E4E85"/>
    <w:pPr>
      <w:ind w:firstLine="0"/>
    </w:pPr>
  </w:style>
  <w:style w:type="paragraph" w:styleId="ListNumber3">
    <w:name w:val="List Number 3"/>
    <w:basedOn w:val="List3"/>
    <w:rsid w:val="001E4E85"/>
    <w:pPr>
      <w:numPr>
        <w:numId w:val="6"/>
      </w:numPr>
    </w:pPr>
  </w:style>
  <w:style w:type="paragraph" w:styleId="ListNumber4">
    <w:name w:val="List Number 4"/>
    <w:basedOn w:val="List4"/>
    <w:rsid w:val="001E4E85"/>
    <w:pPr>
      <w:numPr>
        <w:numId w:val="7"/>
      </w:numPr>
    </w:pPr>
  </w:style>
  <w:style w:type="paragraph" w:styleId="ListNumber5">
    <w:name w:val="List Number 5"/>
    <w:basedOn w:val="List5"/>
    <w:rsid w:val="001E4E85"/>
    <w:pPr>
      <w:numPr>
        <w:numId w:val="8"/>
      </w:numPr>
    </w:pPr>
  </w:style>
  <w:style w:type="paragraph" w:styleId="BlockText">
    <w:name w:val="Block Text"/>
    <w:basedOn w:val="Normal"/>
    <w:rsid w:val="001E4E85"/>
    <w:pPr>
      <w:spacing w:after="120"/>
      <w:ind w:left="1440" w:right="1440"/>
    </w:pPr>
  </w:style>
  <w:style w:type="character" w:customStyle="1" w:styleId="Subscript">
    <w:name w:val="Subscript"/>
    <w:rsid w:val="001E4E85"/>
    <w:rPr>
      <w:sz w:val="16"/>
      <w:vertAlign w:val="subscript"/>
    </w:rPr>
  </w:style>
  <w:style w:type="character" w:customStyle="1" w:styleId="Superscript">
    <w:name w:val="Superscript"/>
    <w:rsid w:val="001E4E85"/>
    <w:rPr>
      <w:sz w:val="16"/>
      <w:vertAlign w:val="superscript"/>
    </w:rPr>
  </w:style>
  <w:style w:type="character" w:customStyle="1" w:styleId="Symbols">
    <w:name w:val="Symbols"/>
    <w:rsid w:val="001E4E85"/>
    <w:rPr>
      <w:rFonts w:ascii="Symbol" w:hAnsi="Symbol"/>
    </w:rPr>
  </w:style>
  <w:style w:type="character" w:customStyle="1" w:styleId="MenuOptions">
    <w:name w:val="Menu Options"/>
    <w:rsid w:val="001E4E85"/>
    <w:rPr>
      <w:rFonts w:ascii="Arial Narrow" w:hAnsi="Arial Narrow"/>
      <w:smallCaps/>
    </w:rPr>
  </w:style>
  <w:style w:type="character" w:customStyle="1" w:styleId="Buttons">
    <w:name w:val="Buttons"/>
    <w:rsid w:val="001E4E85"/>
    <w:rPr>
      <w:b/>
    </w:rPr>
  </w:style>
  <w:style w:type="character" w:customStyle="1" w:styleId="Underlined">
    <w:name w:val="Underlined"/>
    <w:rsid w:val="001E4E85"/>
    <w:rPr>
      <w:u w:val="single"/>
    </w:rPr>
  </w:style>
  <w:style w:type="paragraph" w:customStyle="1" w:styleId="TableBodyTextRight">
    <w:name w:val="Table Body Text Right"/>
    <w:basedOn w:val="TableBodyText"/>
    <w:rsid w:val="001E4E85"/>
    <w:pPr>
      <w:widowControl w:val="0"/>
      <w:autoSpaceDE w:val="0"/>
      <w:autoSpaceDN w:val="0"/>
      <w:adjustRightInd w:val="0"/>
      <w:jc w:val="right"/>
    </w:pPr>
    <w:rPr>
      <w:rFonts w:cs="Arial"/>
      <w:szCs w:val="18"/>
    </w:rPr>
  </w:style>
  <w:style w:type="paragraph" w:customStyle="1" w:styleId="CopyrightText">
    <w:name w:val="Copyright Text"/>
    <w:basedOn w:val="BodyText"/>
    <w:rsid w:val="001E4E85"/>
    <w:rPr>
      <w:sz w:val="18"/>
    </w:rPr>
  </w:style>
  <w:style w:type="paragraph" w:customStyle="1" w:styleId="BodySmallRight">
    <w:name w:val="Body Small Right"/>
    <w:basedOn w:val="BodyTextRight"/>
    <w:rsid w:val="001E4E85"/>
    <w:rPr>
      <w:sz w:val="18"/>
      <w:szCs w:val="18"/>
    </w:rPr>
  </w:style>
  <w:style w:type="paragraph" w:customStyle="1" w:styleId="MarginEdition">
    <w:name w:val="Margin Edition"/>
    <w:basedOn w:val="MarginNote"/>
    <w:rsid w:val="001E4E85"/>
    <w:pPr>
      <w:spacing w:before="0" w:after="0"/>
    </w:pPr>
    <w:rPr>
      <w:rFonts w:ascii="Times New Roman" w:hAnsi="Times New Roman"/>
      <w:color w:val="999999"/>
    </w:rPr>
  </w:style>
  <w:style w:type="paragraph" w:customStyle="1" w:styleId="Spacer">
    <w:name w:val="Spacer"/>
    <w:basedOn w:val="Normal"/>
    <w:rsid w:val="001E4E85"/>
    <w:rPr>
      <w:sz w:val="2"/>
      <w:szCs w:val="2"/>
    </w:rPr>
  </w:style>
  <w:style w:type="character" w:customStyle="1" w:styleId="Small">
    <w:name w:val="Small"/>
    <w:rsid w:val="001E4E85"/>
    <w:rPr>
      <w:sz w:val="16"/>
    </w:rPr>
  </w:style>
  <w:style w:type="paragraph" w:customStyle="1" w:styleId="WideTable">
    <w:name w:val="Wide Table"/>
    <w:basedOn w:val="Normal"/>
    <w:rsid w:val="001E4E85"/>
    <w:pPr>
      <w:ind w:left="-1418"/>
    </w:pPr>
    <w:rPr>
      <w:sz w:val="2"/>
      <w:szCs w:val="2"/>
    </w:rPr>
  </w:style>
  <w:style w:type="character" w:styleId="PageNumber">
    <w:name w:val="page number"/>
    <w:rsid w:val="001E4E85"/>
  </w:style>
  <w:style w:type="paragraph" w:styleId="Quote">
    <w:name w:val="Quote"/>
    <w:basedOn w:val="Heading1"/>
    <w:link w:val="QuoteChar"/>
    <w:qFormat/>
    <w:rsid w:val="001E4E85"/>
    <w:rPr>
      <w:b w:val="0"/>
      <w:sz w:val="72"/>
      <w:szCs w:val="72"/>
      <w:lang w:val="en-NZ"/>
    </w:rPr>
  </w:style>
  <w:style w:type="character" w:customStyle="1" w:styleId="QuoteChar">
    <w:name w:val="Quote Char"/>
    <w:link w:val="Quote"/>
    <w:rsid w:val="001E4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E85"/>
    <w:pPr>
      <w:pageBreakBefore/>
    </w:pPr>
  </w:style>
  <w:style w:type="paragraph" w:customStyle="1" w:styleId="Border">
    <w:name w:val="Border"/>
    <w:basedOn w:val="Normal"/>
    <w:qFormat/>
    <w:rsid w:val="001E4E85"/>
    <w:pPr>
      <w:pBdr>
        <w:top w:val="single" w:sz="18" w:space="1" w:color="auto"/>
      </w:pBdr>
    </w:pPr>
    <w:rPr>
      <w:rFonts w:ascii="Times New Roman" w:hAnsi="Times New Roman"/>
      <w:color w:val="FFFFFF"/>
      <w:sz w:val="2"/>
    </w:rPr>
  </w:style>
  <w:style w:type="character" w:styleId="IntenseEmphasis">
    <w:name w:val="Intense Emphasis"/>
    <w:uiPriority w:val="21"/>
    <w:qFormat/>
    <w:rsid w:val="001E4E85"/>
    <w:rPr>
      <w:b/>
      <w:bCs/>
      <w:i/>
      <w:iCs/>
      <w:color w:val="auto"/>
    </w:rPr>
  </w:style>
  <w:style w:type="paragraph" w:styleId="IntenseQuote">
    <w:name w:val="Intense Quote"/>
    <w:basedOn w:val="Normal"/>
    <w:next w:val="Normal"/>
    <w:link w:val="IntenseQuoteChar"/>
    <w:uiPriority w:val="30"/>
    <w:qFormat/>
    <w:rsid w:val="001E4E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E4E85"/>
    <w:rPr>
      <w:rFonts w:ascii="Courier New" w:eastAsia="Times New Roman" w:hAnsi="Courier New" w:cs="Times New Roman"/>
      <w:b/>
      <w:bCs/>
      <w:i/>
      <w:iCs/>
      <w:szCs w:val="20"/>
      <w:lang w:val="en-US" w:eastAsia="en-US"/>
    </w:rPr>
  </w:style>
  <w:style w:type="character" w:styleId="SubtleReference">
    <w:name w:val="Subtle Reference"/>
    <w:uiPriority w:val="31"/>
    <w:qFormat/>
    <w:rsid w:val="001E4E85"/>
    <w:rPr>
      <w:smallCaps/>
      <w:color w:val="auto"/>
      <w:u w:val="single"/>
    </w:rPr>
  </w:style>
  <w:style w:type="character" w:styleId="IntenseReference">
    <w:name w:val="Intense Reference"/>
    <w:uiPriority w:val="32"/>
    <w:qFormat/>
    <w:rsid w:val="001E4E85"/>
    <w:rPr>
      <w:b/>
      <w:bCs/>
      <w:smallCaps/>
      <w:color w:val="auto"/>
      <w:spacing w:val="5"/>
      <w:u w:val="single"/>
    </w:rPr>
  </w:style>
  <w:style w:type="paragraph" w:customStyle="1" w:styleId="2ColumnHeading">
    <w:name w:val="2Column Heading"/>
    <w:basedOn w:val="BodyText"/>
    <w:qFormat/>
    <w:rsid w:val="001E4E85"/>
    <w:pPr>
      <w:spacing w:after="60"/>
      <w:ind w:left="-2268"/>
    </w:pPr>
    <w:rPr>
      <w:b/>
    </w:rPr>
  </w:style>
  <w:style w:type="paragraph" w:customStyle="1" w:styleId="Heading1TOC">
    <w:name w:val="Heading1 TOC"/>
    <w:basedOn w:val="Normal"/>
    <w:qFormat/>
    <w:rsid w:val="001E4E85"/>
    <w:pPr>
      <w:spacing w:before="240" w:after="120"/>
    </w:pPr>
    <w:rPr>
      <w:rFonts w:ascii="Times New Roman" w:hAnsi="Times New Roman"/>
      <w:b/>
      <w:sz w:val="32"/>
    </w:rPr>
  </w:style>
  <w:style w:type="paragraph" w:customStyle="1" w:styleId="Heading2TOC">
    <w:name w:val="Heading2 TOC"/>
    <w:basedOn w:val="Normal"/>
    <w:qFormat/>
    <w:rsid w:val="001E4E85"/>
    <w:pPr>
      <w:spacing w:before="240" w:after="60"/>
    </w:pPr>
    <w:rPr>
      <w:rFonts w:ascii="Times New Roman" w:hAnsi="Times New Roman"/>
      <w:b/>
      <w:sz w:val="28"/>
    </w:rPr>
  </w:style>
  <w:style w:type="character" w:customStyle="1" w:styleId="Underline">
    <w:name w:val="Underline"/>
    <w:qFormat/>
    <w:rsid w:val="001E4E85"/>
    <w:rPr>
      <w:u w:val="single"/>
    </w:rPr>
  </w:style>
  <w:style w:type="paragraph" w:styleId="BalloonText">
    <w:name w:val="Balloon Text"/>
    <w:basedOn w:val="Normal"/>
    <w:link w:val="BalloonTextChar"/>
    <w:rsid w:val="001E4E85"/>
    <w:rPr>
      <w:rFonts w:ascii="Tahoma" w:hAnsi="Tahoma" w:cs="Tahoma"/>
      <w:sz w:val="16"/>
      <w:szCs w:val="16"/>
    </w:rPr>
  </w:style>
  <w:style w:type="character" w:customStyle="1" w:styleId="BalloonTextChar">
    <w:name w:val="Balloon Text Char"/>
    <w:link w:val="BalloonText"/>
    <w:rsid w:val="001E4E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4E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E4E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1275</Words>
  <Characters>8248</Characters>
  <Application>Microsoft Office Word</Application>
  <DocSecurity>0</DocSecurity>
  <Lines>284</Lines>
  <Paragraphs>132</Paragraphs>
  <ScaleCrop>false</ScaleCrop>
  <Company>Author-it Software Corporation Ltd.</Company>
  <LinksUpToDate>false</LinksUpToDate>
  <CharactersWithSpaces>9452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CPCCBC6015A Apply building surveying procedures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2012-05-26T05:21:00Z</dcterms:created>
  <dcterms:modified xsi:type="dcterms:W3CDTF">2012-05-26T05:21:00Z</dcterms:modified>
</cp:coreProperties>
</file>