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02D" w:rsidP="0048402D">
      <w:pPr>
        <w:pStyle w:val="Title"/>
      </w:pPr>
      <w:bookmarkStart w:id="0" w:name="_GoBack"/>
      <w:bookmarkEnd w:id="0"/>
      <w:r>
        <w:fldChar w:fldCharType="begin"/>
      </w:r>
      <w:r>
        <w:instrText xml:space="preserve"> TITLE   \* MERGEFORMAT </w:instrText>
      </w:r>
      <w:r>
        <w:fldChar w:fldCharType="separate"/>
      </w:r>
      <w:r>
        <w:t>CPCCBC6009A Develop, plan and implement an appropriate building or construction planning process</w:t>
      </w:r>
      <w:r>
        <w:fldChar w:fldCharType="end"/>
      </w:r>
    </w:p>
    <w:p w:rsidR="0048402D" w:rsidP="0048402D">
      <w:pPr>
        <w:pStyle w:val="Version"/>
        <w:sectPr w:rsidSect="00E10A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A92" w:rsidP="00E10A92">
      <w:pPr>
        <w:pStyle w:val="SuperHeading"/>
      </w:pPr>
      <w:r w:rsidRPr="00E10A92">
        <w:t>CPCCBC6009A Develop, plan and implement an appropriate building or construction planning process</w:t>
      </w:r>
    </w:p>
    <w:p w:rsidR="00000000" w:rsidRPr="00E10A92" w:rsidP="00E10A92">
      <w:pPr>
        <w:pStyle w:val="Heading1"/>
      </w:pPr>
      <w:bookmarkStart w:id="1" w:name="O_269469"/>
      <w:bookmarkEnd w:id="1"/>
      <w:r w:rsidRPr="00E10A92">
        <w:t>Modification History</w:t>
      </w:r>
    </w:p>
    <w:p w:rsidR="00000000" w:rsidRPr="00E10A92" w:rsidP="00E10A92">
      <w:pPr>
        <w:pStyle w:val="BodyText"/>
      </w:pPr>
      <w:r w:rsidRPr="00E10A92">
        <w:t>Not Applicable</w:t>
      </w:r>
    </w:p>
    <w:p w:rsidR="00000000" w:rsidRPr="00E10A92" w:rsidP="00E10A92">
      <w:pPr>
        <w:pStyle w:val="AllowPageBreak"/>
      </w:pPr>
    </w:p>
    <w:p w:rsidR="00000000" w:rsidRPr="00E10A92" w:rsidP="00E10A92">
      <w:pPr>
        <w:pStyle w:val="Heading1"/>
      </w:pPr>
      <w:bookmarkStart w:id="2" w:name="O_197143"/>
      <w:bookmarkEnd w:id="2"/>
      <w:r w:rsidRPr="00E10A92">
        <w:t>Unit Descriptor</w:t>
      </w:r>
    </w:p>
    <w:tbl>
      <w:tblPr>
        <w:tblW w:w="0" w:type="auto"/>
        <w:tblLayout w:type="fixed"/>
        <w:tblCellMar>
          <w:left w:w="62" w:type="dxa"/>
          <w:right w:w="62" w:type="dxa"/>
        </w:tblCellMar>
        <w:tblLook w:val="0000"/>
      </w:tblPr>
      <w:tblGrid>
        <w:gridCol w:w="2635"/>
        <w:gridCol w:w="5887"/>
      </w:tblGrid>
      <w:tr w:rsidTr="0048402D">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SpecialBold"/>
              </w:rPr>
              <w:t>Unit descriptor</w:t>
            </w:r>
          </w:p>
        </w:tc>
        <w:tc>
          <w:tcPr>
            <w:tcW w:w="5887" w:type="dxa"/>
            <w:tcBorders>
              <w:top w:val="nil"/>
              <w:left w:val="nil"/>
              <w:bottom w:val="nil"/>
              <w:right w:val="nil"/>
            </w:tcBorders>
            <w:tcMar>
              <w:top w:w="0" w:type="dxa"/>
              <w:left w:w="62" w:type="dxa"/>
              <w:bottom w:w="0" w:type="dxa"/>
              <w:right w:w="62" w:type="dxa"/>
            </w:tcMar>
          </w:tcPr>
          <w:p w:rsidR="00000000" w:rsidRPr="00E10A92" w:rsidP="00E10A92">
            <w:pPr>
              <w:pStyle w:val="BodyText"/>
            </w:pPr>
            <w:r w:rsidRPr="00E10A92">
              <w:t>This unit of competency specifies the outcomes required to develop, plan and implement an appropriate building or construction planning process. It applies to the strategic development and implementation of an organisation's</w:t>
            </w:r>
            <w:r w:rsidRPr="00E10A92">
              <w:t xml:space="preserve"> project and organisational planning. </w:t>
            </w:r>
          </w:p>
          <w:p w:rsidR="00000000" w:rsidRPr="00E10A92" w:rsidP="00E10A92">
            <w:pPr>
              <w:pStyle w:val="BodyText"/>
            </w:pPr>
            <w:r w:rsidRPr="00E10A92">
              <w:t>The unit applies to the management and review systems of an organisation involved in residential and/or commercial projects of significant size and complexity. It supports the establishment of a soundly based contract</w:t>
            </w:r>
            <w:r w:rsidRPr="00E10A92">
              <w:t xml:space="preserve"> planning service necessary to produce accurate and successful project outcomes in accordance with organisational guidelines and legislation, codes and standards governing project completion.</w:t>
            </w:r>
          </w:p>
        </w:tc>
      </w:tr>
    </w:tbl>
    <w:p w:rsidR="0048402D" w:rsidP="00E10A92">
      <w:pPr>
        <w:pStyle w:val="BodyText"/>
      </w:pPr>
    </w:p>
    <w:p w:rsidR="0048402D" w:rsidP="00E10A92">
      <w:pPr>
        <w:pStyle w:val="BodyText"/>
      </w:pPr>
    </w:p>
    <w:p w:rsidR="00000000" w:rsidRPr="00E10A92" w:rsidP="00E10A92">
      <w:pPr>
        <w:pStyle w:val="Heading1"/>
      </w:pPr>
      <w:bookmarkStart w:id="3" w:name="O_197147"/>
      <w:bookmarkEnd w:id="3"/>
      <w:r w:rsidRPr="00E10A92">
        <w:t>Application of the Unit</w:t>
      </w:r>
    </w:p>
    <w:tbl>
      <w:tblPr>
        <w:tblW w:w="0" w:type="auto"/>
        <w:tblLayout w:type="fixed"/>
        <w:tblCellMar>
          <w:left w:w="62" w:type="dxa"/>
          <w:right w:w="62" w:type="dxa"/>
        </w:tblCellMar>
        <w:tblLook w:val="0000"/>
      </w:tblPr>
      <w:tblGrid>
        <w:gridCol w:w="2718"/>
        <w:gridCol w:w="5804"/>
      </w:tblGrid>
      <w:tr w:rsidTr="0048402D">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SpecialBold"/>
              </w:rPr>
              <w:t>Application of the unit</w:t>
            </w:r>
          </w:p>
        </w:tc>
        <w:tc>
          <w:tcPr>
            <w:tcW w:w="5804" w:type="dxa"/>
            <w:tcBorders>
              <w:top w:val="nil"/>
              <w:left w:val="nil"/>
              <w:bottom w:val="nil"/>
              <w:right w:val="nil"/>
            </w:tcBorders>
            <w:tcMar>
              <w:top w:w="0" w:type="dxa"/>
              <w:left w:w="62" w:type="dxa"/>
              <w:bottom w:w="0" w:type="dxa"/>
              <w:right w:w="62" w:type="dxa"/>
            </w:tcMar>
          </w:tcPr>
          <w:p w:rsidR="00000000" w:rsidRPr="00E10A92" w:rsidP="00E10A92">
            <w:pPr>
              <w:pStyle w:val="BodyText"/>
            </w:pPr>
            <w:r w:rsidRPr="00E10A92">
              <w:t>This unit of competency supports the needs of builders and senior managers within building, construction and services firms, typically working in larger organisations and managing more complex projects and processes, responsible for</w:t>
            </w:r>
            <w:r w:rsidRPr="00E10A92">
              <w:t xml:space="preserve"> developing, planning and implementing an appropriate building or construction planning process.</w:t>
            </w:r>
          </w:p>
          <w:p w:rsidR="00000000" w:rsidRPr="00E10A92" w:rsidP="00E10A92">
            <w:pPr>
              <w:pStyle w:val="BodyText"/>
            </w:pPr>
            <w:r w:rsidRPr="00E10A92">
              <w:t>The unit requires facilitating implementation of new and modified systems and monitoring and overseeing the performance of systems and personnel.</w:t>
            </w:r>
          </w:p>
          <w:p w:rsidR="00000000" w:rsidRPr="00E10A92" w:rsidP="00E10A92">
            <w:pPr>
              <w:pStyle w:val="BodyText"/>
            </w:pPr>
            <w:r w:rsidRPr="00E10A92">
              <w:t xml:space="preserve">Knowledge of </w:t>
            </w:r>
            <w:r w:rsidRPr="00E10A92">
              <w:t xml:space="preserve">industry contracts, human resources and industrial relations practices; socioeconomic factors which influence the industry; and organisational strategic and operational activities is essential. </w:t>
            </w:r>
          </w:p>
        </w:tc>
      </w:tr>
    </w:tbl>
    <w:p w:rsidR="0048402D" w:rsidP="00E10A92">
      <w:pPr>
        <w:pStyle w:val="BodyText"/>
      </w:pPr>
    </w:p>
    <w:p w:rsidR="0048402D" w:rsidP="00E10A92">
      <w:pPr>
        <w:pStyle w:val="BodyText"/>
      </w:pPr>
    </w:p>
    <w:p w:rsidR="00000000" w:rsidRPr="00E10A92" w:rsidP="00E10A92">
      <w:pPr>
        <w:pStyle w:val="Heading1"/>
      </w:pPr>
      <w:bookmarkStart w:id="4" w:name="O_277729"/>
      <w:bookmarkEnd w:id="4"/>
      <w:r w:rsidRPr="00E10A92">
        <w:t>Licensing/Regulatory Information</w:t>
      </w:r>
    </w:p>
    <w:p w:rsidR="00000000" w:rsidRPr="00E10A92" w:rsidP="00E10A92">
      <w:pPr>
        <w:pStyle w:val="BodyText"/>
      </w:pPr>
      <w:r w:rsidRPr="00E10A92">
        <w:t>Not Appl</w:t>
      </w:r>
      <w:r w:rsidRPr="00E10A92">
        <w:t>icable</w:t>
      </w:r>
    </w:p>
    <w:p w:rsidR="00000000" w:rsidRPr="00E10A92" w:rsidP="00E10A92">
      <w:pPr>
        <w:pStyle w:val="AllowPageBreak"/>
      </w:pPr>
    </w:p>
    <w:p w:rsidR="00000000" w:rsidRPr="00E10A92" w:rsidP="00E10A92">
      <w:pPr>
        <w:pStyle w:val="Heading1"/>
      </w:pPr>
      <w:bookmarkStart w:id="5" w:name="O_197145"/>
      <w:bookmarkEnd w:id="5"/>
      <w:r w:rsidRPr="00E10A92">
        <w:t>Pre-Requisites</w:t>
      </w:r>
    </w:p>
    <w:tbl>
      <w:tblPr>
        <w:tblW w:w="0" w:type="auto"/>
        <w:tblLayout w:type="fixed"/>
        <w:tblCellMar>
          <w:left w:w="62" w:type="dxa"/>
          <w:right w:w="62" w:type="dxa"/>
        </w:tblCellMar>
        <w:tblLook w:val="0000"/>
      </w:tblPr>
      <w:tblGrid>
        <w:gridCol w:w="2739"/>
        <w:gridCol w:w="5783"/>
      </w:tblGrid>
      <w:tr w:rsidTr="0048402D">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E10A92" w:rsidP="00E10A92">
            <w:pPr>
              <w:pStyle w:val="BodyText"/>
            </w:pPr>
            <w:r w:rsidRPr="00E10A92">
              <w:t>Nil</w:t>
            </w:r>
          </w:p>
        </w:tc>
      </w:tr>
    </w:tbl>
    <w:p w:rsidR="0048402D" w:rsidP="00E10A92">
      <w:pPr>
        <w:pStyle w:val="BodyText"/>
      </w:pPr>
    </w:p>
    <w:p w:rsidR="0048402D" w:rsidP="00E10A92">
      <w:pPr>
        <w:pStyle w:val="BodyText"/>
      </w:pPr>
    </w:p>
    <w:p w:rsidR="00000000" w:rsidRPr="00E10A92" w:rsidP="00E10A92">
      <w:pPr>
        <w:pStyle w:val="Heading1"/>
      </w:pPr>
      <w:bookmarkStart w:id="6" w:name="O_197144"/>
      <w:bookmarkEnd w:id="6"/>
      <w:r w:rsidRPr="00E10A92">
        <w:t>Employability Skills Information</w:t>
      </w:r>
    </w:p>
    <w:tbl>
      <w:tblPr>
        <w:tblW w:w="0" w:type="auto"/>
        <w:tblLayout w:type="fixed"/>
        <w:tblCellMar>
          <w:left w:w="62" w:type="dxa"/>
          <w:right w:w="62" w:type="dxa"/>
        </w:tblCellMar>
        <w:tblLook w:val="0000"/>
      </w:tblPr>
      <w:tblGrid>
        <w:gridCol w:w="2772"/>
        <w:gridCol w:w="5750"/>
      </w:tblGrid>
      <w:tr w:rsidTr="0048402D">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E10A92" w:rsidP="00E10A92">
            <w:pPr>
              <w:pStyle w:val="BodyText"/>
            </w:pPr>
            <w:r w:rsidRPr="00E10A92">
              <w:t>This unit contains employability skills.</w:t>
            </w:r>
          </w:p>
        </w:tc>
      </w:tr>
    </w:tbl>
    <w:p w:rsidR="0048402D" w:rsidP="00E10A92">
      <w:pPr>
        <w:pStyle w:val="BodyText"/>
      </w:pPr>
    </w:p>
    <w:p w:rsidR="0048402D" w:rsidP="00E10A92">
      <w:pPr>
        <w:pStyle w:val="BodyText"/>
      </w:pPr>
    </w:p>
    <w:p w:rsidR="00000000" w:rsidRPr="00E10A92" w:rsidP="00E10A92">
      <w:pPr>
        <w:pStyle w:val="Heading1"/>
      </w:pPr>
      <w:bookmarkStart w:id="7" w:name="O_287515"/>
      <w:bookmarkEnd w:id="7"/>
      <w:r w:rsidRPr="00E10A92">
        <w:t>Elements and Performance Criteria Pre-Content</w:t>
      </w:r>
    </w:p>
    <w:tbl>
      <w:tblPr>
        <w:tblW w:w="0" w:type="auto"/>
        <w:tblLayout w:type="fixed"/>
        <w:tblCellMar>
          <w:left w:w="62" w:type="dxa"/>
          <w:right w:w="62" w:type="dxa"/>
        </w:tblCellMar>
        <w:tblLook w:val="0000"/>
      </w:tblPr>
      <w:tblGrid>
        <w:gridCol w:w="2573"/>
        <w:gridCol w:w="5949"/>
      </w:tblGrid>
      <w:tr w:rsidTr="0048402D">
        <w:tblPrEx>
          <w:tblW w:w="0" w:type="auto"/>
          <w:tblLayout w:type="fixed"/>
          <w:tblCellMar>
            <w:left w:w="62" w:type="dxa"/>
            <w:right w:w="62" w:type="dxa"/>
          </w:tblCellMar>
          <w:tblLook w:val="0000"/>
        </w:tblPrEx>
        <w:tc>
          <w:tcPr>
            <w:tcW w:w="2573" w:type="dxa"/>
            <w:tcBorders>
              <w:top w:val="single" w:sz="6" w:space="0" w:color="auto"/>
              <w:left w:val="nil"/>
              <w:bottom w:val="nil"/>
              <w:right w:val="nil"/>
            </w:tcBorders>
            <w:tcMar>
              <w:top w:w="0" w:type="dxa"/>
              <w:left w:w="62" w:type="dxa"/>
              <w:bottom w:w="0" w:type="dxa"/>
              <w:right w:w="62" w:type="dxa"/>
            </w:tcMar>
          </w:tcPr>
          <w:p w:rsidR="00000000" w:rsidP="00E10A92">
            <w:pPr>
              <w:pStyle w:val="BodyText"/>
              <w:rPr>
                <w:lang w:val="en-NZ"/>
              </w:rPr>
            </w:pPr>
            <w:r w:rsidRPr="00E10A92">
              <w:t>Elements describe the essential outcomes of a unit of competency.</w:t>
            </w:r>
          </w:p>
        </w:tc>
        <w:tc>
          <w:tcPr>
            <w:tcW w:w="5949" w:type="dxa"/>
            <w:tcBorders>
              <w:top w:val="single" w:sz="6" w:space="0" w:color="auto"/>
              <w:left w:val="nil"/>
              <w:bottom w:val="nil"/>
              <w:right w:val="nil"/>
            </w:tcBorders>
            <w:tcMar>
              <w:top w:w="0" w:type="dxa"/>
              <w:left w:w="62" w:type="dxa"/>
              <w:bottom w:w="0" w:type="dxa"/>
              <w:right w:w="62" w:type="dxa"/>
            </w:tcMar>
          </w:tcPr>
          <w:p w:rsidR="00000000" w:rsidRPr="00E10A92" w:rsidP="00E10A92">
            <w:pPr>
              <w:pStyle w:val="BodyText"/>
            </w:pPr>
            <w:r w:rsidRPr="00E10A92">
              <w:t xml:space="preserve">Performance criteria describe the performance needed to demonstrate achievement of the element. Where bold italicised text is used, further </w:t>
            </w:r>
            <w:r w:rsidRPr="00E10A92">
              <w:t>information is detailed in the required skills and knowledge section and the range statement. Assessment of performance is to be consistent with the evidence guide.</w:t>
            </w:r>
          </w:p>
        </w:tc>
      </w:tr>
    </w:tbl>
    <w:p w:rsidR="00000000" w:rsidRPr="00E10A92" w:rsidP="00E10A92">
      <w:pPr>
        <w:pStyle w:val="BodyText"/>
      </w:pPr>
    </w:p>
    <w:p w:rsidR="00000000" w:rsidRPr="00E10A92" w:rsidP="00E10A92">
      <w:pPr>
        <w:pStyle w:val="AllowPageBreak"/>
      </w:pPr>
    </w:p>
    <w:p w:rsidR="00000000" w:rsidRPr="00E10A92" w:rsidP="00E10A92">
      <w:pPr>
        <w:pStyle w:val="Heading1"/>
      </w:pPr>
      <w:bookmarkStart w:id="8" w:name="O_234182"/>
      <w:bookmarkEnd w:id="8"/>
      <w:r w:rsidRPr="00E10A92">
        <w:t>Elements and Performance Criteria</w:t>
      </w:r>
    </w:p>
    <w:tbl>
      <w:tblPr>
        <w:tblW w:w="0" w:type="auto"/>
        <w:tblLayout w:type="fixed"/>
        <w:tblCellMar>
          <w:left w:w="62" w:type="dxa"/>
          <w:right w:w="62" w:type="dxa"/>
        </w:tblCellMar>
        <w:tblLook w:val="0000"/>
      </w:tblPr>
      <w:tblGrid>
        <w:gridCol w:w="2573"/>
        <w:gridCol w:w="5949"/>
      </w:tblGrid>
      <w:tr w:rsidTr="0048402D">
        <w:tblPrEx>
          <w:tblW w:w="0" w:type="auto"/>
          <w:tblLayout w:type="fixed"/>
          <w:tblCellMar>
            <w:left w:w="62" w:type="dxa"/>
            <w:right w:w="62" w:type="dxa"/>
          </w:tblCellMar>
          <w:tblLook w:val="0000"/>
        </w:tblPrEx>
        <w:trPr>
          <w:tblHeader/>
        </w:trPr>
        <w:tc>
          <w:tcPr>
            <w:tcW w:w="2573" w:type="dxa"/>
            <w:tcBorders>
              <w:top w:val="nil"/>
              <w:left w:val="nil"/>
              <w:bottom w:val="single" w:sz="6" w:space="0" w:color="auto"/>
              <w:right w:val="nil"/>
            </w:tcBorders>
            <w:tcMar>
              <w:top w:w="0" w:type="dxa"/>
              <w:left w:w="62" w:type="dxa"/>
              <w:bottom w:w="0" w:type="dxa"/>
              <w:right w:w="62" w:type="dxa"/>
            </w:tcMar>
          </w:tcPr>
          <w:p w:rsidR="00000000" w:rsidRPr="00E10A92" w:rsidP="00E10A92">
            <w:pPr>
              <w:pStyle w:val="BodyText"/>
            </w:pPr>
            <w:r w:rsidRPr="00E10A92">
              <w:rPr>
                <w:rStyle w:val="SpecialBold"/>
              </w:rPr>
              <w:t>ELEMENT</w:t>
            </w:r>
          </w:p>
        </w:tc>
        <w:tc>
          <w:tcPr>
            <w:tcW w:w="5949" w:type="dxa"/>
            <w:tcBorders>
              <w:top w:val="nil"/>
              <w:left w:val="nil"/>
              <w:bottom w:val="single" w:sz="6" w:space="0" w:color="auto"/>
              <w:right w:val="nil"/>
            </w:tcBorders>
            <w:tcMar>
              <w:top w:w="0" w:type="dxa"/>
              <w:left w:w="62" w:type="dxa"/>
              <w:bottom w:w="0" w:type="dxa"/>
              <w:right w:w="62" w:type="dxa"/>
            </w:tcMar>
          </w:tcPr>
          <w:p w:rsidR="00000000" w:rsidP="00E10A92">
            <w:pPr>
              <w:pStyle w:val="BodyText"/>
              <w:rPr>
                <w:lang w:val="en-NZ"/>
              </w:rPr>
            </w:pPr>
            <w:r w:rsidRPr="00E10A92">
              <w:rPr>
                <w:rStyle w:val="SpecialBold"/>
              </w:rPr>
              <w:t>PERFORMANCE CRITERIA</w:t>
            </w:r>
          </w:p>
        </w:tc>
      </w:tr>
      <w:tr w:rsidTr="0048402D">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E10A92">
            <w:pPr>
              <w:pStyle w:val="List"/>
              <w:rPr>
                <w:lang w:val="en-NZ"/>
              </w:rPr>
            </w:pPr>
            <w:r w:rsidRPr="00E10A92">
              <w:t>1.</w:t>
            </w:r>
            <w:r w:rsidRPr="00E10A92">
              <w:tab/>
            </w:r>
            <w:r w:rsidRPr="00E10A92">
              <w:t>Quantify and qualify factors to be included in the organisational on-site planning system.</w:t>
            </w:r>
          </w:p>
        </w:tc>
        <w:tc>
          <w:tcPr>
            <w:tcW w:w="5949" w:type="dxa"/>
            <w:tcBorders>
              <w:top w:val="nil"/>
              <w:left w:val="nil"/>
              <w:bottom w:val="nil"/>
              <w:right w:val="nil"/>
            </w:tcBorders>
            <w:tcMar>
              <w:top w:w="0" w:type="dxa"/>
              <w:left w:w="62" w:type="dxa"/>
              <w:bottom w:w="0" w:type="dxa"/>
              <w:right w:w="62" w:type="dxa"/>
            </w:tcMar>
          </w:tcPr>
          <w:p w:rsidR="00000000" w:rsidRPr="00E10A92" w:rsidP="00E10A92">
            <w:pPr>
              <w:pStyle w:val="List2"/>
            </w:pPr>
            <w:r w:rsidRPr="00E10A92">
              <w:t>1.1.</w:t>
            </w:r>
            <w:r w:rsidRPr="00E10A92">
              <w:tab/>
            </w:r>
            <w:r w:rsidRPr="00E10A92">
              <w:rPr>
                <w:rStyle w:val="BoldandItalics"/>
              </w:rPr>
              <w:t>Strategic factors impacting on the planning process</w:t>
            </w:r>
            <w:r w:rsidRPr="00E10A92">
              <w:t xml:space="preserve"> are identified and quantified in accordance with </w:t>
            </w:r>
            <w:r w:rsidRPr="00E10A92">
              <w:rPr>
                <w:rStyle w:val="BoldandItalics"/>
              </w:rPr>
              <w:t>legislative</w:t>
            </w:r>
            <w:r w:rsidRPr="00E10A92">
              <w:t xml:space="preserve">, </w:t>
            </w:r>
            <w:r w:rsidRPr="00E10A92">
              <w:rPr>
                <w:rStyle w:val="BoldandItalics"/>
              </w:rPr>
              <w:t>code</w:t>
            </w:r>
            <w:r w:rsidRPr="00E10A92">
              <w:t xml:space="preserve">, </w:t>
            </w:r>
            <w:r w:rsidRPr="00E10A92">
              <w:rPr>
                <w:rStyle w:val="BoldandItalics"/>
              </w:rPr>
              <w:t>standard</w:t>
            </w:r>
            <w:r w:rsidRPr="00E10A92">
              <w:t xml:space="preserve"> and organisational requirements</w:t>
            </w:r>
            <w:r w:rsidRPr="00E10A92">
              <w:t xml:space="preserve">. </w:t>
            </w:r>
          </w:p>
          <w:p w:rsidR="00000000" w:rsidRPr="00E10A92" w:rsidP="00E10A92">
            <w:pPr>
              <w:pStyle w:val="List2"/>
            </w:pPr>
            <w:r w:rsidRPr="00E10A92">
              <w:t>1.2.</w:t>
            </w:r>
            <w:r w:rsidRPr="00E10A92">
              <w:tab/>
              <w:t>Range and scope of activities to be undertaken by the organisation are quantified.</w:t>
            </w:r>
          </w:p>
          <w:p w:rsidR="00000000" w:rsidP="00E10A92">
            <w:pPr>
              <w:pStyle w:val="List2"/>
              <w:rPr>
                <w:lang w:val="en-NZ"/>
              </w:rPr>
            </w:pPr>
            <w:r w:rsidRPr="00E10A92">
              <w:t>1.3.</w:t>
            </w:r>
            <w:r w:rsidRPr="00E10A92">
              <w:tab/>
              <w:t>Strategic and operational planning structures within the organisation are reviewed and qualified regarding their information needs.</w:t>
            </w:r>
          </w:p>
        </w:tc>
      </w:tr>
      <w:tr w:rsidTr="0048402D">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E10A92">
            <w:pPr>
              <w:pStyle w:val="List"/>
              <w:rPr>
                <w:lang w:val="en-NZ"/>
              </w:rPr>
            </w:pPr>
            <w:r w:rsidRPr="00E10A92">
              <w:t>2.</w:t>
            </w:r>
            <w:r w:rsidRPr="00E10A92">
              <w:tab/>
            </w:r>
            <w:r w:rsidRPr="00E10A92">
              <w:t>Establish and implement organisational on-site planning system.</w:t>
            </w:r>
          </w:p>
        </w:tc>
        <w:tc>
          <w:tcPr>
            <w:tcW w:w="5949" w:type="dxa"/>
            <w:tcBorders>
              <w:top w:val="nil"/>
              <w:left w:val="nil"/>
              <w:bottom w:val="nil"/>
              <w:right w:val="nil"/>
            </w:tcBorders>
            <w:tcMar>
              <w:top w:w="0" w:type="dxa"/>
              <w:left w:w="62" w:type="dxa"/>
              <w:bottom w:w="0" w:type="dxa"/>
              <w:right w:w="62" w:type="dxa"/>
            </w:tcMar>
          </w:tcPr>
          <w:p w:rsidR="00000000" w:rsidRPr="00E10A92" w:rsidP="00E10A92">
            <w:pPr>
              <w:pStyle w:val="List2"/>
            </w:pPr>
            <w:r w:rsidRPr="00E10A92">
              <w:t>2.1.</w:t>
            </w:r>
            <w:r w:rsidRPr="00E10A92">
              <w:tab/>
              <w:t>Design and development of the organisational project planning system is facilitated.</w:t>
            </w:r>
          </w:p>
          <w:p w:rsidR="00000000" w:rsidRPr="00E10A92" w:rsidP="00E10A92">
            <w:pPr>
              <w:pStyle w:val="List2"/>
            </w:pPr>
            <w:r w:rsidRPr="00E10A92">
              <w:t>2.2.</w:t>
            </w:r>
            <w:r w:rsidRPr="00E10A92">
              <w:tab/>
            </w:r>
            <w:r w:rsidRPr="00E10A92">
              <w:rPr>
                <w:rStyle w:val="BoldandItalics"/>
              </w:rPr>
              <w:t>Criteria for personnel and processes</w:t>
            </w:r>
            <w:r w:rsidRPr="00E10A92">
              <w:t xml:space="preserve"> concerned with construction planning are established. </w:t>
            </w:r>
          </w:p>
          <w:p w:rsidR="00000000" w:rsidRPr="00E10A92" w:rsidP="00E10A92">
            <w:pPr>
              <w:pStyle w:val="List2"/>
            </w:pPr>
            <w:r w:rsidRPr="00E10A92">
              <w:t>2.3.</w:t>
            </w:r>
            <w:r w:rsidRPr="00E10A92">
              <w:tab/>
            </w:r>
            <w:r w:rsidRPr="00E10A92">
              <w:t>Endorsement of senior management is facilitated and obtained for implementation of the system.</w:t>
            </w:r>
          </w:p>
          <w:p w:rsidR="00000000" w:rsidP="00E10A92">
            <w:pPr>
              <w:pStyle w:val="List2"/>
              <w:rPr>
                <w:lang w:val="en-NZ"/>
              </w:rPr>
            </w:pPr>
            <w:r w:rsidRPr="00E10A92">
              <w:t>2.4.</w:t>
            </w:r>
            <w:r w:rsidRPr="00E10A92">
              <w:tab/>
              <w:t>Senior project staff are selected and appointed to meet organisational needs.</w:t>
            </w:r>
          </w:p>
        </w:tc>
      </w:tr>
      <w:tr w:rsidTr="0048402D">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E10A92">
            <w:pPr>
              <w:pStyle w:val="List"/>
              <w:rPr>
                <w:lang w:val="en-NZ"/>
              </w:rPr>
            </w:pPr>
            <w:r w:rsidRPr="00E10A92">
              <w:t>3.</w:t>
            </w:r>
            <w:r w:rsidRPr="00E10A92">
              <w:tab/>
              <w:t>Establish and implement a planning quality control system.</w:t>
            </w:r>
          </w:p>
        </w:tc>
        <w:tc>
          <w:tcPr>
            <w:tcW w:w="5949" w:type="dxa"/>
            <w:tcBorders>
              <w:top w:val="nil"/>
              <w:left w:val="nil"/>
              <w:bottom w:val="nil"/>
              <w:right w:val="nil"/>
            </w:tcBorders>
            <w:tcMar>
              <w:top w:w="0" w:type="dxa"/>
              <w:left w:w="62" w:type="dxa"/>
              <w:bottom w:w="0" w:type="dxa"/>
              <w:right w:w="62" w:type="dxa"/>
            </w:tcMar>
          </w:tcPr>
          <w:p w:rsidR="00000000" w:rsidRPr="00E10A92" w:rsidP="00E10A92">
            <w:pPr>
              <w:pStyle w:val="List2"/>
            </w:pPr>
            <w:r w:rsidRPr="00E10A92">
              <w:t>3.1.</w:t>
            </w:r>
            <w:r w:rsidRPr="00E10A92">
              <w:tab/>
              <w:t>Constructi</w:t>
            </w:r>
            <w:r w:rsidRPr="00E10A92">
              <w:t xml:space="preserve">on methodologies applicable to the type of construction project are identified and applied to the </w:t>
            </w:r>
            <w:r w:rsidRPr="00E10A92">
              <w:rPr>
                <w:rStyle w:val="BoldandItalics"/>
              </w:rPr>
              <w:t>planning quality control process</w:t>
            </w:r>
            <w:r w:rsidRPr="00E10A92">
              <w:t xml:space="preserve">. </w:t>
            </w:r>
          </w:p>
          <w:p w:rsidR="00000000" w:rsidP="00E10A92">
            <w:pPr>
              <w:pStyle w:val="List2"/>
              <w:rPr>
                <w:lang w:val="en-NZ"/>
              </w:rPr>
            </w:pPr>
            <w:r w:rsidRPr="00E10A92">
              <w:t>3.2.</w:t>
            </w:r>
            <w:r w:rsidRPr="00E10A92">
              <w:tab/>
              <w:t>Implementation of a review and feedback system using company project records and performance criteria is facilitated a</w:t>
            </w:r>
            <w:r w:rsidRPr="00E10A92">
              <w:t>nd directed.</w:t>
            </w:r>
          </w:p>
        </w:tc>
      </w:tr>
      <w:tr w:rsidTr="0048402D">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E10A92">
            <w:pPr>
              <w:pStyle w:val="List"/>
              <w:rPr>
                <w:lang w:val="en-NZ"/>
              </w:rPr>
            </w:pPr>
            <w:r w:rsidRPr="00E10A92">
              <w:t>4.</w:t>
            </w:r>
            <w:r w:rsidRPr="00E10A92">
              <w:tab/>
              <w:t>Develop and implement an organisational feedback system.</w:t>
            </w:r>
          </w:p>
        </w:tc>
        <w:tc>
          <w:tcPr>
            <w:tcW w:w="5949" w:type="dxa"/>
            <w:tcBorders>
              <w:top w:val="nil"/>
              <w:left w:val="nil"/>
              <w:bottom w:val="nil"/>
              <w:right w:val="nil"/>
            </w:tcBorders>
            <w:tcMar>
              <w:top w:w="0" w:type="dxa"/>
              <w:left w:w="62" w:type="dxa"/>
              <w:bottom w:w="0" w:type="dxa"/>
              <w:right w:w="62" w:type="dxa"/>
            </w:tcMar>
          </w:tcPr>
          <w:p w:rsidR="00000000" w:rsidRPr="00E10A92" w:rsidP="00E10A92">
            <w:pPr>
              <w:pStyle w:val="List2"/>
            </w:pPr>
            <w:r w:rsidRPr="00E10A92">
              <w:t>4.1.</w:t>
            </w:r>
            <w:r w:rsidRPr="00E10A92">
              <w:tab/>
              <w:t>Means of effectively communicating planning information within the strategic and operational sectors of the organisation is established and implemented.</w:t>
            </w:r>
          </w:p>
          <w:p w:rsidR="00000000" w:rsidP="00E10A92">
            <w:pPr>
              <w:pStyle w:val="List2"/>
              <w:rPr>
                <w:lang w:val="en-NZ"/>
              </w:rPr>
            </w:pPr>
            <w:r w:rsidRPr="00E10A92">
              <w:t>4.2.</w:t>
            </w:r>
            <w:r w:rsidRPr="00E10A92">
              <w:tab/>
              <w:t>Organisational feed</w:t>
            </w:r>
            <w:r w:rsidRPr="00E10A92">
              <w:t>back system based on performance, progress and project outcomes and other strategic factors is developed and strategically implemented.</w:t>
            </w:r>
          </w:p>
        </w:tc>
      </w:tr>
      <w:tr w:rsidTr="0048402D">
        <w:tblPrEx>
          <w:tblW w:w="0" w:type="auto"/>
          <w:tblLayout w:type="fixed"/>
          <w:tblCellMar>
            <w:left w:w="62" w:type="dxa"/>
            <w:right w:w="62" w:type="dxa"/>
          </w:tblCellMar>
          <w:tblLook w:val="0000"/>
        </w:tblPrEx>
        <w:tc>
          <w:tcPr>
            <w:tcW w:w="2573" w:type="dxa"/>
            <w:tcBorders>
              <w:top w:val="nil"/>
              <w:left w:val="nil"/>
              <w:bottom w:val="nil"/>
              <w:right w:val="nil"/>
            </w:tcBorders>
            <w:tcMar>
              <w:top w:w="0" w:type="dxa"/>
              <w:left w:w="62" w:type="dxa"/>
              <w:bottom w:w="0" w:type="dxa"/>
              <w:right w:w="62" w:type="dxa"/>
            </w:tcMar>
          </w:tcPr>
          <w:p w:rsidR="00000000" w:rsidP="00E10A92">
            <w:pPr>
              <w:pStyle w:val="List"/>
              <w:rPr>
                <w:lang w:val="en-NZ"/>
              </w:rPr>
            </w:pPr>
            <w:r w:rsidRPr="00E10A92">
              <w:t>5.</w:t>
            </w:r>
            <w:r w:rsidRPr="00E10A92">
              <w:tab/>
              <w:t>Establish a recording and evaluation system.</w:t>
            </w:r>
          </w:p>
        </w:tc>
        <w:tc>
          <w:tcPr>
            <w:tcW w:w="5949" w:type="dxa"/>
            <w:tcBorders>
              <w:top w:val="nil"/>
              <w:left w:val="nil"/>
              <w:bottom w:val="nil"/>
              <w:right w:val="nil"/>
            </w:tcBorders>
            <w:tcMar>
              <w:top w:w="0" w:type="dxa"/>
              <w:left w:w="62" w:type="dxa"/>
              <w:bottom w:w="0" w:type="dxa"/>
              <w:right w:w="62" w:type="dxa"/>
            </w:tcMar>
          </w:tcPr>
          <w:p w:rsidR="00000000" w:rsidRPr="00E10A92" w:rsidP="00E10A92">
            <w:pPr>
              <w:pStyle w:val="List2"/>
            </w:pPr>
            <w:r w:rsidRPr="00E10A92">
              <w:t>5.1.</w:t>
            </w:r>
            <w:r w:rsidRPr="00E10A92">
              <w:tab/>
              <w:t>Documentation and recording system that meets organisational needs</w:t>
            </w:r>
            <w:r w:rsidRPr="00E10A92">
              <w:t xml:space="preserve"> for ongoing </w:t>
            </w:r>
            <w:r w:rsidRPr="00E10A92">
              <w:rPr>
                <w:rStyle w:val="BoldandItalics"/>
              </w:rPr>
              <w:t>recording and evaluation</w:t>
            </w:r>
            <w:r w:rsidRPr="00E10A92">
              <w:t xml:space="preserve"> of the planning process is instituted and managed. </w:t>
            </w:r>
          </w:p>
          <w:p w:rsidR="00000000" w:rsidRPr="00E10A92" w:rsidP="00E10A92">
            <w:pPr>
              <w:pStyle w:val="List2"/>
            </w:pPr>
            <w:r w:rsidRPr="00E10A92">
              <w:t>5.2.</w:t>
            </w:r>
            <w:r w:rsidRPr="00E10A92">
              <w:tab/>
              <w:t>Strategic balances and checks, which enable the ongoing maintenance of the quality of the planning system, are developed and applied.</w:t>
            </w:r>
          </w:p>
        </w:tc>
      </w:tr>
    </w:tbl>
    <w:p w:rsidR="0048402D" w:rsidP="00E10A92">
      <w:pPr>
        <w:pStyle w:val="BodyText"/>
      </w:pPr>
    </w:p>
    <w:p w:rsidR="0048402D" w:rsidP="00E10A92">
      <w:pPr>
        <w:pStyle w:val="BodyText"/>
      </w:pPr>
    </w:p>
    <w:p w:rsidR="00000000" w:rsidRPr="00E10A92" w:rsidP="00E10A92">
      <w:pPr>
        <w:pStyle w:val="Heading1"/>
      </w:pPr>
      <w:bookmarkStart w:id="9" w:name="O_258132"/>
      <w:bookmarkEnd w:id="9"/>
      <w:r w:rsidRPr="00E10A92">
        <w:t>Required Skills and Knowledge</w:t>
      </w:r>
    </w:p>
    <w:tbl>
      <w:tblPr>
        <w:tblW w:w="0" w:type="auto"/>
        <w:tblLayout w:type="fixed"/>
        <w:tblCellMar>
          <w:left w:w="62" w:type="dxa"/>
          <w:right w:w="62" w:type="dxa"/>
        </w:tblCellMar>
        <w:tblLook w:val="0000"/>
      </w:tblPr>
      <w:tblGrid>
        <w:gridCol w:w="8522"/>
      </w:tblGrid>
      <w:tr w:rsidTr="0048402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SpecialBold"/>
              </w:rPr>
              <w:t>REQUIRED SKILLS AND KNOWLEDGE</w:t>
            </w:r>
          </w:p>
        </w:tc>
      </w:tr>
      <w:tr w:rsidTr="004840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t>This section describes the skills and knowledge required for this unit.</w:t>
            </w:r>
          </w:p>
        </w:tc>
      </w:tr>
      <w:tr w:rsidTr="004840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SpecialBold"/>
              </w:rPr>
              <w:t>Required skills</w:t>
            </w:r>
          </w:p>
        </w:tc>
      </w:tr>
      <w:tr w:rsidTr="004840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0A92" w:rsidP="00E10A92">
            <w:pPr>
              <w:pStyle w:val="BodyText"/>
            </w:pPr>
            <w:r w:rsidRPr="00E10A92">
              <w:t>Required skills for this unit are:</w:t>
            </w:r>
          </w:p>
          <w:p w:rsidR="00000000" w:rsidRPr="00E10A92" w:rsidP="00E10A92">
            <w:pPr>
              <w:pStyle w:val="ListBullet"/>
            </w:pPr>
            <w:r w:rsidRPr="00E10A92">
              <w:t>apply numeracy skills to workplace requirements</w:t>
            </w:r>
          </w:p>
          <w:p w:rsidR="00000000" w:rsidRPr="00E10A92" w:rsidP="00E10A92">
            <w:pPr>
              <w:pStyle w:val="ListBullet"/>
            </w:pPr>
            <w:r w:rsidRPr="00E10A92">
              <w:t xml:space="preserve">communication </w:t>
            </w:r>
            <w:r w:rsidRPr="00E10A92">
              <w:t>skills to:</w:t>
            </w:r>
          </w:p>
          <w:p w:rsidR="00000000" w:rsidRPr="00E10A92" w:rsidP="00E10A92">
            <w:pPr>
              <w:pStyle w:val="ListBullet2"/>
            </w:pPr>
            <w:r w:rsidRPr="00E10A92">
              <w:t>appoint staff</w:t>
            </w:r>
          </w:p>
          <w:p w:rsidR="00000000" w:rsidRPr="00E10A92" w:rsidP="00E10A92">
            <w:pPr>
              <w:pStyle w:val="ListBullet2"/>
            </w:pPr>
            <w:r w:rsidRPr="00E10A92">
              <w:t>enable clear and direct communication, using questioning to identify and confirm requirements, share information, listen and understand</w:t>
            </w:r>
          </w:p>
          <w:p w:rsidR="00000000" w:rsidRPr="00E10A92" w:rsidP="00E10A92">
            <w:pPr>
              <w:pStyle w:val="ListBullet2"/>
            </w:pPr>
            <w:r w:rsidRPr="00E10A92">
              <w:t>facilitate and obtain senior management endorsement</w:t>
            </w:r>
          </w:p>
          <w:p w:rsidR="00000000" w:rsidRPr="00E10A92" w:rsidP="00E10A92">
            <w:pPr>
              <w:pStyle w:val="ListBullet2"/>
            </w:pPr>
            <w:r w:rsidRPr="00E10A92">
              <w:t>read and interpret:</w:t>
            </w:r>
          </w:p>
          <w:p w:rsidR="00000000" w:rsidRPr="00E10A92" w:rsidP="00E10A92">
            <w:pPr>
              <w:pStyle w:val="ListBullet3"/>
            </w:pPr>
            <w:r w:rsidRPr="00E10A92">
              <w:t>codes and standards</w:t>
            </w:r>
          </w:p>
          <w:p w:rsidR="00000000" w:rsidRPr="00E10A92" w:rsidP="00E10A92">
            <w:pPr>
              <w:pStyle w:val="ListBullet3"/>
            </w:pPr>
            <w:r w:rsidRPr="00E10A92">
              <w:t>legislation</w:t>
            </w:r>
          </w:p>
          <w:p w:rsidR="00000000" w:rsidRPr="00E10A92" w:rsidP="00E10A92">
            <w:pPr>
              <w:pStyle w:val="ListBullet3"/>
            </w:pPr>
            <w:r w:rsidRPr="00E10A92">
              <w:t>other relevant documentation</w:t>
            </w:r>
          </w:p>
          <w:p w:rsidR="00000000" w:rsidRPr="00E10A92" w:rsidP="00E10A92">
            <w:pPr>
              <w:pStyle w:val="ListBullet2"/>
            </w:pPr>
            <w:r w:rsidRPr="00E10A92">
              <w:t>seek feedback</w:t>
            </w:r>
          </w:p>
          <w:p w:rsidR="00000000" w:rsidRPr="00E10A92" w:rsidP="00E10A92">
            <w:pPr>
              <w:pStyle w:val="ListBullet2"/>
            </w:pPr>
            <w:r w:rsidRPr="00E10A92">
              <w:t>use and interpret non-verbal communication</w:t>
            </w:r>
          </w:p>
          <w:p w:rsidR="00000000" w:rsidRPr="00E10A92" w:rsidP="00E10A92">
            <w:pPr>
              <w:pStyle w:val="ListBullet2"/>
            </w:pPr>
            <w:r w:rsidRPr="00E10A92">
              <w:t>use language and concepts appropriate to cultural differences</w:t>
            </w:r>
          </w:p>
          <w:p w:rsidR="00000000" w:rsidRPr="00E10A92" w:rsidP="00E10A92">
            <w:pPr>
              <w:pStyle w:val="ListBullet2"/>
            </w:pPr>
            <w:r w:rsidRPr="00E10A92">
              <w:t>written skills to complete relevant documentation</w:t>
            </w:r>
          </w:p>
          <w:p w:rsidR="00000000" w:rsidRPr="00E10A92" w:rsidP="00E10A92">
            <w:pPr>
              <w:pStyle w:val="ListBullet"/>
            </w:pPr>
            <w:r w:rsidRPr="00E10A92">
              <w:t>conceptualising and envisaging unique solutio</w:t>
            </w:r>
            <w:r w:rsidRPr="00E10A92">
              <w:t>ns to complex problems and situations</w:t>
            </w:r>
          </w:p>
          <w:p w:rsidR="00000000" w:rsidRPr="00E10A92" w:rsidP="00E10A92">
            <w:pPr>
              <w:pStyle w:val="ListBullet"/>
            </w:pPr>
            <w:r w:rsidRPr="00E10A92">
              <w:t>delegating tasks within specific functional guidelines</w:t>
            </w:r>
          </w:p>
          <w:p w:rsidR="00000000" w:rsidRPr="00E10A92" w:rsidP="00E10A92">
            <w:pPr>
              <w:pStyle w:val="ListBullet"/>
            </w:pPr>
            <w:r w:rsidRPr="00E10A92">
              <w:t>directing the activities of personnel involved in the construction planning process</w:t>
            </w:r>
          </w:p>
          <w:p w:rsidR="00000000" w:rsidRPr="00E10A92" w:rsidP="00E10A92">
            <w:pPr>
              <w:pStyle w:val="ListBullet"/>
            </w:pPr>
            <w:r w:rsidRPr="00E10A92">
              <w:t>facilitating the implementation of new and modified systems</w:t>
            </w:r>
          </w:p>
          <w:p w:rsidR="00000000" w:rsidRPr="00E10A92" w:rsidP="00E10A92">
            <w:pPr>
              <w:pStyle w:val="ListBullet"/>
            </w:pPr>
            <w:r w:rsidRPr="00E10A92">
              <w:t>interpreting strategic and often ambiguous information and reaching logical and practical decisions</w:t>
            </w:r>
          </w:p>
          <w:p w:rsidR="00000000" w:rsidRPr="00E10A92" w:rsidP="00E10A92">
            <w:pPr>
              <w:pStyle w:val="ListBullet"/>
            </w:pPr>
            <w:r w:rsidRPr="00E10A92">
              <w:t>monitoring and overseeing the performance of systems and individuals involved in the process</w:t>
            </w:r>
          </w:p>
          <w:p w:rsidR="00000000" w:rsidP="00E10A92">
            <w:pPr>
              <w:pStyle w:val="ListBullet"/>
              <w:rPr>
                <w:lang w:val="en-NZ"/>
              </w:rPr>
            </w:pPr>
            <w:r w:rsidRPr="00E10A92">
              <w:t>technological skills to facilitate use of the organisation's so</w:t>
            </w:r>
            <w:r w:rsidRPr="00E10A92">
              <w:t>ftware and office equipment.</w:t>
            </w:r>
          </w:p>
        </w:tc>
      </w:tr>
      <w:tr w:rsidTr="004840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SpecialBold"/>
              </w:rPr>
              <w:t>Required knowledge</w:t>
            </w:r>
          </w:p>
        </w:tc>
      </w:tr>
      <w:tr w:rsidTr="004840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0A92" w:rsidP="00E10A92">
            <w:pPr>
              <w:pStyle w:val="BodyText"/>
            </w:pPr>
            <w:r w:rsidRPr="00E10A92">
              <w:t>Required knowledge for this unit is:</w:t>
            </w:r>
          </w:p>
          <w:p w:rsidR="00000000" w:rsidRPr="00E10A92" w:rsidP="00E10A92">
            <w:pPr>
              <w:pStyle w:val="ListBullet"/>
            </w:pPr>
            <w:r w:rsidRPr="00E10A92">
              <w:t>financial and business principles as they apply to the building and construction industry</w:t>
            </w:r>
          </w:p>
          <w:p w:rsidR="00000000" w:rsidRPr="00E10A92" w:rsidP="00E10A92">
            <w:pPr>
              <w:pStyle w:val="ListBullet"/>
            </w:pPr>
            <w:r w:rsidRPr="00E10A92">
              <w:t>human resource and industrial relations practices within the building and const</w:t>
            </w:r>
            <w:r w:rsidRPr="00E10A92">
              <w:t>ruction industry</w:t>
            </w:r>
          </w:p>
          <w:p w:rsidR="00000000" w:rsidRPr="00E10A92" w:rsidP="00E10A92">
            <w:pPr>
              <w:pStyle w:val="ListBullet"/>
            </w:pPr>
            <w:r w:rsidRPr="00E10A92">
              <w:t>organisational strategic and operational activities and mechanisms through which they are addressed</w:t>
            </w:r>
          </w:p>
          <w:p w:rsidR="00000000" w:rsidRPr="00E10A92" w:rsidP="00E10A92">
            <w:pPr>
              <w:pStyle w:val="ListBullet"/>
            </w:pPr>
            <w:r w:rsidRPr="00E10A92">
              <w:t>relevant state or territory building and construction codes, standards and regulations</w:t>
            </w:r>
          </w:p>
          <w:p w:rsidR="00000000" w:rsidRPr="00E10A92" w:rsidP="00E10A92">
            <w:pPr>
              <w:pStyle w:val="ListBullet"/>
            </w:pPr>
            <w:r w:rsidRPr="00E10A92">
              <w:t xml:space="preserve">socioeconomic and political factors which impact on </w:t>
            </w:r>
            <w:r w:rsidRPr="00E10A92">
              <w:t>the building and construction industry</w:t>
            </w:r>
          </w:p>
          <w:p w:rsidR="00000000" w:rsidRPr="00E10A92" w:rsidP="00E10A92">
            <w:pPr>
              <w:pStyle w:val="ListBullet"/>
            </w:pPr>
            <w:r w:rsidRPr="00E10A92">
              <w:t>type, breadth and scope of building and construction industry contracts.</w:t>
            </w:r>
          </w:p>
        </w:tc>
      </w:tr>
    </w:tbl>
    <w:p w:rsidR="0048402D" w:rsidP="00E10A92">
      <w:pPr>
        <w:pStyle w:val="BodyText"/>
      </w:pPr>
    </w:p>
    <w:p w:rsidR="0048402D" w:rsidP="00E10A92">
      <w:pPr>
        <w:pStyle w:val="BodyText"/>
      </w:pPr>
    </w:p>
    <w:p w:rsidR="00000000" w:rsidRPr="00E10A92" w:rsidP="00E10A92">
      <w:pPr>
        <w:pStyle w:val="AllowPageBreak"/>
      </w:pPr>
    </w:p>
    <w:p w:rsidR="00000000" w:rsidRPr="00E10A92" w:rsidP="00E10A92">
      <w:pPr>
        <w:pStyle w:val="Heading1"/>
      </w:pPr>
      <w:bookmarkStart w:id="10" w:name="O_242166"/>
      <w:bookmarkEnd w:id="10"/>
      <w:r w:rsidRPr="00E10A92">
        <w:t>Evidence Guide</w:t>
      </w:r>
    </w:p>
    <w:tbl>
      <w:tblPr>
        <w:tblW w:w="0" w:type="auto"/>
        <w:tblLayout w:type="fixed"/>
        <w:tblCellMar>
          <w:left w:w="62" w:type="dxa"/>
          <w:right w:w="62" w:type="dxa"/>
        </w:tblCellMar>
        <w:tblLook w:val="0000"/>
      </w:tblPr>
      <w:tblGrid>
        <w:gridCol w:w="3500"/>
        <w:gridCol w:w="5022"/>
      </w:tblGrid>
      <w:tr w:rsidTr="0048402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10A92">
            <w:pPr>
              <w:pStyle w:val="BodyText"/>
              <w:rPr>
                <w:lang w:val="en-NZ"/>
              </w:rPr>
            </w:pPr>
            <w:r w:rsidRPr="00E10A92">
              <w:rPr>
                <w:rStyle w:val="SpecialBold"/>
              </w:rPr>
              <w:t>EVIDENCE GUIDE</w:t>
            </w:r>
          </w:p>
        </w:tc>
      </w:tr>
      <w:tr w:rsidTr="0048402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10A92">
            <w:pPr>
              <w:pStyle w:val="BodyText"/>
              <w:rPr>
                <w:lang w:val="en-NZ"/>
              </w:rPr>
            </w:pPr>
            <w:r w:rsidRPr="00E10A92">
              <w:t>The evidence guide provides advice on assessment and must be read in conjunction with the performance criteria, required skills and knowledge, range statement and the Assessment Guidelines for the Training Package.</w:t>
            </w:r>
          </w:p>
        </w:tc>
      </w:tr>
      <w:tr w:rsidTr="0048402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E10A92" w:rsidP="00E10A92">
            <w:pPr>
              <w:pStyle w:val="BodyText"/>
            </w:pPr>
            <w:r w:rsidRPr="00E10A92">
              <w:t>This unit of com</w:t>
            </w:r>
            <w:r w:rsidRPr="00E10A92">
              <w:t>petency could be assessed by effective development, planning and implementation of an appropriate building or construction planning process.</w:t>
            </w:r>
          </w:p>
          <w:p w:rsidR="00000000" w:rsidP="00E10A92">
            <w:pPr>
              <w:pStyle w:val="BodyText"/>
              <w:rPr>
                <w:lang w:val="en-NZ"/>
              </w:rPr>
            </w:pPr>
            <w:r w:rsidRPr="00E10A92">
              <w:t>This unit of competency can be assessed in the workplace or a close simulation of the workplace environment, provid</w:t>
            </w:r>
            <w:r w:rsidRPr="00E10A92">
              <w:t xml:space="preserve">ed that simulated or project-based assessment techniques fully replicate construction workplace conditions, materials, activities, responsibilities and procedures. </w:t>
            </w:r>
          </w:p>
        </w:tc>
      </w:tr>
      <w:tr w:rsidTr="0048402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SpecialBold"/>
              </w:rPr>
              <w:t>Critical aspects for assessment and evidence required to demonstrate competency in this un</w:t>
            </w:r>
            <w:r w:rsidRPr="00E10A92">
              <w:rPr>
                <w:rStyle w:val="SpecialBold"/>
              </w:rPr>
              <w:t>it</w:t>
            </w:r>
          </w:p>
        </w:tc>
        <w:tc>
          <w:tcPr>
            <w:tcW w:w="5022" w:type="dxa"/>
            <w:tcBorders>
              <w:top w:val="nil"/>
              <w:left w:val="nil"/>
              <w:bottom w:val="nil"/>
              <w:right w:val="nil"/>
            </w:tcBorders>
            <w:tcMar>
              <w:top w:w="0" w:type="dxa"/>
              <w:left w:w="62" w:type="dxa"/>
              <w:bottom w:w="0" w:type="dxa"/>
              <w:right w:w="62" w:type="dxa"/>
            </w:tcMar>
          </w:tcPr>
          <w:p w:rsidR="00000000" w:rsidRPr="00E10A92" w:rsidP="00E10A92">
            <w:pPr>
              <w:pStyle w:val="BodyText"/>
            </w:pPr>
            <w:r w:rsidRPr="00E10A92">
              <w:t>A person who demonstrates competency in this unit must be able to provide evidence of the ability to:</w:t>
            </w:r>
          </w:p>
          <w:p w:rsidR="00000000" w:rsidRPr="00E10A92" w:rsidP="00E10A92">
            <w:pPr>
              <w:pStyle w:val="ListBullet"/>
            </w:pPr>
            <w:r w:rsidRPr="00E10A92">
              <w:t>develop a strategic focus on the mechanisms implemented to enable the construction planning process</w:t>
            </w:r>
          </w:p>
          <w:p w:rsidR="00000000" w:rsidRPr="00E10A92" w:rsidP="00E10A92">
            <w:pPr>
              <w:pStyle w:val="ListBullet"/>
            </w:pPr>
            <w:r w:rsidRPr="00E10A92">
              <w:t>interpret organisational information and reporting requirements, which results in the establishment of mechanisms that demonstrate those needs are being met</w:t>
            </w:r>
          </w:p>
          <w:p w:rsidR="00000000" w:rsidRPr="00E10A92" w:rsidP="00E10A92">
            <w:pPr>
              <w:pStyle w:val="ListBullet"/>
            </w:pPr>
            <w:r w:rsidRPr="00E10A92">
              <w:t>implement and maintain mechanisms and systems which enable demonstrable improvements to occur withi</w:t>
            </w:r>
            <w:r w:rsidRPr="00E10A92">
              <w:t>n the organisational construction planning process</w:t>
            </w:r>
          </w:p>
          <w:p w:rsidR="00000000" w:rsidRPr="00E10A92" w:rsidP="00E10A92">
            <w:pPr>
              <w:pStyle w:val="ListBullet"/>
            </w:pPr>
            <w:r w:rsidRPr="00E10A92">
              <w:t>delegate effectively and oversee tasks</w:t>
            </w:r>
          </w:p>
          <w:p w:rsidR="00000000" w:rsidP="00E10A92">
            <w:pPr>
              <w:pStyle w:val="ListBullet"/>
              <w:rPr>
                <w:lang w:val="en-NZ"/>
              </w:rPr>
            </w:pPr>
            <w:r w:rsidRPr="00E10A92">
              <w:t>communicate effectively both verbally and in writing with owners, senior management and employees.</w:t>
            </w:r>
          </w:p>
        </w:tc>
      </w:tr>
      <w:tr w:rsidTr="0048402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E10A92" w:rsidP="00E10A92">
            <w:pPr>
              <w:pStyle w:val="BodyText"/>
            </w:pPr>
            <w:r w:rsidRPr="00E10A92">
              <w:t>This competency i</w:t>
            </w:r>
            <w:r w:rsidRPr="00E10A92">
              <w:t>s to be assessed using standard and authorised work practices, safety requirements and environmental constraints.</w:t>
            </w:r>
          </w:p>
          <w:p w:rsidR="00000000" w:rsidRPr="00E10A92" w:rsidP="00E10A92">
            <w:pPr>
              <w:pStyle w:val="BodyText"/>
            </w:pPr>
            <w:r w:rsidRPr="00E10A92">
              <w:t>Assessment of essential underpinning knowledge will usually be conducted in an off-site context.</w:t>
            </w:r>
          </w:p>
          <w:p w:rsidR="00000000" w:rsidRPr="00E10A92" w:rsidP="00E10A92">
            <w:pPr>
              <w:pStyle w:val="BodyText"/>
            </w:pPr>
            <w:r w:rsidRPr="00E10A92">
              <w:t>Assessment is to comply with relevant regulat</w:t>
            </w:r>
            <w:r w:rsidRPr="00E10A92">
              <w:t>ory or Australian standards' requirements.</w:t>
            </w:r>
          </w:p>
          <w:p w:rsidR="00000000" w:rsidRPr="00E10A92" w:rsidP="00E10A92">
            <w:pPr>
              <w:pStyle w:val="BodyText"/>
            </w:pPr>
            <w:r w:rsidRPr="00E10A92">
              <w:t>Resource implications for assessment include:</w:t>
            </w:r>
          </w:p>
          <w:p w:rsidR="00000000" w:rsidRPr="00E10A92" w:rsidP="00E10A92">
            <w:pPr>
              <w:pStyle w:val="ListBullet"/>
            </w:pPr>
            <w:r w:rsidRPr="00E10A92">
              <w:t>documentation that should normally be available in a building or construction office to comply with legislation and the organisation policies</w:t>
            </w:r>
          </w:p>
          <w:p w:rsidR="00000000" w:rsidRPr="00E10A92" w:rsidP="00E10A92">
            <w:pPr>
              <w:pStyle w:val="ListBullet"/>
            </w:pPr>
            <w:r w:rsidRPr="00E10A92">
              <w:t>relevant codes, standards</w:t>
            </w:r>
            <w:r w:rsidRPr="00E10A92">
              <w:t xml:space="preserve"> and regulations</w:t>
            </w:r>
          </w:p>
          <w:p w:rsidR="00000000" w:rsidRPr="00E10A92" w:rsidP="00E10A92">
            <w:pPr>
              <w:pStyle w:val="ListBullet"/>
            </w:pPr>
            <w:r w:rsidRPr="00E10A92">
              <w:t>office equipment, including calculators, photocopiers and telephone systems</w:t>
            </w:r>
          </w:p>
          <w:p w:rsidR="00000000" w:rsidRPr="00E10A92" w:rsidP="00E10A92">
            <w:pPr>
              <w:pStyle w:val="ListBullet"/>
            </w:pPr>
            <w:r w:rsidRPr="00E10A92">
              <w:t>computers with appropriate software to view 2-D CAD drawings, run costing programs, record and print copies</w:t>
            </w:r>
          </w:p>
          <w:p w:rsidR="00000000" w:rsidRPr="00E10A92" w:rsidP="00E10A92">
            <w:pPr>
              <w:pStyle w:val="ListBullet"/>
            </w:pPr>
            <w:r w:rsidRPr="00E10A92">
              <w:t>a technical reference library with current publications</w:t>
            </w:r>
            <w:r w:rsidRPr="00E10A92">
              <w:t xml:space="preserve"> on measurement, design, building construction to support underpinning knowledge and manufacturers' product literature</w:t>
            </w:r>
          </w:p>
          <w:p w:rsidR="00000000" w:rsidRPr="00E10A92" w:rsidP="00E10A92">
            <w:pPr>
              <w:pStyle w:val="ListBullet"/>
            </w:pPr>
            <w:r w:rsidRPr="00E10A92">
              <w:t>copies of appropriate awards and workplace agreements</w:t>
            </w:r>
          </w:p>
          <w:p w:rsidR="00000000" w:rsidRPr="00E10A92" w:rsidP="00E10A92">
            <w:pPr>
              <w:pStyle w:val="ListBullet"/>
            </w:pPr>
            <w:r w:rsidRPr="00E10A92">
              <w:t>a suitable work area appropriate to the planning process.</w:t>
            </w:r>
          </w:p>
          <w:p w:rsidR="00000000" w:rsidP="00E10A92">
            <w:pPr>
              <w:pStyle w:val="BodyText"/>
              <w:rPr>
                <w:lang w:val="en-NZ"/>
              </w:rPr>
            </w:pPr>
            <w:r w:rsidRPr="00E10A92">
              <w:t>Reasonable adjustments fo</w:t>
            </w:r>
            <w:r w:rsidRPr="00E10A92">
              <w:t xml:space="preserve">r people with disabilities must be made to assessment processes where required. This could include access to modified equipment and other physical resources, and the provision of appropriate assessment support. </w:t>
            </w:r>
          </w:p>
        </w:tc>
      </w:tr>
      <w:tr w:rsidTr="0048402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E10A92" w:rsidP="00E10A92">
            <w:pPr>
              <w:pStyle w:val="BodyText"/>
            </w:pPr>
            <w:r w:rsidRPr="00E10A92">
              <w:t>Assessment methods must:</w:t>
            </w:r>
          </w:p>
          <w:p w:rsidR="00000000" w:rsidRPr="00E10A92" w:rsidP="00E10A92">
            <w:pPr>
              <w:pStyle w:val="ListBullet"/>
            </w:pPr>
            <w:r w:rsidRPr="00E10A92">
              <w:t>satisfy the endorsed Assessment Guidelines of the Construction, Plumbing and Services Training Package</w:t>
            </w:r>
          </w:p>
          <w:p w:rsidR="00000000" w:rsidRPr="00E10A92" w:rsidP="00E10A92">
            <w:pPr>
              <w:pStyle w:val="ListBullet"/>
            </w:pPr>
            <w:r w:rsidRPr="00E10A92">
              <w:t>include direct observation of tasks in real or simulated work conditions, with questioning to confirm the ability to consistentl</w:t>
            </w:r>
            <w:r w:rsidRPr="00E10A92">
              <w:t>y identify and correctly interpret the essential underpinning knowledge required for practical application</w:t>
            </w:r>
          </w:p>
          <w:p w:rsidR="00000000" w:rsidRPr="00E10A92" w:rsidP="00E10A92">
            <w:pPr>
              <w:pStyle w:val="ListBullet"/>
            </w:pPr>
            <w:r w:rsidRPr="00E10A92">
              <w:t>reinforce the integration of employability skills with workplace tasks and job roles</w:t>
            </w:r>
          </w:p>
          <w:p w:rsidR="00000000" w:rsidRPr="00E10A92" w:rsidP="00E10A92">
            <w:pPr>
              <w:pStyle w:val="ListBullet"/>
            </w:pPr>
            <w:r w:rsidRPr="00E10A92">
              <w:t>confirm that competency is verified and able to be transferred t</w:t>
            </w:r>
            <w:r w:rsidRPr="00E10A92">
              <w:t>o other circumstances and environments.</w:t>
            </w:r>
          </w:p>
          <w:p w:rsidR="00000000" w:rsidRPr="00E10A92" w:rsidP="00E10A92">
            <w:pPr>
              <w:pStyle w:val="BodyText"/>
            </w:pPr>
            <w:r w:rsidRPr="00E10A92">
              <w:t>Validity and sufficiency of evidence requires that:</w:t>
            </w:r>
          </w:p>
          <w:p w:rsidR="00000000" w:rsidRPr="00E10A92" w:rsidP="00E10A92">
            <w:pPr>
              <w:pStyle w:val="ListBullet"/>
            </w:pPr>
            <w:r w:rsidRPr="00E10A92">
              <w:t>competency will need to be demonstrated over a period of time reflecting the scope of the role and the practical requirements of the workplace</w:t>
            </w:r>
          </w:p>
          <w:p w:rsidR="00000000" w:rsidRPr="00E10A92" w:rsidP="00E10A92">
            <w:pPr>
              <w:pStyle w:val="ListBullet"/>
            </w:pPr>
            <w:r w:rsidRPr="00E10A92">
              <w:t xml:space="preserve">where the assessment </w:t>
            </w:r>
            <w:r w:rsidRPr="00E10A92">
              <w:t>is part of a structured learning experience the evidence collected must relate to a number of performances assessed at different points in time and separated by further learning and practice, with a decision on competency only taken at the point when the a</w:t>
            </w:r>
            <w:r w:rsidRPr="00E10A92">
              <w:t>ssessor has complete confidence in the person's demonstrated ability and applied knowledge</w:t>
            </w:r>
          </w:p>
          <w:p w:rsidR="00000000" w:rsidRPr="00E10A92" w:rsidP="00E10A92">
            <w:pPr>
              <w:pStyle w:val="ListBullet"/>
            </w:pPr>
            <w:r w:rsidRPr="00E10A92">
              <w:t>all assessment that is part of a structured learning experience must include a combination of direct, indirect and supplementary evidence.</w:t>
            </w:r>
          </w:p>
          <w:p w:rsidR="00000000" w:rsidRPr="00E10A92" w:rsidP="00E10A92">
            <w:pPr>
              <w:pStyle w:val="BodyText"/>
            </w:pPr>
            <w:r w:rsidRPr="00E10A92">
              <w:t>Assessment processes and t</w:t>
            </w:r>
            <w:r w:rsidRPr="00E10A92">
              <w:t>echniques should as far as is practical take into account the language, literacy and numeracy capacity of the candidate in relation to the competency being assessed.</w:t>
            </w:r>
          </w:p>
          <w:p w:rsidR="00000000" w:rsidRPr="00E10A92" w:rsidP="00E10A92">
            <w:pPr>
              <w:pStyle w:val="BodyText"/>
            </w:pPr>
            <w:r w:rsidRPr="00E10A92">
              <w:t>Supplementary evidence of competency may be obtained from relevant authenticated documenta</w:t>
            </w:r>
            <w:r w:rsidRPr="00E10A92">
              <w:t xml:space="preserve">tion from third parties, such as existing supervisors, team leaders or specialist training staff. </w:t>
            </w:r>
          </w:p>
        </w:tc>
      </w:tr>
    </w:tbl>
    <w:p w:rsidR="0048402D" w:rsidP="00E10A92">
      <w:pPr>
        <w:pStyle w:val="BodyText"/>
      </w:pPr>
    </w:p>
    <w:p w:rsidR="0048402D" w:rsidP="00E10A92">
      <w:pPr>
        <w:pStyle w:val="BodyText"/>
      </w:pPr>
    </w:p>
    <w:p w:rsidR="00000000" w:rsidRPr="00E10A92" w:rsidP="00E10A92">
      <w:pPr>
        <w:pStyle w:val="Heading1"/>
      </w:pPr>
      <w:bookmarkStart w:id="11" w:name="O_250149"/>
      <w:bookmarkEnd w:id="11"/>
      <w:r w:rsidRPr="00E10A92">
        <w:t>Range Statement</w:t>
      </w:r>
    </w:p>
    <w:tbl>
      <w:tblPr>
        <w:tblW w:w="0" w:type="auto"/>
        <w:tblLayout w:type="fixed"/>
        <w:tblCellMar>
          <w:left w:w="62" w:type="dxa"/>
          <w:right w:w="62" w:type="dxa"/>
        </w:tblCellMar>
        <w:tblLook w:val="0000"/>
      </w:tblPr>
      <w:tblGrid>
        <w:gridCol w:w="3497"/>
        <w:gridCol w:w="5025"/>
      </w:tblGrid>
      <w:tr w:rsidTr="0048402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10A92">
            <w:pPr>
              <w:pStyle w:val="BodyText"/>
              <w:rPr>
                <w:lang w:val="en-NZ"/>
              </w:rPr>
            </w:pPr>
            <w:r w:rsidRPr="00E10A92">
              <w:rPr>
                <w:rStyle w:val="SpecialBold"/>
              </w:rPr>
              <w:t>RANGE STATEMENT</w:t>
            </w:r>
          </w:p>
        </w:tc>
      </w:tr>
      <w:tr w:rsidTr="0048402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10A92">
            <w:pPr>
              <w:pStyle w:val="BodyText"/>
              <w:rPr>
                <w:lang w:val="en-NZ"/>
              </w:rPr>
            </w:pPr>
            <w:r w:rsidRPr="00E10A92">
              <w:t>The range statement relates to the unit of competency as a whole. It allows for different work environments and situations that may affect performance. Bold italicised wording, if used in the performance criteria, is detailed below. Essential operating con</w:t>
            </w:r>
            <w:r w:rsidRPr="00E10A92">
              <w:t>ditions that may be present with training and assessment (depending on the work situation, needs of the candidate, accessibility of the item, and local industry and regional contexts) may also be included.</w:t>
            </w:r>
          </w:p>
        </w:tc>
      </w:tr>
      <w:tr w:rsidTr="0048402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BoldandItalics"/>
              </w:rPr>
              <w:t>Strategic factors impacting on the planning proc</w:t>
            </w:r>
            <w:r w:rsidRPr="00E10A92">
              <w:rPr>
                <w:rStyle w:val="BoldandItalics"/>
              </w:rPr>
              <w:t>ess</w:t>
            </w:r>
            <w:r w:rsidRPr="00E10A92">
              <w:t xml:space="preserve"> include: </w:t>
            </w:r>
          </w:p>
        </w:tc>
        <w:tc>
          <w:tcPr>
            <w:tcW w:w="5025" w:type="dxa"/>
            <w:tcBorders>
              <w:top w:val="nil"/>
              <w:left w:val="nil"/>
              <w:bottom w:val="nil"/>
              <w:right w:val="nil"/>
            </w:tcBorders>
            <w:tcMar>
              <w:top w:w="0" w:type="dxa"/>
              <w:left w:w="62" w:type="dxa"/>
              <w:bottom w:w="0" w:type="dxa"/>
              <w:right w:w="62" w:type="dxa"/>
            </w:tcMar>
          </w:tcPr>
          <w:p w:rsidR="00000000" w:rsidRPr="00E10A92" w:rsidP="00E10A92">
            <w:pPr>
              <w:pStyle w:val="ListBullet"/>
            </w:pPr>
            <w:r w:rsidRPr="00E10A92">
              <w:t>clients and client needs</w:t>
            </w:r>
          </w:p>
          <w:p w:rsidR="00000000" w:rsidRPr="00E10A92" w:rsidP="00E10A92">
            <w:pPr>
              <w:pStyle w:val="ListBullet"/>
            </w:pPr>
            <w:r w:rsidRPr="00E10A92">
              <w:t>location of projects</w:t>
            </w:r>
          </w:p>
          <w:p w:rsidR="00000000" w:rsidRPr="00E10A92" w:rsidP="00E10A92">
            <w:pPr>
              <w:pStyle w:val="ListBullet"/>
            </w:pPr>
            <w:r w:rsidRPr="00E10A92">
              <w:t>logistics and location of personnel</w:t>
            </w:r>
          </w:p>
          <w:p w:rsidR="00000000" w:rsidRPr="00E10A92" w:rsidP="00E10A92">
            <w:pPr>
              <w:pStyle w:val="ListBullet"/>
            </w:pPr>
            <w:r w:rsidRPr="00E10A92">
              <w:t>market focus and structure of the organisation</w:t>
            </w:r>
          </w:p>
          <w:p w:rsidR="00000000" w:rsidRPr="00E10A92" w:rsidP="00E10A92">
            <w:pPr>
              <w:pStyle w:val="ListBullet"/>
            </w:pPr>
            <w:r w:rsidRPr="00E10A92">
              <w:t>organisation information needs and timelines</w:t>
            </w:r>
          </w:p>
          <w:p w:rsidR="00000000" w:rsidRPr="00E10A92" w:rsidP="00E10A92">
            <w:pPr>
              <w:pStyle w:val="ListBullet"/>
            </w:pPr>
            <w:r w:rsidRPr="00E10A92">
              <w:t>relevant legislative requirements, codes and standards</w:t>
            </w:r>
          </w:p>
          <w:p w:rsidR="00000000" w:rsidRPr="00E10A92" w:rsidP="00E10A92">
            <w:pPr>
              <w:pStyle w:val="ListBullet"/>
            </w:pPr>
            <w:r w:rsidRPr="00E10A92">
              <w:t>strategic organisational objectives</w:t>
            </w:r>
          </w:p>
          <w:p w:rsidR="00000000" w:rsidP="00E10A92">
            <w:pPr>
              <w:pStyle w:val="ListBullet"/>
              <w:rPr>
                <w:lang w:val="en-NZ"/>
              </w:rPr>
            </w:pPr>
            <w:r w:rsidRPr="00E10A92">
              <w:t>type of work being undertaken.</w:t>
            </w:r>
          </w:p>
        </w:tc>
      </w:tr>
      <w:tr w:rsidTr="0048402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BoldandItalics"/>
              </w:rPr>
              <w:t>Legislative</w:t>
            </w:r>
            <w:r w:rsidRPr="00E10A92">
              <w:t xml:space="preserve">, </w:t>
            </w:r>
            <w:r w:rsidRPr="00E10A92">
              <w:rPr>
                <w:rStyle w:val="BoldandItalics"/>
              </w:rPr>
              <w:t>code and standard</w:t>
            </w:r>
            <w:r w:rsidRPr="00E10A92">
              <w:t xml:space="preserve"> requirements include: </w:t>
            </w:r>
          </w:p>
        </w:tc>
        <w:tc>
          <w:tcPr>
            <w:tcW w:w="5025" w:type="dxa"/>
            <w:tcBorders>
              <w:top w:val="nil"/>
              <w:left w:val="nil"/>
              <w:bottom w:val="nil"/>
              <w:right w:val="nil"/>
            </w:tcBorders>
            <w:tcMar>
              <w:top w:w="0" w:type="dxa"/>
              <w:left w:w="62" w:type="dxa"/>
              <w:bottom w:w="0" w:type="dxa"/>
              <w:right w:w="62" w:type="dxa"/>
            </w:tcMar>
          </w:tcPr>
          <w:p w:rsidR="00000000" w:rsidRPr="00E10A92" w:rsidP="00E10A92">
            <w:pPr>
              <w:pStyle w:val="ListBullet"/>
            </w:pPr>
            <w:r w:rsidRPr="00E10A92">
              <w:t xml:space="preserve">application of the Building Code of Australia (BCA) related to the size and complexity of the project and the class of building being </w:t>
            </w:r>
            <w:r w:rsidRPr="00E10A92">
              <w:t>constructed</w:t>
            </w:r>
          </w:p>
          <w:p w:rsidR="00000000" w:rsidRPr="00E10A92" w:rsidP="00E10A92">
            <w:pPr>
              <w:pStyle w:val="ListBullet"/>
            </w:pPr>
            <w:r w:rsidRPr="00E10A92">
              <w:t>council and other relevant planning approval processes</w:t>
            </w:r>
          </w:p>
          <w:p w:rsidR="00000000" w:rsidRPr="00E10A92" w:rsidP="00E10A92">
            <w:pPr>
              <w:pStyle w:val="ListBullet"/>
            </w:pPr>
            <w:r w:rsidRPr="00E10A92">
              <w:t>OHS and other workplace standards</w:t>
            </w:r>
          </w:p>
          <w:p w:rsidR="00000000" w:rsidP="00E10A92">
            <w:pPr>
              <w:pStyle w:val="ListBullet"/>
              <w:rPr>
                <w:lang w:val="en-NZ"/>
              </w:rPr>
            </w:pPr>
            <w:r w:rsidRPr="00E10A92">
              <w:t>relevant state or territory licensing arrangements.</w:t>
            </w:r>
          </w:p>
        </w:tc>
      </w:tr>
      <w:tr w:rsidTr="0048402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BoldandItalics"/>
              </w:rPr>
              <w:t>Criteria for personnel and processes</w:t>
            </w:r>
            <w:r w:rsidRPr="00E10A92">
              <w:t xml:space="preserve"> include: </w:t>
            </w:r>
          </w:p>
        </w:tc>
        <w:tc>
          <w:tcPr>
            <w:tcW w:w="5025" w:type="dxa"/>
            <w:tcBorders>
              <w:top w:val="nil"/>
              <w:left w:val="nil"/>
              <w:bottom w:val="nil"/>
              <w:right w:val="nil"/>
            </w:tcBorders>
            <w:tcMar>
              <w:top w:w="0" w:type="dxa"/>
              <w:left w:w="62" w:type="dxa"/>
              <w:bottom w:w="0" w:type="dxa"/>
              <w:right w:w="62" w:type="dxa"/>
            </w:tcMar>
          </w:tcPr>
          <w:p w:rsidR="00000000" w:rsidRPr="00E10A92" w:rsidP="00E10A92">
            <w:pPr>
              <w:pStyle w:val="ListBullet"/>
            </w:pPr>
            <w:r w:rsidRPr="00E10A92">
              <w:t>appropriate experience and qualifications of participan</w:t>
            </w:r>
            <w:r w:rsidRPr="00E10A92">
              <w:t>ts</w:t>
            </w:r>
          </w:p>
          <w:p w:rsidR="00000000" w:rsidRPr="00E10A92" w:rsidP="00E10A92">
            <w:pPr>
              <w:pStyle w:val="ListBullet"/>
            </w:pPr>
            <w:r w:rsidRPr="00E10A92">
              <w:t>correct and timely selection of key project supervisors and administrators</w:t>
            </w:r>
          </w:p>
          <w:p w:rsidR="00000000" w:rsidRPr="00E10A92" w:rsidP="00E10A92">
            <w:pPr>
              <w:pStyle w:val="ListBullet"/>
            </w:pPr>
            <w:r w:rsidRPr="00E10A92">
              <w:t>effective lines and methods of communication</w:t>
            </w:r>
          </w:p>
          <w:p w:rsidR="00000000" w:rsidRPr="00E10A92" w:rsidP="00E10A92">
            <w:pPr>
              <w:pStyle w:val="ListBullet"/>
            </w:pPr>
            <w:r w:rsidRPr="00E10A92">
              <w:t>suitability and timing of communication</w:t>
            </w:r>
          </w:p>
          <w:p w:rsidR="00000000" w:rsidRPr="00E10A92" w:rsidP="00E10A92">
            <w:pPr>
              <w:pStyle w:val="ListBullet"/>
            </w:pPr>
            <w:r w:rsidRPr="00E10A92">
              <w:t>suitability of documentation and reporting methods</w:t>
            </w:r>
          </w:p>
          <w:p w:rsidR="00000000" w:rsidP="00E10A92">
            <w:pPr>
              <w:pStyle w:val="ListBullet"/>
              <w:rPr>
                <w:lang w:val="en-NZ"/>
              </w:rPr>
            </w:pPr>
            <w:r w:rsidRPr="00E10A92">
              <w:t>suitabilit</w:t>
            </w:r>
            <w:r w:rsidRPr="00E10A92">
              <w:t>y of work habits and timeliness of personnel.</w:t>
            </w:r>
          </w:p>
        </w:tc>
      </w:tr>
      <w:tr w:rsidTr="0048402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BoldandItalics"/>
              </w:rPr>
              <w:t>Planning quality control process</w:t>
            </w:r>
            <w:r w:rsidRPr="00E10A92">
              <w:t xml:space="preserve"> includes: </w:t>
            </w:r>
          </w:p>
        </w:tc>
        <w:tc>
          <w:tcPr>
            <w:tcW w:w="5025" w:type="dxa"/>
            <w:tcBorders>
              <w:top w:val="nil"/>
              <w:left w:val="nil"/>
              <w:bottom w:val="nil"/>
              <w:right w:val="nil"/>
            </w:tcBorders>
            <w:tcMar>
              <w:top w:w="0" w:type="dxa"/>
              <w:left w:w="62" w:type="dxa"/>
              <w:bottom w:w="0" w:type="dxa"/>
              <w:right w:w="62" w:type="dxa"/>
            </w:tcMar>
          </w:tcPr>
          <w:p w:rsidR="00000000" w:rsidRPr="00E10A92" w:rsidP="00E10A92">
            <w:pPr>
              <w:pStyle w:val="ListBullet"/>
            </w:pPr>
            <w:r w:rsidRPr="00E10A92">
              <w:t>documentation and graphical representation of data</w:t>
            </w:r>
          </w:p>
          <w:p w:rsidR="00000000" w:rsidRPr="00E10A92" w:rsidP="00E10A92">
            <w:pPr>
              <w:pStyle w:val="ListBullet"/>
            </w:pPr>
            <w:r w:rsidRPr="00E10A92">
              <w:t>establishment of performance benchmarks</w:t>
            </w:r>
          </w:p>
          <w:p w:rsidR="00000000" w:rsidRPr="00E10A92" w:rsidP="00E10A92">
            <w:pPr>
              <w:pStyle w:val="ListBullet"/>
            </w:pPr>
            <w:r w:rsidRPr="00E10A92">
              <w:t>evaluation and review methods and practices</w:t>
            </w:r>
          </w:p>
          <w:p w:rsidR="00000000" w:rsidRPr="00E10A92" w:rsidP="00E10A92">
            <w:pPr>
              <w:pStyle w:val="ListBullet"/>
            </w:pPr>
            <w:r w:rsidRPr="00E10A92">
              <w:t>feedback loops and information</w:t>
            </w:r>
            <w:r w:rsidRPr="00E10A92">
              <w:t xml:space="preserve"> extraction</w:t>
            </w:r>
          </w:p>
          <w:p w:rsidR="00000000" w:rsidRPr="00E10A92" w:rsidP="00E10A92">
            <w:pPr>
              <w:pStyle w:val="ListBullet"/>
            </w:pPr>
            <w:r w:rsidRPr="00E10A92">
              <w:t>personnel and system information gathering and insert points</w:t>
            </w:r>
          </w:p>
          <w:p w:rsidR="00000000" w:rsidP="00E10A92">
            <w:pPr>
              <w:pStyle w:val="ListBullet"/>
              <w:rPr>
                <w:lang w:val="en-NZ"/>
              </w:rPr>
            </w:pPr>
            <w:r w:rsidRPr="00E10A92">
              <w:t>project review meetings and project progress reporting.</w:t>
            </w:r>
          </w:p>
        </w:tc>
      </w:tr>
      <w:tr w:rsidTr="0048402D">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BoldandItalics"/>
              </w:rPr>
              <w:t>Recording and evaluation</w:t>
            </w:r>
            <w:r w:rsidRPr="00E10A92">
              <w:t xml:space="preserve"> include: </w:t>
            </w:r>
          </w:p>
        </w:tc>
        <w:tc>
          <w:tcPr>
            <w:tcW w:w="5025" w:type="dxa"/>
            <w:tcBorders>
              <w:top w:val="nil"/>
              <w:left w:val="nil"/>
              <w:bottom w:val="nil"/>
              <w:right w:val="nil"/>
            </w:tcBorders>
            <w:tcMar>
              <w:top w:w="0" w:type="dxa"/>
              <w:left w:w="62" w:type="dxa"/>
              <w:bottom w:w="0" w:type="dxa"/>
              <w:right w:w="62" w:type="dxa"/>
            </w:tcMar>
          </w:tcPr>
          <w:p w:rsidR="00000000" w:rsidRPr="00E10A92" w:rsidP="00E10A92">
            <w:pPr>
              <w:pStyle w:val="ListBullet"/>
            </w:pPr>
            <w:r w:rsidRPr="00E10A92">
              <w:t>key point data availability and crisis flagging</w:t>
            </w:r>
          </w:p>
          <w:p w:rsidR="00000000" w:rsidRPr="00E10A92" w:rsidP="00E10A92">
            <w:pPr>
              <w:pStyle w:val="ListBullet"/>
            </w:pPr>
            <w:r w:rsidRPr="00E10A92">
              <w:t>maintenance and redevelopment of informatio</w:t>
            </w:r>
            <w:r w:rsidRPr="00E10A92">
              <w:t>n recording systems</w:t>
            </w:r>
          </w:p>
          <w:p w:rsidR="00000000" w:rsidRPr="00E10A92" w:rsidP="00E10A92">
            <w:pPr>
              <w:pStyle w:val="ListBullet"/>
            </w:pPr>
            <w:r w:rsidRPr="00E10A92">
              <w:t>manual and electronic data recording processes</w:t>
            </w:r>
          </w:p>
          <w:p w:rsidR="00000000" w:rsidRPr="00E10A92" w:rsidP="00E10A92">
            <w:pPr>
              <w:pStyle w:val="ListBullet"/>
            </w:pPr>
            <w:r w:rsidRPr="00E10A92">
              <w:t>performance data entry and responsibility</w:t>
            </w:r>
          </w:p>
          <w:p w:rsidR="00000000" w:rsidRPr="00E10A92" w:rsidP="00E10A92">
            <w:pPr>
              <w:pStyle w:val="ListBullet"/>
            </w:pPr>
            <w:r w:rsidRPr="00E10A92">
              <w:t>programmed and crisis evaluation strategies.</w:t>
            </w:r>
          </w:p>
        </w:tc>
      </w:tr>
    </w:tbl>
    <w:p w:rsidR="0048402D" w:rsidP="00E10A92">
      <w:pPr>
        <w:pStyle w:val="BodyText"/>
      </w:pPr>
    </w:p>
    <w:p w:rsidR="0048402D" w:rsidP="00E10A92">
      <w:pPr>
        <w:pStyle w:val="BodyText"/>
      </w:pPr>
    </w:p>
    <w:p w:rsidR="00000000" w:rsidRPr="00E10A92" w:rsidP="00E10A92">
      <w:pPr>
        <w:pStyle w:val="Heading1"/>
      </w:pPr>
      <w:bookmarkStart w:id="12" w:name="O_197149"/>
      <w:bookmarkEnd w:id="12"/>
      <w:r w:rsidRPr="00E10A92">
        <w:t>Unit Sector(s)</w:t>
      </w:r>
    </w:p>
    <w:tbl>
      <w:tblPr>
        <w:tblW w:w="0" w:type="auto"/>
        <w:tblLayout w:type="fixed"/>
        <w:tblCellMar>
          <w:left w:w="62" w:type="dxa"/>
          <w:right w:w="62" w:type="dxa"/>
        </w:tblCellMar>
        <w:tblLook w:val="0000"/>
      </w:tblPr>
      <w:tblGrid>
        <w:gridCol w:w="2591"/>
        <w:gridCol w:w="5931"/>
      </w:tblGrid>
      <w:tr w:rsidTr="0048402D">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E10A92" w:rsidP="00E10A92">
            <w:pPr>
              <w:pStyle w:val="BodyText"/>
            </w:pPr>
            <w:r w:rsidRPr="00E10A92">
              <w:t>Construction</w:t>
            </w:r>
          </w:p>
        </w:tc>
      </w:tr>
    </w:tbl>
    <w:p w:rsidR="0048402D" w:rsidP="00E10A92">
      <w:pPr>
        <w:pStyle w:val="BodyText"/>
      </w:pPr>
    </w:p>
    <w:p w:rsidR="0048402D" w:rsidP="00E10A92">
      <w:pPr>
        <w:pStyle w:val="BodyText"/>
      </w:pPr>
    </w:p>
    <w:p w:rsidR="00000000" w:rsidRPr="00E10A92" w:rsidP="00E10A92">
      <w:pPr>
        <w:pStyle w:val="Heading1"/>
      </w:pPr>
      <w:bookmarkStart w:id="13" w:name="O_197146"/>
      <w:bookmarkEnd w:id="13"/>
      <w:r w:rsidRPr="00E10A92">
        <w:t>Co-requisite units</w:t>
      </w:r>
    </w:p>
    <w:tbl>
      <w:tblPr>
        <w:tblW w:w="0" w:type="auto"/>
        <w:tblLayout w:type="fixed"/>
        <w:tblCellMar>
          <w:left w:w="62" w:type="dxa"/>
          <w:right w:w="62" w:type="dxa"/>
        </w:tblCellMar>
        <w:tblLook w:val="0000"/>
      </w:tblPr>
      <w:tblGrid>
        <w:gridCol w:w="2611"/>
        <w:gridCol w:w="5911"/>
      </w:tblGrid>
      <w:tr w:rsidTr="0048402D">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E10A92" w:rsidP="00E10A92">
            <w:pPr>
              <w:pStyle w:val="BodyText"/>
            </w:pPr>
            <w:r w:rsidRPr="00E10A92">
              <w:t>Nil</w:t>
            </w:r>
          </w:p>
        </w:tc>
      </w:tr>
    </w:tbl>
    <w:p w:rsidR="0048402D" w:rsidP="00E10A92">
      <w:pPr>
        <w:pStyle w:val="BodyText"/>
      </w:pPr>
    </w:p>
    <w:p w:rsidR="0048402D" w:rsidP="00E10A92">
      <w:pPr>
        <w:pStyle w:val="BodyText"/>
      </w:pPr>
    </w:p>
    <w:p w:rsidR="00000000" w:rsidRPr="00E10A92" w:rsidP="00E10A92">
      <w:pPr>
        <w:pStyle w:val="Heading1"/>
      </w:pPr>
      <w:bookmarkStart w:id="14" w:name="O_197148"/>
      <w:bookmarkEnd w:id="14"/>
      <w:r w:rsidRPr="00E10A92">
        <w:t>Functional area</w:t>
      </w:r>
    </w:p>
    <w:tbl>
      <w:tblPr>
        <w:tblW w:w="0" w:type="auto"/>
        <w:tblLayout w:type="fixed"/>
        <w:tblCellMar>
          <w:left w:w="62" w:type="dxa"/>
          <w:right w:w="62" w:type="dxa"/>
        </w:tblCellMar>
        <w:tblLook w:val="0000"/>
      </w:tblPr>
      <w:tblGrid>
        <w:gridCol w:w="2729"/>
        <w:gridCol w:w="5793"/>
      </w:tblGrid>
      <w:tr w:rsidTr="0048402D">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E10A92">
            <w:pPr>
              <w:pStyle w:val="BodyText"/>
              <w:rPr>
                <w:lang w:val="en-NZ"/>
              </w:rPr>
            </w:pPr>
            <w:r w:rsidRPr="00E10A92">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E10A92" w:rsidP="00E10A92">
            <w:pPr>
              <w:pStyle w:val="BodyText"/>
            </w:pPr>
          </w:p>
        </w:tc>
      </w:tr>
    </w:tbl>
    <w:p w:rsidR="0048402D" w:rsidP="00E10A92">
      <w:pPr>
        <w:pStyle w:val="BodyText"/>
      </w:pPr>
    </w:p>
    <w:p w:rsidR="0048402D" w:rsidP="00E10A92">
      <w:pPr>
        <w:pStyle w:val="BodyText"/>
      </w:pPr>
    </w:p>
    <w:p w:rsidR="00000000" w:rsidRPr="00E10A92" w:rsidP="00E10A92"/>
    <w:sectPr w:rsidSect="00E10A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402D" w:rsidP="004840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2D" w:rsidP="00E10A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8402D" w:rsidP="00E10A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8402D" w:rsidP="00E10A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92" w:rsidRPr="0048402D" w:rsidP="004840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2D" w:rsidRPr="002D2AF8" w:rsidP="00E10A92">
    <w:pPr>
      <w:pStyle w:val="Header"/>
      <w:framePr w:wrap="around"/>
    </w:pPr>
    <w:r>
      <w:fldChar w:fldCharType="begin"/>
    </w:r>
    <w:r>
      <w:instrText xml:space="preserve"> TITLE   \* MERGEFORMAT </w:instrText>
    </w:r>
    <w:r>
      <w:fldChar w:fldCharType="separate"/>
    </w:r>
    <w:r>
      <w:t>CPCCBC6009A Develop, plan and implement an appropriate building or construction planning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8402D" w:rsidP="00E10A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C68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7EE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7A6E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A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A92"/>
    <w:pPr>
      <w:spacing w:before="360" w:after="60"/>
      <w:outlineLvl w:val="0"/>
    </w:pPr>
    <w:rPr>
      <w:sz w:val="32"/>
    </w:rPr>
  </w:style>
  <w:style w:type="paragraph" w:styleId="Heading2">
    <w:name w:val="heading 2"/>
    <w:basedOn w:val="HeadingBase"/>
    <w:next w:val="BodyText"/>
    <w:link w:val="Heading2Char"/>
    <w:qFormat/>
    <w:rsid w:val="00E10A92"/>
    <w:pPr>
      <w:keepLines/>
      <w:spacing w:before="240" w:after="120"/>
      <w:outlineLvl w:val="1"/>
    </w:pPr>
    <w:rPr>
      <w:sz w:val="28"/>
      <w:szCs w:val="40"/>
    </w:rPr>
  </w:style>
  <w:style w:type="paragraph" w:styleId="Heading3">
    <w:name w:val="heading 3"/>
    <w:basedOn w:val="HeadingBase"/>
    <w:next w:val="BodyText"/>
    <w:link w:val="Heading3Char"/>
    <w:qFormat/>
    <w:rsid w:val="00E10A92"/>
    <w:pPr>
      <w:spacing w:before="180" w:after="120"/>
      <w:outlineLvl w:val="2"/>
    </w:pPr>
    <w:rPr>
      <w:spacing w:val="-10"/>
      <w:kern w:val="32"/>
    </w:rPr>
  </w:style>
  <w:style w:type="paragraph" w:styleId="Heading4">
    <w:name w:val="heading 4"/>
    <w:basedOn w:val="HeadingBase"/>
    <w:next w:val="BodyText"/>
    <w:link w:val="Heading4Char"/>
    <w:qFormat/>
    <w:rsid w:val="00E10A92"/>
    <w:pPr>
      <w:spacing w:before="160" w:after="120"/>
      <w:outlineLvl w:val="3"/>
    </w:pPr>
    <w:rPr>
      <w:sz w:val="22"/>
    </w:rPr>
  </w:style>
  <w:style w:type="paragraph" w:styleId="Heading5">
    <w:name w:val="heading 5"/>
    <w:basedOn w:val="HeadingBase"/>
    <w:next w:val="Normal"/>
    <w:link w:val="Heading5Char"/>
    <w:qFormat/>
    <w:rsid w:val="00E10A92"/>
    <w:pPr>
      <w:spacing w:before="80"/>
      <w:outlineLvl w:val="4"/>
    </w:pPr>
    <w:rPr>
      <w:color w:val="918585"/>
      <w:sz w:val="20"/>
    </w:rPr>
  </w:style>
  <w:style w:type="paragraph" w:styleId="Heading6">
    <w:name w:val="heading 6"/>
    <w:basedOn w:val="HeadingBase"/>
    <w:next w:val="Normal"/>
    <w:link w:val="Heading6Char"/>
    <w:qFormat/>
    <w:rsid w:val="00E10A92"/>
    <w:pPr>
      <w:spacing w:before="60"/>
      <w:outlineLvl w:val="5"/>
    </w:pPr>
    <w:rPr>
      <w:color w:val="918585"/>
      <w:sz w:val="20"/>
    </w:rPr>
  </w:style>
  <w:style w:type="paragraph" w:styleId="Heading7">
    <w:name w:val="heading 7"/>
    <w:basedOn w:val="Normal"/>
    <w:next w:val="Normal"/>
    <w:link w:val="Heading7Char"/>
    <w:qFormat/>
    <w:rsid w:val="00E10A92"/>
    <w:pPr>
      <w:ind w:left="720"/>
      <w:outlineLvl w:val="6"/>
    </w:pPr>
    <w:rPr>
      <w:i/>
    </w:rPr>
  </w:style>
  <w:style w:type="paragraph" w:styleId="Heading8">
    <w:name w:val="heading 8"/>
    <w:basedOn w:val="Normal"/>
    <w:next w:val="Normal"/>
    <w:link w:val="Heading8Char"/>
    <w:qFormat/>
    <w:rsid w:val="00E10A92"/>
    <w:pPr>
      <w:ind w:left="720"/>
      <w:outlineLvl w:val="7"/>
    </w:pPr>
    <w:rPr>
      <w:i/>
    </w:rPr>
  </w:style>
  <w:style w:type="paragraph" w:styleId="Heading9">
    <w:name w:val="heading 9"/>
    <w:basedOn w:val="Normal"/>
    <w:next w:val="Normal"/>
    <w:link w:val="Heading9Char"/>
    <w:qFormat/>
    <w:rsid w:val="00E10A92"/>
    <w:pPr>
      <w:ind w:left="720"/>
      <w:outlineLvl w:val="8"/>
    </w:pPr>
    <w:rPr>
      <w:i/>
    </w:rPr>
  </w:style>
  <w:style w:type="character" w:default="1" w:styleId="DefaultParagraphFont">
    <w:name w:val="Default Paragraph Font"/>
    <w:uiPriority w:val="1"/>
    <w:unhideWhenUsed/>
    <w:rsid w:val="00E10A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A92"/>
  </w:style>
  <w:style w:type="character" w:customStyle="1" w:styleId="Heading1Char">
    <w:name w:val="Heading 1 Char"/>
    <w:basedOn w:val="DefaultParagraphFont"/>
    <w:link w:val="Heading1"/>
    <w:rsid w:val="00E10A92"/>
    <w:rPr>
      <w:rFonts w:ascii="Times New Roman" w:eastAsia="Times New Roman" w:hAnsi="Times New Roman" w:cs="Times New Roman"/>
      <w:b/>
      <w:sz w:val="32"/>
      <w:szCs w:val="20"/>
      <w:lang w:eastAsia="en-US"/>
    </w:rPr>
  </w:style>
  <w:style w:type="paragraph" w:styleId="BodyText">
    <w:name w:val="Body Text"/>
    <w:basedOn w:val="Normal"/>
    <w:link w:val="BodyTextChar"/>
    <w:rsid w:val="00E10A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0A92"/>
    <w:rPr>
      <w:rFonts w:ascii="Times New Roman" w:eastAsia="Times New Roman" w:hAnsi="Times New Roman" w:cs="Times New Roman"/>
      <w:sz w:val="24"/>
      <w:lang w:eastAsia="en-US"/>
    </w:rPr>
  </w:style>
  <w:style w:type="paragraph" w:styleId="Footer">
    <w:name w:val="footer"/>
    <w:basedOn w:val="Normal"/>
    <w:link w:val="FooterChar"/>
    <w:rsid w:val="00E10A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A92"/>
    <w:rPr>
      <w:rFonts w:ascii="Times New Roman" w:eastAsia="Times New Roman" w:hAnsi="Times New Roman" w:cs="Times New Roman"/>
      <w:sz w:val="16"/>
      <w:lang w:eastAsia="en-US"/>
    </w:rPr>
  </w:style>
  <w:style w:type="paragraph" w:styleId="List">
    <w:name w:val="List"/>
    <w:basedOn w:val="BodyText"/>
    <w:next w:val="BodyText"/>
    <w:rsid w:val="00E10A92"/>
    <w:pPr>
      <w:tabs>
        <w:tab w:val="left" w:pos="340"/>
      </w:tabs>
      <w:spacing w:before="60" w:after="60"/>
      <w:ind w:left="340" w:hanging="340"/>
    </w:pPr>
  </w:style>
  <w:style w:type="paragraph" w:styleId="ListBullet">
    <w:name w:val="List Bullet"/>
    <w:basedOn w:val="List"/>
    <w:rsid w:val="00E10A92"/>
    <w:pPr>
      <w:numPr>
        <w:numId w:val="14"/>
      </w:numPr>
      <w:tabs>
        <w:tab w:val="clear" w:pos="340"/>
      </w:tabs>
      <w:spacing w:before="40" w:after="40"/>
    </w:pPr>
  </w:style>
  <w:style w:type="character" w:customStyle="1" w:styleId="SpecialBold">
    <w:name w:val="Special Bold"/>
    <w:basedOn w:val="DefaultParagraphFont"/>
    <w:rsid w:val="00E10A92"/>
    <w:rPr>
      <w:b/>
      <w:spacing w:val="0"/>
    </w:rPr>
  </w:style>
  <w:style w:type="paragraph" w:styleId="ListBullet2">
    <w:name w:val="List Bullet 2"/>
    <w:basedOn w:val="List2"/>
    <w:rsid w:val="00E10A92"/>
    <w:pPr>
      <w:numPr>
        <w:numId w:val="15"/>
      </w:numPr>
      <w:tabs>
        <w:tab w:val="clear" w:pos="680"/>
      </w:tabs>
    </w:pPr>
  </w:style>
  <w:style w:type="paragraph" w:customStyle="1" w:styleId="SuperHeading">
    <w:name w:val="SuperHeading"/>
    <w:basedOn w:val="Normal"/>
    <w:rsid w:val="00E10A92"/>
    <w:pPr>
      <w:spacing w:before="240" w:after="120"/>
      <w:outlineLvl w:val="0"/>
    </w:pPr>
    <w:rPr>
      <w:rFonts w:ascii="Times New Roman" w:hAnsi="Times New Roman"/>
      <w:b/>
      <w:sz w:val="28"/>
    </w:rPr>
  </w:style>
  <w:style w:type="paragraph" w:customStyle="1" w:styleId="AllowPageBreak">
    <w:name w:val="AllowPageBreak"/>
    <w:rsid w:val="00E10A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0A92"/>
    <w:pPr>
      <w:tabs>
        <w:tab w:val="left" w:pos="680"/>
      </w:tabs>
      <w:spacing w:before="60" w:after="60"/>
      <w:ind w:left="680" w:hanging="340"/>
    </w:pPr>
  </w:style>
  <w:style w:type="paragraph" w:styleId="ListBullet3">
    <w:name w:val="List Bullet 3"/>
    <w:basedOn w:val="List3"/>
    <w:rsid w:val="00E10A92"/>
    <w:pPr>
      <w:numPr>
        <w:numId w:val="3"/>
      </w:numPr>
      <w:tabs>
        <w:tab w:val="clear" w:pos="1021"/>
      </w:tabs>
      <w:ind w:left="1037" w:hanging="357"/>
    </w:pPr>
  </w:style>
  <w:style w:type="character" w:customStyle="1" w:styleId="BoldandItalics">
    <w:name w:val="Bold and Italics"/>
    <w:qFormat/>
    <w:rsid w:val="00E10A92"/>
    <w:rPr>
      <w:b/>
      <w:i/>
      <w:u w:val="none"/>
    </w:rPr>
  </w:style>
  <w:style w:type="character" w:customStyle="1" w:styleId="Heading2Char">
    <w:name w:val="Heading 2 Char"/>
    <w:basedOn w:val="DefaultParagraphFont"/>
    <w:link w:val="Heading2"/>
    <w:rsid w:val="00E10A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A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A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A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A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A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A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A92"/>
    <w:rPr>
      <w:rFonts w:ascii="Courier New" w:eastAsia="Times New Roman" w:hAnsi="Courier New" w:cs="Times New Roman"/>
      <w:i/>
      <w:szCs w:val="20"/>
      <w:lang w:eastAsia="en-US"/>
    </w:rPr>
  </w:style>
  <w:style w:type="paragraph" w:customStyle="1" w:styleId="HeadingBase">
    <w:name w:val="Heading Base"/>
    <w:rsid w:val="00E10A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A92"/>
    <w:pPr>
      <w:tabs>
        <w:tab w:val="right" w:leader="dot" w:pos="9072"/>
      </w:tabs>
      <w:ind w:left="567"/>
    </w:pPr>
    <w:rPr>
      <w:szCs w:val="22"/>
    </w:rPr>
  </w:style>
  <w:style w:type="paragraph" w:customStyle="1" w:styleId="TOCBase">
    <w:name w:val="TOC Base"/>
    <w:rsid w:val="00E10A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A92"/>
    <w:pPr>
      <w:tabs>
        <w:tab w:val="right" w:leader="dot" w:pos="9072"/>
      </w:tabs>
      <w:spacing w:before="40" w:after="40"/>
      <w:ind w:left="284"/>
    </w:pPr>
    <w:rPr>
      <w:rFonts w:ascii="Times New Roman" w:hAnsi="Times New Roman"/>
    </w:rPr>
  </w:style>
  <w:style w:type="paragraph" w:styleId="TOC1">
    <w:name w:val="toc 1"/>
    <w:basedOn w:val="TOCBase"/>
    <w:next w:val="Normal"/>
    <w:rsid w:val="00E10A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0A92"/>
    <w:pPr>
      <w:spacing w:before="5040"/>
      <w:jc w:val="center"/>
    </w:pPr>
    <w:rPr>
      <w:sz w:val="48"/>
      <w:szCs w:val="72"/>
      <w:lang w:val="en-US"/>
    </w:rPr>
  </w:style>
  <w:style w:type="character" w:customStyle="1" w:styleId="TitleChar">
    <w:name w:val="Title Char"/>
    <w:basedOn w:val="DefaultParagraphFont"/>
    <w:link w:val="Title"/>
    <w:rsid w:val="00E10A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A92"/>
    <w:pPr>
      <w:tabs>
        <w:tab w:val="left" w:pos="3600"/>
        <w:tab w:val="left" w:pos="3958"/>
      </w:tabs>
    </w:pPr>
  </w:style>
  <w:style w:type="paragraph" w:customStyle="1" w:styleId="Note">
    <w:name w:val="Note"/>
    <w:basedOn w:val="BodyText"/>
    <w:rsid w:val="00E10A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A92"/>
    <w:pPr>
      <w:framePr w:wrap="auto" w:hAnchor="text" w:y="6049"/>
    </w:pPr>
    <w:rPr>
      <w:color w:val="000000"/>
      <w:sz w:val="40"/>
    </w:rPr>
  </w:style>
  <w:style w:type="paragraph" w:customStyle="1" w:styleId="TOCTitle">
    <w:name w:val="TOCTitle"/>
    <w:basedOn w:val="Heading1"/>
    <w:rsid w:val="00E10A92"/>
    <w:pPr>
      <w:spacing w:after="240"/>
      <w:jc w:val="center"/>
      <w:outlineLvl w:val="9"/>
    </w:pPr>
    <w:rPr>
      <w:caps/>
    </w:rPr>
  </w:style>
  <w:style w:type="paragraph" w:customStyle="1" w:styleId="Version">
    <w:name w:val="Version"/>
    <w:rsid w:val="00E10A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A92"/>
    <w:pPr>
      <w:keepNext w:val="0"/>
      <w:tabs>
        <w:tab w:val="right" w:pos="4176"/>
      </w:tabs>
      <w:ind w:left="198" w:hanging="198"/>
    </w:pPr>
    <w:rPr>
      <w:rFonts w:ascii="Garamond" w:hAnsi="Garamond"/>
    </w:rPr>
  </w:style>
  <w:style w:type="paragraph" w:styleId="IndexHeading">
    <w:name w:val="index heading"/>
    <w:basedOn w:val="Normal"/>
    <w:next w:val="Index1"/>
    <w:semiHidden/>
    <w:rsid w:val="00E10A92"/>
    <w:pPr>
      <w:spacing w:before="120" w:after="120"/>
    </w:pPr>
    <w:rPr>
      <w:rFonts w:ascii="Arial" w:hAnsi="Arial"/>
      <w:b/>
      <w:color w:val="918585"/>
      <w:sz w:val="24"/>
    </w:rPr>
  </w:style>
  <w:style w:type="paragraph" w:styleId="Header">
    <w:name w:val="header"/>
    <w:basedOn w:val="Normal"/>
    <w:link w:val="HeaderChar"/>
    <w:rsid w:val="00E10A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A92"/>
    <w:rPr>
      <w:rFonts w:ascii="Times New Roman" w:eastAsia="Times New Roman" w:hAnsi="Times New Roman" w:cs="Times New Roman"/>
      <w:sz w:val="16"/>
      <w:szCs w:val="20"/>
      <w:lang w:val="en-GB" w:eastAsia="en-US"/>
    </w:rPr>
  </w:style>
  <w:style w:type="paragraph" w:customStyle="1" w:styleId="Chapter">
    <w:name w:val="Chapter"/>
    <w:basedOn w:val="Normal"/>
    <w:rsid w:val="00E10A92"/>
    <w:pPr>
      <w:spacing w:before="240"/>
    </w:pPr>
    <w:rPr>
      <w:rFonts w:ascii="Times New Roman" w:hAnsi="Times New Roman"/>
      <w:smallCaps/>
      <w:spacing w:val="80"/>
      <w:sz w:val="28"/>
    </w:rPr>
  </w:style>
  <w:style w:type="paragraph" w:customStyle="1" w:styleId="InChapter">
    <w:name w:val="InChapter"/>
    <w:basedOn w:val="Heading3"/>
    <w:rsid w:val="00E10A92"/>
    <w:pPr>
      <w:spacing w:after="240"/>
      <w:outlineLvl w:val="9"/>
    </w:pPr>
    <w:rPr>
      <w:noProof/>
    </w:rPr>
  </w:style>
  <w:style w:type="paragraph" w:styleId="Index2">
    <w:name w:val="index 2"/>
    <w:basedOn w:val="Normal"/>
    <w:next w:val="Normal"/>
    <w:semiHidden/>
    <w:rsid w:val="00E10A92"/>
    <w:pPr>
      <w:tabs>
        <w:tab w:val="right" w:pos="4176"/>
      </w:tabs>
      <w:ind w:left="568" w:hanging="284"/>
    </w:pPr>
    <w:rPr>
      <w:rFonts w:ascii="Garamond" w:hAnsi="Garamond"/>
    </w:rPr>
  </w:style>
  <w:style w:type="paragraph" w:customStyle="1" w:styleId="Byline">
    <w:name w:val="Byline"/>
    <w:rsid w:val="00E10A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A92"/>
    <w:pPr>
      <w:tabs>
        <w:tab w:val="clear" w:pos="3600"/>
        <w:tab w:val="clear" w:pos="3958"/>
      </w:tabs>
      <w:jc w:val="right"/>
    </w:pPr>
  </w:style>
  <w:style w:type="character" w:styleId="Emphasis">
    <w:name w:val="Emphasis"/>
    <w:basedOn w:val="DefaultParagraphFont"/>
    <w:qFormat/>
    <w:rsid w:val="00E10A92"/>
    <w:rPr>
      <w:i/>
    </w:rPr>
  </w:style>
  <w:style w:type="paragraph" w:styleId="Caption">
    <w:name w:val="caption"/>
    <w:basedOn w:val="BodyText"/>
    <w:next w:val="Normal"/>
    <w:qFormat/>
    <w:rsid w:val="00E10A92"/>
    <w:pPr>
      <w:framePr w:w="2268" w:hSpace="181" w:vSpace="181" w:wrap="around" w:vAnchor="text" w:hAnchor="page" w:x="1135" w:y="285" w:anchorLock="1"/>
    </w:pPr>
    <w:rPr>
      <w:i/>
    </w:rPr>
  </w:style>
  <w:style w:type="paragraph" w:customStyle="1" w:styleId="MiniTOCTitle">
    <w:name w:val="MiniTOCTitle"/>
    <w:basedOn w:val="Heading4"/>
    <w:rsid w:val="00E10A92"/>
    <w:pPr>
      <w:spacing w:before="240"/>
      <w:outlineLvl w:val="9"/>
    </w:pPr>
    <w:rPr>
      <w:noProof/>
      <w:sz w:val="24"/>
    </w:rPr>
  </w:style>
  <w:style w:type="paragraph" w:customStyle="1" w:styleId="MiniTOCItem">
    <w:name w:val="MiniTOCItem"/>
    <w:basedOn w:val="ListBullet"/>
    <w:rsid w:val="00E10A92"/>
    <w:pPr>
      <w:numPr>
        <w:numId w:val="0"/>
      </w:numPr>
      <w:tabs>
        <w:tab w:val="right" w:leader="dot" w:pos="6521"/>
      </w:tabs>
      <w:spacing w:before="0" w:after="0"/>
    </w:pPr>
  </w:style>
  <w:style w:type="paragraph" w:customStyle="1" w:styleId="TOFTitle">
    <w:name w:val="TOFTitle"/>
    <w:basedOn w:val="TOCTitle"/>
    <w:rsid w:val="00E10A92"/>
  </w:style>
  <w:style w:type="paragraph" w:styleId="TableofFigures">
    <w:name w:val="table of figures"/>
    <w:basedOn w:val="Normal"/>
    <w:next w:val="Normal"/>
    <w:semiHidden/>
    <w:rsid w:val="00E10A92"/>
    <w:pPr>
      <w:tabs>
        <w:tab w:val="right" w:leader="dot" w:pos="9072"/>
      </w:tabs>
      <w:ind w:left="970" w:hanging="403"/>
    </w:pPr>
    <w:rPr>
      <w:rFonts w:ascii="Times New Roman" w:hAnsi="Times New Roman"/>
      <w:b/>
    </w:rPr>
  </w:style>
  <w:style w:type="paragraph" w:styleId="ListNumber">
    <w:name w:val="List Number"/>
    <w:basedOn w:val="List"/>
    <w:rsid w:val="00E10A92"/>
    <w:pPr>
      <w:numPr>
        <w:numId w:val="12"/>
      </w:numPr>
    </w:pPr>
  </w:style>
  <w:style w:type="character" w:customStyle="1" w:styleId="WingdingSymbols">
    <w:name w:val="Wingding Symbols"/>
    <w:rsid w:val="00E10A92"/>
    <w:rPr>
      <w:rFonts w:ascii="Wingdings" w:hAnsi="Wingdings"/>
    </w:rPr>
  </w:style>
  <w:style w:type="paragraph" w:customStyle="1" w:styleId="TableHeading">
    <w:name w:val="Table Heading"/>
    <w:basedOn w:val="HeadingBase"/>
    <w:rsid w:val="00E10A92"/>
    <w:pPr>
      <w:keepLines/>
      <w:pBdr>
        <w:bottom w:val="single" w:sz="6" w:space="1" w:color="918585"/>
      </w:pBdr>
      <w:spacing w:before="240"/>
    </w:pPr>
  </w:style>
  <w:style w:type="character" w:customStyle="1" w:styleId="HotSpot">
    <w:name w:val="HotSpot"/>
    <w:rsid w:val="00E10A92"/>
    <w:rPr>
      <w:color w:val="0033CC"/>
      <w:u w:val="none"/>
    </w:rPr>
  </w:style>
  <w:style w:type="paragraph" w:customStyle="1" w:styleId="BodyTextRight">
    <w:name w:val="Body Text Right"/>
    <w:basedOn w:val="BodyText"/>
    <w:rsid w:val="00E10A92"/>
    <w:pPr>
      <w:spacing w:before="0" w:after="0"/>
      <w:jc w:val="right"/>
    </w:pPr>
  </w:style>
  <w:style w:type="paragraph" w:styleId="Index3">
    <w:name w:val="index 3"/>
    <w:basedOn w:val="ListNumber2"/>
    <w:next w:val="Normal"/>
    <w:semiHidden/>
    <w:rsid w:val="00E10A92"/>
    <w:pPr>
      <w:numPr>
        <w:numId w:val="0"/>
      </w:numPr>
      <w:tabs>
        <w:tab w:val="right" w:leader="dot" w:pos="4176"/>
      </w:tabs>
    </w:pPr>
  </w:style>
  <w:style w:type="paragraph" w:styleId="ListNumber2">
    <w:name w:val="List Number 2"/>
    <w:basedOn w:val="List2"/>
    <w:rsid w:val="00E10A92"/>
    <w:pPr>
      <w:numPr>
        <w:numId w:val="11"/>
      </w:numPr>
      <w:tabs>
        <w:tab w:val="clear" w:pos="1060"/>
      </w:tabs>
    </w:pPr>
  </w:style>
  <w:style w:type="paragraph" w:customStyle="1" w:styleId="MarginNote">
    <w:name w:val="Margin Note"/>
    <w:basedOn w:val="BodyText"/>
    <w:rsid w:val="00E10A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A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A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A92"/>
    <w:rPr>
      <w:sz w:val="32"/>
    </w:rPr>
  </w:style>
  <w:style w:type="paragraph" w:customStyle="1" w:styleId="HeadingProcedure">
    <w:name w:val="Heading Procedure"/>
    <w:basedOn w:val="HeadingBase"/>
    <w:next w:val="Normal"/>
    <w:rsid w:val="00E10A92"/>
    <w:pPr>
      <w:tabs>
        <w:tab w:val="left" w:pos="0"/>
      </w:tabs>
      <w:spacing w:before="120" w:after="60"/>
    </w:pPr>
    <w:rPr>
      <w:i/>
      <w:color w:val="918585"/>
      <w:sz w:val="22"/>
    </w:rPr>
  </w:style>
  <w:style w:type="paragraph" w:customStyle="1" w:styleId="TableBodyText">
    <w:name w:val="Table Body Text"/>
    <w:basedOn w:val="BodyText"/>
    <w:rsid w:val="00E10A92"/>
    <w:pPr>
      <w:spacing w:before="60" w:after="60"/>
    </w:pPr>
  </w:style>
  <w:style w:type="paragraph" w:styleId="ListContinue">
    <w:name w:val="List Continue"/>
    <w:basedOn w:val="List"/>
    <w:rsid w:val="00E10A92"/>
    <w:pPr>
      <w:ind w:firstLine="0"/>
    </w:pPr>
  </w:style>
  <w:style w:type="paragraph" w:customStyle="1" w:styleId="ListNote">
    <w:name w:val="List Note"/>
    <w:basedOn w:val="List"/>
    <w:rsid w:val="00E10A92"/>
    <w:pPr>
      <w:pBdr>
        <w:top w:val="single" w:sz="6" w:space="2" w:color="918585"/>
        <w:bottom w:val="single" w:sz="6" w:space="2" w:color="918585"/>
      </w:pBdr>
      <w:tabs>
        <w:tab w:val="left" w:pos="1021"/>
      </w:tabs>
      <w:ind w:firstLine="0"/>
    </w:pPr>
  </w:style>
  <w:style w:type="paragraph" w:customStyle="1" w:styleId="Warning">
    <w:name w:val="Warning"/>
    <w:basedOn w:val="BodyText"/>
    <w:rsid w:val="00E10A92"/>
    <w:pPr>
      <w:shd w:val="clear" w:color="auto" w:fill="D9D9D9"/>
      <w:tabs>
        <w:tab w:val="left" w:pos="992"/>
      </w:tabs>
      <w:ind w:left="119" w:right="119"/>
    </w:pPr>
    <w:rPr>
      <w:sz w:val="20"/>
    </w:rPr>
  </w:style>
  <w:style w:type="paragraph" w:customStyle="1" w:styleId="MarginIcons">
    <w:name w:val="Margin Icons"/>
    <w:basedOn w:val="BodyText"/>
    <w:rsid w:val="00E10A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A92"/>
    <w:rPr>
      <w:rFonts w:ascii="Courier New" w:hAnsi="Courier New"/>
    </w:rPr>
  </w:style>
  <w:style w:type="paragraph" w:customStyle="1" w:styleId="NoteBullet">
    <w:name w:val="Note Bullet"/>
    <w:basedOn w:val="Note"/>
    <w:rsid w:val="00E10A92"/>
    <w:pPr>
      <w:tabs>
        <w:tab w:val="clear" w:pos="680"/>
      </w:tabs>
      <w:spacing w:before="60" w:after="60"/>
    </w:pPr>
  </w:style>
  <w:style w:type="paragraph" w:customStyle="1" w:styleId="SubHeading2">
    <w:name w:val="SubHeading2"/>
    <w:basedOn w:val="HeadingBase"/>
    <w:rsid w:val="00E10A92"/>
    <w:pPr>
      <w:spacing w:before="240" w:after="60"/>
    </w:pPr>
    <w:rPr>
      <w:sz w:val="20"/>
    </w:rPr>
  </w:style>
  <w:style w:type="paragraph" w:customStyle="1" w:styleId="SubHeading1">
    <w:name w:val="SubHeading1"/>
    <w:basedOn w:val="HeadingBase"/>
    <w:rsid w:val="00E10A92"/>
    <w:pPr>
      <w:spacing w:before="240" w:after="60"/>
    </w:pPr>
    <w:rPr>
      <w:color w:val="918585"/>
      <w:sz w:val="22"/>
    </w:rPr>
  </w:style>
  <w:style w:type="paragraph" w:customStyle="1" w:styleId="SideHeading">
    <w:name w:val="Side Heading"/>
    <w:basedOn w:val="HeadingBase"/>
    <w:rsid w:val="00E10A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A92"/>
    <w:pPr>
      <w:numPr>
        <w:numId w:val="13"/>
      </w:numPr>
    </w:pPr>
  </w:style>
  <w:style w:type="paragraph" w:styleId="PlainText">
    <w:name w:val="Plain Text"/>
    <w:basedOn w:val="Normal"/>
    <w:link w:val="PlainTextChar"/>
    <w:rsid w:val="00E10A92"/>
    <w:rPr>
      <w:sz w:val="20"/>
    </w:rPr>
  </w:style>
  <w:style w:type="character" w:customStyle="1" w:styleId="PlainTextChar">
    <w:name w:val="Plain Text Char"/>
    <w:basedOn w:val="DefaultParagraphFont"/>
    <w:link w:val="PlainText"/>
    <w:rsid w:val="00E10A92"/>
    <w:rPr>
      <w:rFonts w:ascii="Courier New" w:eastAsia="Times New Roman" w:hAnsi="Courier New" w:cs="Times New Roman"/>
      <w:sz w:val="20"/>
      <w:szCs w:val="20"/>
      <w:lang w:eastAsia="en-US"/>
    </w:rPr>
  </w:style>
  <w:style w:type="character" w:customStyle="1" w:styleId="MenuOption">
    <w:name w:val="Menu Option"/>
    <w:basedOn w:val="DefaultParagraphFont"/>
    <w:rsid w:val="00E10A92"/>
    <w:rPr>
      <w:b/>
      <w:smallCaps/>
    </w:rPr>
  </w:style>
  <w:style w:type="paragraph" w:customStyle="1" w:styleId="TableListNumber">
    <w:name w:val="Table List Number"/>
    <w:basedOn w:val="ListNumber"/>
    <w:rsid w:val="00E10A92"/>
    <w:pPr>
      <w:numPr>
        <w:numId w:val="0"/>
      </w:numPr>
    </w:pPr>
  </w:style>
  <w:style w:type="paragraph" w:styleId="TOC4">
    <w:name w:val="toc 4"/>
    <w:basedOn w:val="TOCBase"/>
    <w:next w:val="Normal"/>
    <w:semiHidden/>
    <w:rsid w:val="00E10A92"/>
    <w:pPr>
      <w:tabs>
        <w:tab w:val="right" w:leader="dot" w:pos="9071"/>
      </w:tabs>
      <w:ind w:left="1701"/>
    </w:pPr>
  </w:style>
  <w:style w:type="paragraph" w:customStyle="1" w:styleId="ListAlpha">
    <w:name w:val="List Alpha"/>
    <w:basedOn w:val="List"/>
    <w:rsid w:val="00E10A92"/>
    <w:pPr>
      <w:numPr>
        <w:numId w:val="10"/>
      </w:numPr>
    </w:pPr>
  </w:style>
  <w:style w:type="paragraph" w:customStyle="1" w:styleId="ListAlpha2">
    <w:name w:val="List Alpha 2"/>
    <w:basedOn w:val="List2"/>
    <w:rsid w:val="00E10A92"/>
    <w:pPr>
      <w:numPr>
        <w:numId w:val="9"/>
      </w:numPr>
    </w:pPr>
  </w:style>
  <w:style w:type="paragraph" w:styleId="List3">
    <w:name w:val="List 3"/>
    <w:basedOn w:val="BodyText"/>
    <w:rsid w:val="00E10A92"/>
    <w:pPr>
      <w:tabs>
        <w:tab w:val="left" w:pos="1021"/>
      </w:tabs>
      <w:spacing w:before="60" w:after="60"/>
      <w:ind w:left="1020" w:hanging="340"/>
    </w:pPr>
  </w:style>
  <w:style w:type="paragraph" w:styleId="List4">
    <w:name w:val="List 4"/>
    <w:basedOn w:val="BodyText"/>
    <w:rsid w:val="00E10A92"/>
    <w:pPr>
      <w:tabs>
        <w:tab w:val="left" w:pos="1361"/>
      </w:tabs>
      <w:spacing w:before="60" w:after="60"/>
      <w:ind w:left="1361" w:hanging="340"/>
    </w:pPr>
  </w:style>
  <w:style w:type="paragraph" w:styleId="List5">
    <w:name w:val="List 5"/>
    <w:basedOn w:val="BodyText"/>
    <w:rsid w:val="00E10A92"/>
    <w:pPr>
      <w:tabs>
        <w:tab w:val="left" w:pos="1701"/>
      </w:tabs>
      <w:spacing w:before="60" w:after="60"/>
      <w:ind w:left="1701" w:hanging="340"/>
    </w:pPr>
  </w:style>
  <w:style w:type="paragraph" w:styleId="ListBullet4">
    <w:name w:val="List Bullet 4"/>
    <w:basedOn w:val="List4"/>
    <w:rsid w:val="00E10A92"/>
    <w:pPr>
      <w:numPr>
        <w:numId w:val="4"/>
      </w:numPr>
    </w:pPr>
  </w:style>
  <w:style w:type="paragraph" w:styleId="ListBullet5">
    <w:name w:val="List Bullet 5"/>
    <w:basedOn w:val="List5"/>
    <w:rsid w:val="00E10A92"/>
    <w:pPr>
      <w:numPr>
        <w:numId w:val="5"/>
      </w:numPr>
    </w:pPr>
  </w:style>
  <w:style w:type="paragraph" w:styleId="ListContinue2">
    <w:name w:val="List Continue 2"/>
    <w:basedOn w:val="List2"/>
    <w:rsid w:val="00E10A92"/>
    <w:pPr>
      <w:ind w:firstLine="0"/>
    </w:pPr>
  </w:style>
  <w:style w:type="paragraph" w:styleId="ListContinue3">
    <w:name w:val="List Continue 3"/>
    <w:basedOn w:val="List3"/>
    <w:rsid w:val="00E10A92"/>
    <w:pPr>
      <w:ind w:left="1021" w:firstLine="0"/>
    </w:pPr>
  </w:style>
  <w:style w:type="paragraph" w:styleId="ListContinue4">
    <w:name w:val="List Continue 4"/>
    <w:basedOn w:val="List4"/>
    <w:rsid w:val="00E10A92"/>
    <w:pPr>
      <w:ind w:firstLine="0"/>
    </w:pPr>
  </w:style>
  <w:style w:type="paragraph" w:styleId="ListContinue5">
    <w:name w:val="List Continue 5"/>
    <w:basedOn w:val="List5"/>
    <w:rsid w:val="00E10A92"/>
    <w:pPr>
      <w:ind w:firstLine="0"/>
    </w:pPr>
  </w:style>
  <w:style w:type="paragraph" w:styleId="ListNumber3">
    <w:name w:val="List Number 3"/>
    <w:basedOn w:val="List3"/>
    <w:rsid w:val="00E10A92"/>
    <w:pPr>
      <w:numPr>
        <w:numId w:val="6"/>
      </w:numPr>
    </w:pPr>
  </w:style>
  <w:style w:type="paragraph" w:styleId="ListNumber4">
    <w:name w:val="List Number 4"/>
    <w:basedOn w:val="List4"/>
    <w:rsid w:val="00E10A92"/>
    <w:pPr>
      <w:numPr>
        <w:numId w:val="7"/>
      </w:numPr>
    </w:pPr>
  </w:style>
  <w:style w:type="paragraph" w:styleId="ListNumber5">
    <w:name w:val="List Number 5"/>
    <w:basedOn w:val="List5"/>
    <w:rsid w:val="00E10A92"/>
    <w:pPr>
      <w:numPr>
        <w:numId w:val="8"/>
      </w:numPr>
    </w:pPr>
  </w:style>
  <w:style w:type="paragraph" w:styleId="BlockText">
    <w:name w:val="Block Text"/>
    <w:basedOn w:val="Normal"/>
    <w:rsid w:val="00E10A92"/>
    <w:pPr>
      <w:spacing w:after="120"/>
      <w:ind w:left="1440" w:right="1440"/>
    </w:pPr>
  </w:style>
  <w:style w:type="character" w:customStyle="1" w:styleId="Subscript">
    <w:name w:val="Subscript"/>
    <w:basedOn w:val="DefaultParagraphFont"/>
    <w:rsid w:val="00E10A92"/>
    <w:rPr>
      <w:sz w:val="16"/>
      <w:vertAlign w:val="subscript"/>
    </w:rPr>
  </w:style>
  <w:style w:type="character" w:customStyle="1" w:styleId="Superscript">
    <w:name w:val="Superscript"/>
    <w:basedOn w:val="DefaultParagraphFont"/>
    <w:rsid w:val="00E10A92"/>
    <w:rPr>
      <w:sz w:val="16"/>
      <w:vertAlign w:val="superscript"/>
    </w:rPr>
  </w:style>
  <w:style w:type="character" w:customStyle="1" w:styleId="Symbols">
    <w:name w:val="Symbols"/>
    <w:basedOn w:val="DefaultParagraphFont"/>
    <w:rsid w:val="00E10A92"/>
    <w:rPr>
      <w:rFonts w:ascii="Symbol" w:hAnsi="Symbol"/>
    </w:rPr>
  </w:style>
  <w:style w:type="character" w:customStyle="1" w:styleId="MenuOptions">
    <w:name w:val="Menu Options"/>
    <w:basedOn w:val="DefaultParagraphFont"/>
    <w:rsid w:val="00E10A92"/>
    <w:rPr>
      <w:rFonts w:ascii="Arial Narrow" w:hAnsi="Arial Narrow"/>
      <w:smallCaps/>
    </w:rPr>
  </w:style>
  <w:style w:type="character" w:customStyle="1" w:styleId="Buttons">
    <w:name w:val="Buttons"/>
    <w:basedOn w:val="DefaultParagraphFont"/>
    <w:rsid w:val="00E10A92"/>
    <w:rPr>
      <w:b/>
    </w:rPr>
  </w:style>
  <w:style w:type="character" w:customStyle="1" w:styleId="Underlined">
    <w:name w:val="Underlined"/>
    <w:basedOn w:val="DefaultParagraphFont"/>
    <w:rsid w:val="00E10A92"/>
    <w:rPr>
      <w:u w:val="single"/>
    </w:rPr>
  </w:style>
  <w:style w:type="paragraph" w:customStyle="1" w:styleId="TableBodyTextRight">
    <w:name w:val="Table Body Text Right"/>
    <w:basedOn w:val="TableBodyText"/>
    <w:rsid w:val="00E10A92"/>
    <w:pPr>
      <w:widowControl w:val="0"/>
      <w:autoSpaceDE w:val="0"/>
      <w:autoSpaceDN w:val="0"/>
      <w:adjustRightInd w:val="0"/>
      <w:jc w:val="right"/>
    </w:pPr>
    <w:rPr>
      <w:rFonts w:cs="Arial"/>
      <w:szCs w:val="18"/>
    </w:rPr>
  </w:style>
  <w:style w:type="paragraph" w:customStyle="1" w:styleId="CopyrightText">
    <w:name w:val="Copyright Text"/>
    <w:basedOn w:val="BodyText"/>
    <w:rsid w:val="00E10A92"/>
    <w:rPr>
      <w:sz w:val="18"/>
    </w:rPr>
  </w:style>
  <w:style w:type="paragraph" w:customStyle="1" w:styleId="BodySmallRight">
    <w:name w:val="Body Small Right"/>
    <w:basedOn w:val="BodyTextRight"/>
    <w:rsid w:val="00E10A92"/>
    <w:rPr>
      <w:sz w:val="18"/>
      <w:szCs w:val="18"/>
    </w:rPr>
  </w:style>
  <w:style w:type="paragraph" w:customStyle="1" w:styleId="MarginEdition">
    <w:name w:val="Margin Edition"/>
    <w:basedOn w:val="MarginNote"/>
    <w:rsid w:val="00E10A92"/>
    <w:pPr>
      <w:spacing w:before="0" w:after="0"/>
    </w:pPr>
    <w:rPr>
      <w:rFonts w:ascii="Times New Roman" w:hAnsi="Times New Roman"/>
      <w:color w:val="999999"/>
    </w:rPr>
  </w:style>
  <w:style w:type="paragraph" w:customStyle="1" w:styleId="Spacer">
    <w:name w:val="Spacer"/>
    <w:basedOn w:val="Normal"/>
    <w:rsid w:val="00E10A92"/>
    <w:rPr>
      <w:sz w:val="2"/>
      <w:szCs w:val="2"/>
    </w:rPr>
  </w:style>
  <w:style w:type="character" w:customStyle="1" w:styleId="Small">
    <w:name w:val="Small"/>
    <w:basedOn w:val="DefaultParagraphFont"/>
    <w:rsid w:val="00E10A92"/>
    <w:rPr>
      <w:sz w:val="16"/>
    </w:rPr>
  </w:style>
  <w:style w:type="paragraph" w:customStyle="1" w:styleId="WideTable">
    <w:name w:val="Wide Table"/>
    <w:basedOn w:val="Normal"/>
    <w:rsid w:val="00E10A92"/>
    <w:pPr>
      <w:ind w:left="-1418"/>
    </w:pPr>
    <w:rPr>
      <w:sz w:val="2"/>
      <w:szCs w:val="2"/>
    </w:rPr>
  </w:style>
  <w:style w:type="character" w:styleId="PageNumber">
    <w:name w:val="page number"/>
    <w:basedOn w:val="DefaultParagraphFont"/>
    <w:rsid w:val="00E10A92"/>
  </w:style>
  <w:style w:type="paragraph" w:styleId="Quote">
    <w:name w:val="Quote"/>
    <w:basedOn w:val="Heading1"/>
    <w:link w:val="QuoteChar"/>
    <w:qFormat/>
    <w:rsid w:val="00E10A92"/>
    <w:rPr>
      <w:b w:val="0"/>
      <w:sz w:val="72"/>
      <w:szCs w:val="72"/>
      <w:lang w:val="en-NZ"/>
    </w:rPr>
  </w:style>
  <w:style w:type="character" w:customStyle="1" w:styleId="QuoteChar">
    <w:name w:val="Quote Char"/>
    <w:basedOn w:val="DefaultParagraphFont"/>
    <w:link w:val="Quote"/>
    <w:rsid w:val="00E10A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A92"/>
    <w:pPr>
      <w:pageBreakBefore/>
    </w:pPr>
  </w:style>
  <w:style w:type="paragraph" w:customStyle="1" w:styleId="Border">
    <w:name w:val="Border"/>
    <w:basedOn w:val="Normal"/>
    <w:qFormat/>
    <w:rsid w:val="00E10A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A92"/>
    <w:rPr>
      <w:b/>
      <w:bCs/>
      <w:i/>
      <w:iCs/>
      <w:color w:val="auto"/>
    </w:rPr>
  </w:style>
  <w:style w:type="paragraph" w:styleId="IntenseQuote">
    <w:name w:val="Intense Quote"/>
    <w:basedOn w:val="Normal"/>
    <w:next w:val="Normal"/>
    <w:link w:val="IntenseQuoteChar"/>
    <w:uiPriority w:val="30"/>
    <w:qFormat/>
    <w:rsid w:val="00E10A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A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A92"/>
    <w:rPr>
      <w:smallCaps/>
      <w:color w:val="auto"/>
      <w:u w:val="single"/>
    </w:rPr>
  </w:style>
  <w:style w:type="character" w:styleId="IntenseReference">
    <w:name w:val="Intense Reference"/>
    <w:basedOn w:val="DefaultParagraphFont"/>
    <w:uiPriority w:val="32"/>
    <w:qFormat/>
    <w:rsid w:val="00E10A92"/>
    <w:rPr>
      <w:b/>
      <w:bCs/>
      <w:smallCaps/>
      <w:color w:val="auto"/>
      <w:spacing w:val="5"/>
      <w:u w:val="single"/>
    </w:rPr>
  </w:style>
  <w:style w:type="paragraph" w:customStyle="1" w:styleId="2ColumnHeading">
    <w:name w:val="2Column Heading"/>
    <w:basedOn w:val="BodyText"/>
    <w:qFormat/>
    <w:rsid w:val="00E10A92"/>
    <w:pPr>
      <w:spacing w:after="60"/>
      <w:ind w:left="-2268"/>
    </w:pPr>
    <w:rPr>
      <w:b/>
    </w:rPr>
  </w:style>
  <w:style w:type="paragraph" w:customStyle="1" w:styleId="Heading1TOC">
    <w:name w:val="Heading1 TOC"/>
    <w:basedOn w:val="Normal"/>
    <w:qFormat/>
    <w:rsid w:val="00E10A92"/>
    <w:pPr>
      <w:spacing w:before="240" w:after="120"/>
    </w:pPr>
    <w:rPr>
      <w:rFonts w:ascii="Times New Roman" w:hAnsi="Times New Roman"/>
      <w:b/>
      <w:sz w:val="32"/>
    </w:rPr>
  </w:style>
  <w:style w:type="paragraph" w:customStyle="1" w:styleId="Heading2TOC">
    <w:name w:val="Heading2 TOC"/>
    <w:basedOn w:val="Normal"/>
    <w:qFormat/>
    <w:rsid w:val="00E10A92"/>
    <w:pPr>
      <w:spacing w:before="240" w:after="60"/>
    </w:pPr>
    <w:rPr>
      <w:rFonts w:ascii="Times New Roman" w:hAnsi="Times New Roman"/>
      <w:b/>
      <w:sz w:val="28"/>
    </w:rPr>
  </w:style>
  <w:style w:type="character" w:customStyle="1" w:styleId="Underline">
    <w:name w:val="Underline"/>
    <w:basedOn w:val="DefaultParagraphFont"/>
    <w:qFormat/>
    <w:rsid w:val="00E10A92"/>
    <w:rPr>
      <w:u w:val="single"/>
    </w:rPr>
  </w:style>
  <w:style w:type="paragraph" w:styleId="BalloonText">
    <w:name w:val="Balloon Text"/>
    <w:basedOn w:val="Normal"/>
    <w:link w:val="BalloonTextChar"/>
    <w:rsid w:val="00E10A92"/>
    <w:rPr>
      <w:rFonts w:ascii="Tahoma" w:hAnsi="Tahoma" w:cs="Tahoma"/>
      <w:sz w:val="16"/>
      <w:szCs w:val="16"/>
    </w:rPr>
  </w:style>
  <w:style w:type="character" w:customStyle="1" w:styleId="BalloonTextChar">
    <w:name w:val="Balloon Text Char"/>
    <w:basedOn w:val="DefaultParagraphFont"/>
    <w:link w:val="BalloonText"/>
    <w:rsid w:val="00E10A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A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0A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A92"/>
    <w:rPr>
      <w:b/>
      <w:color w:val="660033"/>
      <w:spacing w:val="0"/>
    </w:rPr>
  </w:style>
  <w:style w:type="paragraph" w:customStyle="1" w:styleId="Nameditemlist">
    <w:name w:val="Named item list"/>
    <w:basedOn w:val="BodyText"/>
    <w:qFormat/>
    <w:rsid w:val="00E10A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1722</Words>
  <Characters>11239</Characters>
  <Application>Microsoft Office Word</Application>
  <DocSecurity>0</DocSecurity>
  <Lines>374</Lines>
  <Paragraphs>162</Paragraphs>
  <ScaleCrop>false</ScaleCrop>
  <Company>Author-it Software Corporation Ltd.</Company>
  <LinksUpToDate>false</LinksUpToDate>
  <CharactersWithSpaces>12886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CPCCBC6009A Develop, plan and implement an appropriate building or construction planning process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2012-10-05T15:05:00Z</dcterms:created>
  <dcterms:modified xsi:type="dcterms:W3CDTF">2012-10-05T15:05:00Z</dcterms:modified>
</cp:coreProperties>
</file>