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53C" w:rsidP="0006153C">
      <w:pPr>
        <w:pStyle w:val="Title"/>
      </w:pPr>
      <w:bookmarkStart w:id="0" w:name="_GoBack"/>
      <w:bookmarkEnd w:id="0"/>
      <w:r>
        <w:fldChar w:fldCharType="begin"/>
      </w:r>
      <w:r>
        <w:instrText xml:space="preserve"> TITLE   \* MERGEFORMAT </w:instrText>
      </w:r>
      <w:r>
        <w:fldChar w:fldCharType="separate"/>
      </w:r>
      <w:r>
        <w:t>CPCCBC6004A Manage processes for and legal obligations of a building or construction contract</w:t>
      </w:r>
      <w:r>
        <w:fldChar w:fldCharType="end"/>
      </w:r>
    </w:p>
    <w:p w:rsidR="0006153C" w:rsidP="0006153C">
      <w:pPr>
        <w:pStyle w:val="Version"/>
        <w:sectPr w:rsidSect="00B60B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B38" w:rsidP="00B60B38">
      <w:pPr>
        <w:pStyle w:val="SuperHeading"/>
      </w:pPr>
      <w:r w:rsidRPr="00B60B38">
        <w:t>CPCCBC6004A Manage processes for and legal obligations of a building or construction contract</w:t>
      </w:r>
    </w:p>
    <w:p w:rsidR="00000000" w:rsidRPr="00B60B38" w:rsidP="00B60B38">
      <w:pPr>
        <w:pStyle w:val="Heading1"/>
      </w:pPr>
      <w:bookmarkStart w:id="1" w:name="O_269464"/>
      <w:bookmarkEnd w:id="1"/>
      <w:r w:rsidRPr="00B60B38">
        <w:t>Modification History</w:t>
      </w:r>
    </w:p>
    <w:p w:rsidR="00000000" w:rsidRPr="00B60B38" w:rsidP="00B60B38">
      <w:pPr>
        <w:pStyle w:val="BodyText"/>
      </w:pPr>
      <w:r w:rsidRPr="00B60B38">
        <w:t>Not Applicable</w:t>
      </w:r>
    </w:p>
    <w:p w:rsidR="00000000" w:rsidRPr="00B60B38" w:rsidP="00B60B38">
      <w:pPr>
        <w:pStyle w:val="AllowPageBreak"/>
      </w:pPr>
    </w:p>
    <w:p w:rsidR="00000000" w:rsidRPr="00B60B38" w:rsidP="00B60B38">
      <w:pPr>
        <w:pStyle w:val="Heading1"/>
      </w:pPr>
      <w:bookmarkStart w:id="2" w:name="O_197108"/>
      <w:bookmarkEnd w:id="2"/>
      <w:r w:rsidRPr="00B60B38">
        <w:t>Uni</w:t>
      </w:r>
      <w:r w:rsidRPr="00B60B38">
        <w:t>t Descriptor</w:t>
      </w:r>
    </w:p>
    <w:tbl>
      <w:tblPr>
        <w:tblW w:w="0" w:type="auto"/>
        <w:tblLayout w:type="fixed"/>
        <w:tblCellMar>
          <w:left w:w="62" w:type="dxa"/>
          <w:right w:w="62" w:type="dxa"/>
        </w:tblCellMar>
        <w:tblLook w:val="0000"/>
      </w:tblPr>
      <w:tblGrid>
        <w:gridCol w:w="2639"/>
        <w:gridCol w:w="5883"/>
      </w:tblGrid>
      <w:tr w:rsidTr="0006153C">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This unit of competency specifies the outcomes required to manage the processes for and legal obligations of a building or construction contract in an organisation involved in either residential or commercial contracting projec</w:t>
            </w:r>
            <w:r w:rsidRPr="00B60B38">
              <w:t>ts.</w:t>
            </w:r>
          </w:p>
          <w:p w:rsidR="00000000" w:rsidRPr="00B60B38" w:rsidP="00B60B38">
            <w:pPr>
              <w:pStyle w:val="BodyText"/>
            </w:pPr>
            <w:r w:rsidRPr="00B60B38">
              <w:t>It supports the establishment of a soundly based contract management system necessary to produce accurate and successful project outcomes in accordance with organisational guidelines.</w:t>
            </w:r>
          </w:p>
        </w:tc>
      </w:tr>
    </w:tbl>
    <w:p w:rsidR="0006153C" w:rsidP="00B60B38">
      <w:pPr>
        <w:pStyle w:val="BodyText"/>
      </w:pPr>
    </w:p>
    <w:p w:rsidR="0006153C" w:rsidP="00B60B38">
      <w:pPr>
        <w:pStyle w:val="BodyText"/>
      </w:pPr>
    </w:p>
    <w:p w:rsidR="00000000" w:rsidRPr="00B60B38" w:rsidP="00B60B38">
      <w:pPr>
        <w:pStyle w:val="Heading1"/>
      </w:pPr>
      <w:bookmarkStart w:id="3" w:name="O_197112"/>
      <w:bookmarkEnd w:id="3"/>
      <w:r w:rsidRPr="00B60B38">
        <w:t>Application of the Unit</w:t>
      </w:r>
    </w:p>
    <w:tbl>
      <w:tblPr>
        <w:tblW w:w="0" w:type="auto"/>
        <w:tblLayout w:type="fixed"/>
        <w:tblCellMar>
          <w:left w:w="62" w:type="dxa"/>
          <w:right w:w="62" w:type="dxa"/>
        </w:tblCellMar>
        <w:tblLook w:val="0000"/>
      </w:tblPr>
      <w:tblGrid>
        <w:gridCol w:w="2728"/>
        <w:gridCol w:w="5794"/>
      </w:tblGrid>
      <w:tr w:rsidTr="0006153C">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 xml:space="preserve">This unit of competency supports builders, project managers and related construction industry professionals responsible for coordinating and managing residential or commercial building or construction projects. </w:t>
            </w:r>
          </w:p>
        </w:tc>
      </w:tr>
    </w:tbl>
    <w:p w:rsidR="0006153C" w:rsidP="00B60B38">
      <w:pPr>
        <w:pStyle w:val="BodyText"/>
      </w:pPr>
    </w:p>
    <w:p w:rsidR="0006153C" w:rsidP="00B60B38">
      <w:pPr>
        <w:pStyle w:val="BodyText"/>
      </w:pPr>
    </w:p>
    <w:p w:rsidR="00000000" w:rsidRPr="00B60B38" w:rsidP="00B60B38">
      <w:pPr>
        <w:pStyle w:val="Heading1"/>
      </w:pPr>
      <w:bookmarkStart w:id="4" w:name="O_277724"/>
      <w:bookmarkEnd w:id="4"/>
      <w:r w:rsidRPr="00B60B38">
        <w:t>Licensing/Regulatory Inf</w:t>
      </w:r>
      <w:r w:rsidRPr="00B60B38">
        <w:t>ormation</w:t>
      </w:r>
    </w:p>
    <w:p w:rsidR="00000000" w:rsidRPr="00B60B38" w:rsidP="00B60B38">
      <w:pPr>
        <w:pStyle w:val="BodyText"/>
      </w:pPr>
      <w:r w:rsidRPr="00B60B38">
        <w:t>Not Applicable</w:t>
      </w:r>
    </w:p>
    <w:p w:rsidR="00000000" w:rsidRPr="00B60B38" w:rsidP="00B60B38">
      <w:pPr>
        <w:pStyle w:val="AllowPageBreak"/>
      </w:pPr>
    </w:p>
    <w:p w:rsidR="00000000" w:rsidRPr="00B60B38" w:rsidP="00B60B38">
      <w:pPr>
        <w:pStyle w:val="Heading1"/>
      </w:pPr>
      <w:bookmarkStart w:id="5" w:name="O_197110"/>
      <w:bookmarkEnd w:id="5"/>
      <w:r w:rsidRPr="00B60B38">
        <w:t>Pre-Requisites</w:t>
      </w:r>
    </w:p>
    <w:tbl>
      <w:tblPr>
        <w:tblW w:w="0" w:type="auto"/>
        <w:tblLayout w:type="fixed"/>
        <w:tblCellMar>
          <w:left w:w="62" w:type="dxa"/>
          <w:right w:w="62" w:type="dxa"/>
        </w:tblCellMar>
        <w:tblLook w:val="0000"/>
      </w:tblPr>
      <w:tblGrid>
        <w:gridCol w:w="2739"/>
        <w:gridCol w:w="5783"/>
      </w:tblGrid>
      <w:tr w:rsidTr="0006153C">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Nil</w:t>
            </w:r>
          </w:p>
        </w:tc>
      </w:tr>
    </w:tbl>
    <w:p w:rsidR="0006153C" w:rsidP="00B60B38">
      <w:pPr>
        <w:pStyle w:val="BodyText"/>
      </w:pPr>
    </w:p>
    <w:p w:rsidR="0006153C" w:rsidP="00B60B38">
      <w:pPr>
        <w:pStyle w:val="BodyText"/>
      </w:pPr>
    </w:p>
    <w:p w:rsidR="00000000" w:rsidRPr="00B60B38" w:rsidP="00B60B38">
      <w:pPr>
        <w:pStyle w:val="Heading1"/>
      </w:pPr>
      <w:bookmarkStart w:id="6" w:name="O_197109"/>
      <w:bookmarkEnd w:id="6"/>
      <w:r w:rsidRPr="00B60B38">
        <w:t>Employability Skills Information</w:t>
      </w:r>
    </w:p>
    <w:tbl>
      <w:tblPr>
        <w:tblW w:w="0" w:type="auto"/>
        <w:tblLayout w:type="fixed"/>
        <w:tblCellMar>
          <w:left w:w="62" w:type="dxa"/>
          <w:right w:w="62" w:type="dxa"/>
        </w:tblCellMar>
        <w:tblLook w:val="0000"/>
      </w:tblPr>
      <w:tblGrid>
        <w:gridCol w:w="2772"/>
        <w:gridCol w:w="5750"/>
      </w:tblGrid>
      <w:tr w:rsidTr="0006153C">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This unit contains employability skills.</w:t>
            </w:r>
          </w:p>
        </w:tc>
      </w:tr>
    </w:tbl>
    <w:p w:rsidR="0006153C" w:rsidP="00B60B38">
      <w:pPr>
        <w:pStyle w:val="BodyText"/>
      </w:pPr>
    </w:p>
    <w:p w:rsidR="0006153C" w:rsidP="00B60B38">
      <w:pPr>
        <w:pStyle w:val="BodyText"/>
      </w:pPr>
    </w:p>
    <w:p w:rsidR="00000000" w:rsidRPr="00B60B38" w:rsidP="00B60B38">
      <w:pPr>
        <w:pStyle w:val="Heading1"/>
      </w:pPr>
      <w:bookmarkStart w:id="7" w:name="O_287510"/>
      <w:bookmarkEnd w:id="7"/>
      <w:r w:rsidRPr="00B60B38">
        <w:t>Elements and Performance Criteria Pre-Content</w:t>
      </w:r>
    </w:p>
    <w:tbl>
      <w:tblPr>
        <w:tblW w:w="0" w:type="auto"/>
        <w:tblLayout w:type="fixed"/>
        <w:tblCellMar>
          <w:left w:w="62" w:type="dxa"/>
          <w:right w:w="62" w:type="dxa"/>
        </w:tblCellMar>
        <w:tblLook w:val="0000"/>
      </w:tblPr>
      <w:tblGrid>
        <w:gridCol w:w="2577"/>
        <w:gridCol w:w="5945"/>
      </w:tblGrid>
      <w:tr w:rsidTr="0006153C">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B60B38">
            <w:pPr>
              <w:pStyle w:val="BodyText"/>
              <w:rPr>
                <w:lang w:val="en-NZ"/>
              </w:rPr>
            </w:pPr>
            <w:r w:rsidRPr="00B60B38">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B60B38" w:rsidP="00B60B38">
            <w:pPr>
              <w:pStyle w:val="BodyText"/>
            </w:pPr>
            <w:r w:rsidRPr="00B60B38">
              <w:t>Performance criteria describe the performance needed to demonstrate achievement of the element. Where bold italicised text is used, further info</w:t>
            </w:r>
            <w:r w:rsidRPr="00B60B38">
              <w:t>rmation is detailed in the required skills and knowledge section and the range statement. Assessment of performance is to be consistent with the evidence guide.</w:t>
            </w:r>
          </w:p>
        </w:tc>
      </w:tr>
    </w:tbl>
    <w:p w:rsidR="00000000" w:rsidRPr="00B60B38" w:rsidP="00B60B38">
      <w:pPr>
        <w:pStyle w:val="BodyText"/>
      </w:pPr>
    </w:p>
    <w:p w:rsidR="00000000" w:rsidRPr="00B60B38" w:rsidP="00B60B38">
      <w:pPr>
        <w:pStyle w:val="AllowPageBreak"/>
      </w:pPr>
    </w:p>
    <w:p w:rsidR="00000000" w:rsidRPr="00B60B38" w:rsidP="00B60B38">
      <w:pPr>
        <w:pStyle w:val="Heading1"/>
      </w:pPr>
      <w:bookmarkStart w:id="8" w:name="O_234177"/>
      <w:bookmarkEnd w:id="8"/>
      <w:r w:rsidRPr="00B60B38">
        <w:t>Elements and Performance Criteria</w:t>
      </w:r>
    </w:p>
    <w:tbl>
      <w:tblPr>
        <w:tblW w:w="0" w:type="auto"/>
        <w:tblLayout w:type="fixed"/>
        <w:tblCellMar>
          <w:left w:w="62" w:type="dxa"/>
          <w:right w:w="62" w:type="dxa"/>
        </w:tblCellMar>
        <w:tblLook w:val="0000"/>
      </w:tblPr>
      <w:tblGrid>
        <w:gridCol w:w="2577"/>
        <w:gridCol w:w="5945"/>
      </w:tblGrid>
      <w:tr w:rsidTr="0006153C">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B60B38" w:rsidP="00B60B38">
            <w:pPr>
              <w:pStyle w:val="BodyText"/>
            </w:pPr>
            <w:r w:rsidRPr="00B60B38">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B60B38">
            <w:pPr>
              <w:pStyle w:val="BodyText"/>
              <w:rPr>
                <w:lang w:val="en-NZ"/>
              </w:rPr>
            </w:pPr>
            <w:r w:rsidRPr="00B60B38">
              <w:rPr>
                <w:rStyle w:val="SpecialBold"/>
              </w:rPr>
              <w:t>PERFORMANCE CRITERIA</w:t>
            </w:r>
          </w:p>
        </w:tc>
      </w:tr>
      <w:tr w:rsidTr="0006153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60B38">
            <w:pPr>
              <w:pStyle w:val="List"/>
              <w:rPr>
                <w:lang w:val="en-NZ"/>
              </w:rPr>
            </w:pPr>
            <w:r w:rsidRPr="00B60B38">
              <w:t>1.</w:t>
            </w:r>
            <w:r w:rsidRPr="00B60B38">
              <w:tab/>
            </w:r>
            <w:r w:rsidRPr="00B60B38">
              <w:t>Manage compliance with laws relating to establishing and licensing of a building contractor.</w:t>
            </w:r>
          </w:p>
        </w:tc>
        <w:tc>
          <w:tcPr>
            <w:tcW w:w="5945" w:type="dxa"/>
            <w:tcBorders>
              <w:top w:val="nil"/>
              <w:left w:val="nil"/>
              <w:bottom w:val="nil"/>
              <w:right w:val="nil"/>
            </w:tcBorders>
            <w:tcMar>
              <w:top w:w="0" w:type="dxa"/>
              <w:left w:w="62" w:type="dxa"/>
              <w:bottom w:w="0" w:type="dxa"/>
              <w:right w:w="62" w:type="dxa"/>
            </w:tcMar>
          </w:tcPr>
          <w:p w:rsidR="00000000" w:rsidRPr="00B60B38" w:rsidP="00B60B38">
            <w:pPr>
              <w:pStyle w:val="List2"/>
            </w:pPr>
            <w:r w:rsidRPr="00B60B38">
              <w:t>1.1.</w:t>
            </w:r>
            <w:r w:rsidRPr="00B60B38">
              <w:tab/>
              <w:t xml:space="preserve">Company employees are aware of and comply with requirements of laws relating to establishing and licensing of a building contractor. </w:t>
            </w:r>
          </w:p>
          <w:p w:rsidR="00000000" w:rsidRPr="00B60B38" w:rsidP="00B60B38">
            <w:pPr>
              <w:pStyle w:val="List2"/>
            </w:pPr>
            <w:r w:rsidRPr="00B60B38">
              <w:t>1.2.</w:t>
            </w:r>
            <w:r w:rsidRPr="00B60B38">
              <w:tab/>
            </w:r>
            <w:r w:rsidRPr="00B60B38">
              <w:t>Company takes necessary steps to obtain the necessary building or construction licenses.</w:t>
            </w:r>
          </w:p>
          <w:p w:rsidR="00000000" w:rsidRPr="00B60B38" w:rsidP="00B60B38">
            <w:pPr>
              <w:pStyle w:val="List2"/>
            </w:pPr>
            <w:r w:rsidRPr="00B60B38">
              <w:t>1.3.</w:t>
            </w:r>
            <w:r w:rsidRPr="00B60B38">
              <w:tab/>
              <w:t>Changes to licensing arrangements are identified and responded to in a timely manner.</w:t>
            </w:r>
          </w:p>
          <w:p w:rsidR="00000000" w:rsidP="00B60B38">
            <w:pPr>
              <w:pStyle w:val="List2"/>
              <w:rPr>
                <w:lang w:val="en-NZ"/>
              </w:rPr>
            </w:pPr>
            <w:r w:rsidRPr="00B60B38">
              <w:t>1.4.</w:t>
            </w:r>
            <w:r w:rsidRPr="00B60B38">
              <w:tab/>
              <w:t>Staff members are advised of the consequences of non-compliance with re</w:t>
            </w:r>
            <w:r w:rsidRPr="00B60B38">
              <w:t>levant legal obligations.</w:t>
            </w:r>
          </w:p>
        </w:tc>
      </w:tr>
      <w:tr w:rsidTr="0006153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60B38">
            <w:pPr>
              <w:pStyle w:val="List"/>
              <w:rPr>
                <w:lang w:val="en-NZ"/>
              </w:rPr>
            </w:pPr>
            <w:r w:rsidRPr="00B60B38">
              <w:t>2.</w:t>
            </w:r>
            <w:r w:rsidRPr="00B60B38">
              <w:tab/>
              <w:t>Manage relationships on legal matters.</w:t>
            </w:r>
          </w:p>
        </w:tc>
        <w:tc>
          <w:tcPr>
            <w:tcW w:w="5945" w:type="dxa"/>
            <w:tcBorders>
              <w:top w:val="nil"/>
              <w:left w:val="nil"/>
              <w:bottom w:val="nil"/>
              <w:right w:val="nil"/>
            </w:tcBorders>
            <w:tcMar>
              <w:top w:w="0" w:type="dxa"/>
              <w:left w:w="62" w:type="dxa"/>
              <w:bottom w:w="0" w:type="dxa"/>
              <w:right w:w="62" w:type="dxa"/>
            </w:tcMar>
          </w:tcPr>
          <w:p w:rsidR="00000000" w:rsidRPr="00B60B38" w:rsidP="00B60B38">
            <w:pPr>
              <w:pStyle w:val="List2"/>
            </w:pPr>
            <w:r w:rsidRPr="00B60B38">
              <w:t>2.1.</w:t>
            </w:r>
            <w:r w:rsidRPr="00B60B38">
              <w:tab/>
              <w:t>Processes are introduced and managed which enable the company to obtain such legal advice as may be required in relation to particular contracts.</w:t>
            </w:r>
          </w:p>
          <w:p w:rsidR="00000000" w:rsidRPr="00B60B38" w:rsidP="00B60B38">
            <w:pPr>
              <w:pStyle w:val="List2"/>
            </w:pPr>
            <w:r w:rsidRPr="00B60B38">
              <w:t>2.2.</w:t>
            </w:r>
            <w:r w:rsidRPr="00B60B38">
              <w:tab/>
              <w:t>Systems are introduced and mana</w:t>
            </w:r>
            <w:r w:rsidRPr="00B60B38">
              <w:t>ged through which legal interpretations of contract clauses or clauses within tender documents may be obtained before submission of the tender.</w:t>
            </w:r>
          </w:p>
          <w:p w:rsidR="00000000" w:rsidP="00B60B38">
            <w:pPr>
              <w:pStyle w:val="List2"/>
              <w:rPr>
                <w:lang w:val="en-NZ"/>
              </w:rPr>
            </w:pPr>
            <w:r w:rsidRPr="00B60B38">
              <w:t>2.3.</w:t>
            </w:r>
            <w:r w:rsidRPr="00B60B38">
              <w:tab/>
              <w:t>Mechanisms for dialogue are established and managed between the company and the client to improve communica</w:t>
            </w:r>
            <w:r w:rsidRPr="00B60B38">
              <w:t>tion and facilitate conciliation.</w:t>
            </w:r>
          </w:p>
        </w:tc>
      </w:tr>
      <w:tr w:rsidTr="0006153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60B38">
            <w:pPr>
              <w:pStyle w:val="List"/>
              <w:rPr>
                <w:lang w:val="en-NZ"/>
              </w:rPr>
            </w:pPr>
            <w:r w:rsidRPr="00B60B38">
              <w:t>3.</w:t>
            </w:r>
            <w:r w:rsidRPr="00B60B38">
              <w:tab/>
              <w:t>Manage the administration of regulations relating to OHS and welfare, workers' compensation, noise abatement and working hours.</w:t>
            </w:r>
          </w:p>
        </w:tc>
        <w:tc>
          <w:tcPr>
            <w:tcW w:w="5945" w:type="dxa"/>
            <w:tcBorders>
              <w:top w:val="nil"/>
              <w:left w:val="nil"/>
              <w:bottom w:val="nil"/>
              <w:right w:val="nil"/>
            </w:tcBorders>
            <w:tcMar>
              <w:top w:w="0" w:type="dxa"/>
              <w:left w:w="62" w:type="dxa"/>
              <w:bottom w:w="0" w:type="dxa"/>
              <w:right w:w="62" w:type="dxa"/>
            </w:tcMar>
          </w:tcPr>
          <w:p w:rsidR="00000000" w:rsidRPr="00B60B38" w:rsidP="00B60B38">
            <w:pPr>
              <w:pStyle w:val="List2"/>
            </w:pPr>
            <w:r w:rsidRPr="00B60B38">
              <w:t>3.1.</w:t>
            </w:r>
            <w:r w:rsidRPr="00B60B38">
              <w:tab/>
              <w:t>Administration systems that facilitate the organisation conforming to its obligations</w:t>
            </w:r>
            <w:r w:rsidRPr="00B60B38">
              <w:t xml:space="preserve"> and </w:t>
            </w:r>
            <w:r w:rsidRPr="00B60B38">
              <w:rPr>
                <w:rStyle w:val="BoldandItalics"/>
              </w:rPr>
              <w:t>regulations</w:t>
            </w:r>
            <w:r w:rsidRPr="00B60B38">
              <w:t xml:space="preserve"> under OHS and welfare, workers' compensation, noise abatement and working hours, are developed and managed. </w:t>
            </w:r>
          </w:p>
          <w:p w:rsidR="00000000" w:rsidRPr="00B60B38" w:rsidP="00B60B38">
            <w:pPr>
              <w:pStyle w:val="List2"/>
            </w:pPr>
            <w:r w:rsidRPr="00B60B38">
              <w:t>3.2.</w:t>
            </w:r>
            <w:r w:rsidRPr="00B60B38">
              <w:tab/>
              <w:t>Records demonstrating organisational compliance with legal obligations are maintained and managed.</w:t>
            </w:r>
          </w:p>
          <w:p w:rsidR="00000000" w:rsidP="00B60B38">
            <w:pPr>
              <w:pStyle w:val="List2"/>
              <w:rPr>
                <w:lang w:val="en-NZ"/>
              </w:rPr>
            </w:pPr>
            <w:r w:rsidRPr="00B60B38">
              <w:t>3.3.</w:t>
            </w:r>
            <w:r w:rsidRPr="00B60B38">
              <w:tab/>
              <w:t>Administrative guidel</w:t>
            </w:r>
            <w:r w:rsidRPr="00B60B38">
              <w:t>ines and facilities for the proper and secure storage of organisational legal documentation are established and managed.</w:t>
            </w:r>
          </w:p>
        </w:tc>
      </w:tr>
      <w:tr w:rsidTr="0006153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60B38">
            <w:pPr>
              <w:pStyle w:val="List"/>
              <w:rPr>
                <w:lang w:val="en-NZ"/>
              </w:rPr>
            </w:pPr>
            <w:r w:rsidRPr="00B60B38">
              <w:t>4.</w:t>
            </w:r>
            <w:r w:rsidRPr="00B60B38">
              <w:tab/>
              <w:t>Manage company compliance with taxation and insurance requirements of federal, state and territory legislation.</w:t>
            </w:r>
          </w:p>
        </w:tc>
        <w:tc>
          <w:tcPr>
            <w:tcW w:w="5945" w:type="dxa"/>
            <w:tcBorders>
              <w:top w:val="nil"/>
              <w:left w:val="nil"/>
              <w:bottom w:val="nil"/>
              <w:right w:val="nil"/>
            </w:tcBorders>
            <w:tcMar>
              <w:top w:w="0" w:type="dxa"/>
              <w:left w:w="62" w:type="dxa"/>
              <w:bottom w:w="0" w:type="dxa"/>
              <w:right w:w="62" w:type="dxa"/>
            </w:tcMar>
          </w:tcPr>
          <w:p w:rsidR="00000000" w:rsidRPr="00B60B38" w:rsidP="00B60B38">
            <w:pPr>
              <w:pStyle w:val="List2"/>
            </w:pPr>
            <w:r w:rsidRPr="00B60B38">
              <w:t>4.1.</w:t>
            </w:r>
            <w:r w:rsidRPr="00B60B38">
              <w:tab/>
              <w:t>Systems that s</w:t>
            </w:r>
            <w:r w:rsidRPr="00B60B38">
              <w:t xml:space="preserve">upport and maintain organisational capacity to meet </w:t>
            </w:r>
            <w:r w:rsidRPr="00B60B38">
              <w:rPr>
                <w:rStyle w:val="BoldandItalics"/>
              </w:rPr>
              <w:t>legal obligations with regard to insurance and taxation</w:t>
            </w:r>
            <w:r w:rsidRPr="00B60B38">
              <w:t xml:space="preserve"> are instigated and managed. </w:t>
            </w:r>
          </w:p>
          <w:p w:rsidR="00000000" w:rsidP="00B60B38">
            <w:pPr>
              <w:pStyle w:val="List2"/>
              <w:rPr>
                <w:lang w:val="en-NZ"/>
              </w:rPr>
            </w:pPr>
            <w:r w:rsidRPr="00B60B38">
              <w:t>4.2.</w:t>
            </w:r>
            <w:r w:rsidRPr="00B60B38">
              <w:tab/>
              <w:t xml:space="preserve">Personnel receive appropriate training and instruction in matters relating to insurance and taxation and are made </w:t>
            </w:r>
            <w:r w:rsidRPr="00B60B38">
              <w:t>aware of their responsibilities.</w:t>
            </w:r>
          </w:p>
        </w:tc>
      </w:tr>
      <w:tr w:rsidTr="0006153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60B38">
            <w:pPr>
              <w:pStyle w:val="List"/>
              <w:rPr>
                <w:lang w:val="en-NZ"/>
              </w:rPr>
            </w:pPr>
            <w:r w:rsidRPr="00B60B38">
              <w:t>5.</w:t>
            </w:r>
            <w:r w:rsidRPr="00B60B38">
              <w:tab/>
              <w:t>Manage organisational obligations and observe fair trading practice.</w:t>
            </w:r>
          </w:p>
        </w:tc>
        <w:tc>
          <w:tcPr>
            <w:tcW w:w="5945" w:type="dxa"/>
            <w:tcBorders>
              <w:top w:val="nil"/>
              <w:left w:val="nil"/>
              <w:bottom w:val="nil"/>
              <w:right w:val="nil"/>
            </w:tcBorders>
            <w:tcMar>
              <w:top w:w="0" w:type="dxa"/>
              <w:left w:w="62" w:type="dxa"/>
              <w:bottom w:w="0" w:type="dxa"/>
              <w:right w:w="62" w:type="dxa"/>
            </w:tcMar>
          </w:tcPr>
          <w:p w:rsidR="00000000" w:rsidRPr="00B60B38" w:rsidP="00B60B38">
            <w:pPr>
              <w:pStyle w:val="List2"/>
            </w:pPr>
            <w:r w:rsidRPr="00B60B38">
              <w:t>5.1.</w:t>
            </w:r>
            <w:r w:rsidRPr="00B60B38">
              <w:tab/>
              <w:t xml:space="preserve">Practices and policies are developed and implemented which facilitate the organisation meeting its obligations to its clients, </w:t>
            </w:r>
            <w:r w:rsidRPr="00B60B38">
              <w:t>subcontractors and employees.</w:t>
            </w:r>
          </w:p>
          <w:p w:rsidR="00000000" w:rsidRPr="00B60B38" w:rsidP="00B60B38">
            <w:pPr>
              <w:pStyle w:val="List2"/>
            </w:pPr>
            <w:r w:rsidRPr="00B60B38">
              <w:t>5.2.</w:t>
            </w:r>
            <w:r w:rsidRPr="00B60B38">
              <w:tab/>
              <w:t>Codes of conduct are established and enforced for all employees and subcontractors.</w:t>
            </w:r>
          </w:p>
          <w:p w:rsidR="00000000" w:rsidP="00B60B38">
            <w:pPr>
              <w:pStyle w:val="List2"/>
              <w:rPr>
                <w:lang w:val="en-NZ"/>
              </w:rPr>
            </w:pPr>
            <w:r w:rsidRPr="00B60B38">
              <w:t>5.3.</w:t>
            </w:r>
            <w:r w:rsidRPr="00B60B38">
              <w:tab/>
              <w:t>Remedial action is taken where evidence of non-compliance with fair trading principles is identified.</w:t>
            </w:r>
          </w:p>
        </w:tc>
      </w:tr>
      <w:tr w:rsidTr="0006153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60B38">
            <w:pPr>
              <w:pStyle w:val="List"/>
              <w:rPr>
                <w:lang w:val="en-NZ"/>
              </w:rPr>
            </w:pPr>
            <w:r w:rsidRPr="00B60B38">
              <w:t>6.</w:t>
            </w:r>
            <w:r w:rsidRPr="00B60B38">
              <w:tab/>
              <w:t>Manage compliance with env</w:t>
            </w:r>
            <w:r w:rsidRPr="00B60B38">
              <w:t>ironmental legislation.</w:t>
            </w:r>
          </w:p>
        </w:tc>
        <w:tc>
          <w:tcPr>
            <w:tcW w:w="5945" w:type="dxa"/>
            <w:tcBorders>
              <w:top w:val="nil"/>
              <w:left w:val="nil"/>
              <w:bottom w:val="nil"/>
              <w:right w:val="nil"/>
            </w:tcBorders>
            <w:tcMar>
              <w:top w:w="0" w:type="dxa"/>
              <w:left w:w="62" w:type="dxa"/>
              <w:bottom w:w="0" w:type="dxa"/>
              <w:right w:w="62" w:type="dxa"/>
            </w:tcMar>
          </w:tcPr>
          <w:p w:rsidR="00000000" w:rsidRPr="00B60B38" w:rsidP="00B60B38">
            <w:pPr>
              <w:pStyle w:val="List2"/>
            </w:pPr>
            <w:r w:rsidRPr="00B60B38">
              <w:t>6.1.</w:t>
            </w:r>
            <w:r w:rsidRPr="00B60B38">
              <w:tab/>
              <w:t>Mechanisms to gather information in relation to the organisational environmental management plan are established and managed.</w:t>
            </w:r>
          </w:p>
          <w:p w:rsidR="00000000" w:rsidRPr="00B60B38" w:rsidP="00B60B38">
            <w:pPr>
              <w:pStyle w:val="List2"/>
            </w:pPr>
            <w:r w:rsidRPr="00B60B38">
              <w:t>6.2.</w:t>
            </w:r>
            <w:r w:rsidRPr="00B60B38">
              <w:tab/>
              <w:t>Supply and removal of subcontract works and materials are managed and subject to constant scruti</w:t>
            </w:r>
            <w:r w:rsidRPr="00B60B38">
              <w:t>ny to ensure compliance with environmental standards.</w:t>
            </w:r>
          </w:p>
          <w:p w:rsidR="00000000" w:rsidRPr="00B60B38" w:rsidP="00B60B38">
            <w:pPr>
              <w:pStyle w:val="List2"/>
            </w:pPr>
            <w:r w:rsidRPr="00B60B38">
              <w:t>6.3.</w:t>
            </w:r>
            <w:r w:rsidRPr="00B60B38">
              <w:tab/>
              <w:t>Changes to legislation or environmental requirements are recorded and organisational activities and systems altered to ensure ongoing compliance.</w:t>
            </w:r>
          </w:p>
        </w:tc>
      </w:tr>
    </w:tbl>
    <w:p w:rsidR="0006153C" w:rsidP="00B60B38">
      <w:pPr>
        <w:pStyle w:val="BodyText"/>
      </w:pPr>
    </w:p>
    <w:p w:rsidR="0006153C" w:rsidP="00B60B38">
      <w:pPr>
        <w:pStyle w:val="BodyText"/>
      </w:pPr>
    </w:p>
    <w:p w:rsidR="00000000" w:rsidRPr="00B60B38" w:rsidP="00B60B38">
      <w:pPr>
        <w:pStyle w:val="Heading1"/>
      </w:pPr>
      <w:bookmarkStart w:id="9" w:name="O_258127"/>
      <w:bookmarkEnd w:id="9"/>
      <w:r w:rsidRPr="00B60B38">
        <w:t>Required Skills and Knowledge</w:t>
      </w:r>
    </w:p>
    <w:tbl>
      <w:tblPr>
        <w:tblW w:w="0" w:type="auto"/>
        <w:tblLayout w:type="fixed"/>
        <w:tblCellMar>
          <w:left w:w="62" w:type="dxa"/>
          <w:right w:w="62" w:type="dxa"/>
        </w:tblCellMar>
        <w:tblLook w:val="0000"/>
      </w:tblPr>
      <w:tblGrid>
        <w:gridCol w:w="8522"/>
      </w:tblGrid>
      <w:tr w:rsidTr="0006153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REQUIRED SKILLS AND KNOWLEDGE</w:t>
            </w:r>
          </w:p>
        </w:tc>
      </w:tr>
      <w:tr w:rsidTr="000615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t>This section describes the skills and knowledge required for this unit.</w:t>
            </w:r>
          </w:p>
        </w:tc>
      </w:tr>
      <w:tr w:rsidTr="000615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Required skills</w:t>
            </w:r>
          </w:p>
        </w:tc>
      </w:tr>
      <w:tr w:rsidTr="000615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Required skills for this unit are:</w:t>
            </w:r>
          </w:p>
          <w:p w:rsidR="00000000" w:rsidRPr="00B60B38" w:rsidP="00B60B38">
            <w:pPr>
              <w:pStyle w:val="ListBullet"/>
            </w:pPr>
            <w:r w:rsidRPr="00B60B38">
              <w:t>communication skills to:</w:t>
            </w:r>
          </w:p>
          <w:p w:rsidR="00000000" w:rsidRPr="00B60B38" w:rsidP="00B60B38">
            <w:pPr>
              <w:pStyle w:val="ListBullet2"/>
            </w:pPr>
            <w:r w:rsidRPr="00B60B38">
              <w:t>enable clear and direct communication, using questioning to identify and confirm requirements, share information, listen and understand</w:t>
            </w:r>
          </w:p>
          <w:p w:rsidR="00000000" w:rsidRPr="00B60B38" w:rsidP="00B60B38">
            <w:pPr>
              <w:pStyle w:val="ListBullet2"/>
            </w:pPr>
            <w:r w:rsidRPr="00B60B38">
              <w:t>communicate with clients</w:t>
            </w:r>
          </w:p>
          <w:p w:rsidR="00000000" w:rsidRPr="00B60B38" w:rsidP="00B60B38">
            <w:pPr>
              <w:pStyle w:val="ListBullet2"/>
            </w:pPr>
            <w:r w:rsidRPr="00B60B38">
              <w:t>provide information and training to staff</w:t>
            </w:r>
          </w:p>
          <w:p w:rsidR="00000000" w:rsidRPr="00B60B38" w:rsidP="00B60B38">
            <w:pPr>
              <w:pStyle w:val="ListBullet2"/>
            </w:pPr>
            <w:r w:rsidRPr="00B60B38">
              <w:t>read and interpret legislation, contracts and other r</w:t>
            </w:r>
            <w:r w:rsidRPr="00B60B38">
              <w:t>elevant documentation</w:t>
            </w:r>
          </w:p>
          <w:p w:rsidR="00000000" w:rsidRPr="00B60B38" w:rsidP="00B60B38">
            <w:pPr>
              <w:pStyle w:val="ListBullet2"/>
            </w:pPr>
            <w:r w:rsidRPr="00B60B38">
              <w:t>use and interpret non-verbal communication</w:t>
            </w:r>
          </w:p>
          <w:p w:rsidR="00000000" w:rsidRPr="00B60B38" w:rsidP="00B60B38">
            <w:pPr>
              <w:pStyle w:val="ListBullet2"/>
            </w:pPr>
            <w:r w:rsidRPr="00B60B38">
              <w:t>use language and concepts appropriate to cultural differences</w:t>
            </w:r>
          </w:p>
          <w:p w:rsidR="00000000" w:rsidRPr="00B60B38" w:rsidP="00B60B38">
            <w:pPr>
              <w:pStyle w:val="ListBullet2"/>
            </w:pPr>
            <w:r w:rsidRPr="00B60B38">
              <w:t>written skills to maintain records</w:t>
            </w:r>
          </w:p>
          <w:p w:rsidR="00000000" w:rsidRPr="00B60B38" w:rsidP="00B60B38">
            <w:pPr>
              <w:pStyle w:val="ListBullet"/>
            </w:pPr>
            <w:r w:rsidRPr="00B60B38">
              <w:t>conceptualisation and envisaging of unique solutions to complex problems and situations</w:t>
            </w:r>
          </w:p>
          <w:p w:rsidR="00000000" w:rsidRPr="00B60B38" w:rsidP="00B60B38">
            <w:pPr>
              <w:pStyle w:val="ListBullet"/>
            </w:pPr>
            <w:r w:rsidRPr="00B60B38">
              <w:t>facili</w:t>
            </w:r>
            <w:r w:rsidRPr="00B60B38">
              <w:t>tation skills to implement new and modified contract management systems</w:t>
            </w:r>
          </w:p>
          <w:p w:rsidR="00000000" w:rsidRPr="00B60B38" w:rsidP="00B60B38">
            <w:pPr>
              <w:pStyle w:val="ListBullet"/>
            </w:pPr>
            <w:r w:rsidRPr="00B60B38">
              <w:t>interpretation of strategic and often ambiguous information to ensure logical and practical decisions</w:t>
            </w:r>
          </w:p>
          <w:p w:rsidR="00000000" w:rsidRPr="00B60B38" w:rsidP="00B60B38">
            <w:pPr>
              <w:pStyle w:val="ListBullet"/>
            </w:pPr>
            <w:r w:rsidRPr="00B60B38">
              <w:t>management skills, including the ability to delegate tasks within specific functio</w:t>
            </w:r>
            <w:r w:rsidRPr="00B60B38">
              <w:t>nal guidelines and direct the activities of personnel involved in the contracts management process</w:t>
            </w:r>
          </w:p>
          <w:p w:rsidR="00000000" w:rsidRPr="00B60B38" w:rsidP="00B60B38">
            <w:pPr>
              <w:pStyle w:val="ListBullet"/>
            </w:pPr>
            <w:r w:rsidRPr="00B60B38">
              <w:t>supervisory skills to monitor and oversee the performance of the contract management systems and individuals involved in the process</w:t>
            </w:r>
          </w:p>
          <w:p w:rsidR="00000000" w:rsidP="00B60B38">
            <w:pPr>
              <w:pStyle w:val="ListBullet"/>
              <w:rPr>
                <w:lang w:val="en-NZ"/>
              </w:rPr>
            </w:pPr>
            <w:r w:rsidRPr="00B60B38">
              <w:t xml:space="preserve">technological skills to </w:t>
            </w:r>
            <w:r w:rsidRPr="00B60B38">
              <w:t>facilitate use of the organisation's software and office equipment.</w:t>
            </w:r>
          </w:p>
        </w:tc>
      </w:tr>
      <w:tr w:rsidTr="000615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Required knowledge</w:t>
            </w:r>
          </w:p>
        </w:tc>
      </w:tr>
      <w:tr w:rsidTr="000615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Required knowledge for this unit is:</w:t>
            </w:r>
          </w:p>
          <w:p w:rsidR="00000000" w:rsidRPr="00B60B38" w:rsidP="00B60B38">
            <w:pPr>
              <w:pStyle w:val="ListBullet"/>
            </w:pPr>
            <w:r w:rsidRPr="00B60B38">
              <w:t>appropriate sector of the building and construction industry and the nature of the contracts upon which its activities are based</w:t>
            </w:r>
          </w:p>
          <w:p w:rsidR="00000000" w:rsidRPr="00B60B38" w:rsidP="00B60B38">
            <w:pPr>
              <w:pStyle w:val="ListBullet"/>
            </w:pPr>
            <w:r w:rsidRPr="00B60B38">
              <w:t>factors to be considered in assessing the risk inherent in different types of building and construction projects</w:t>
            </w:r>
          </w:p>
          <w:p w:rsidR="00000000" w:rsidRPr="00B60B38" w:rsidP="00B60B38">
            <w:pPr>
              <w:pStyle w:val="ListBullet"/>
            </w:pPr>
            <w:r w:rsidRPr="00B60B38">
              <w:t>financial and business administration principles commensurate with organisational needs</w:t>
            </w:r>
          </w:p>
          <w:p w:rsidR="00000000" w:rsidRPr="00B60B38" w:rsidP="00B60B38">
            <w:pPr>
              <w:pStyle w:val="ListBullet"/>
            </w:pPr>
            <w:r w:rsidRPr="00B60B38">
              <w:t xml:space="preserve">human resource practices and the industry's industrial </w:t>
            </w:r>
            <w:r w:rsidRPr="00B60B38">
              <w:t>relations climate and practices</w:t>
            </w:r>
          </w:p>
          <w:p w:rsidR="00000000" w:rsidRPr="00B60B38" w:rsidP="00B60B38">
            <w:pPr>
              <w:pStyle w:val="ListBullet"/>
            </w:pPr>
            <w:r w:rsidRPr="00B60B38">
              <w:t>legislative, regulatory, and administrative obligations incumbent on the building and construction industry for OHS, environmental, employment and financial practices.</w:t>
            </w:r>
          </w:p>
        </w:tc>
      </w:tr>
    </w:tbl>
    <w:p w:rsidR="0006153C" w:rsidP="00B60B38">
      <w:pPr>
        <w:pStyle w:val="BodyText"/>
      </w:pPr>
    </w:p>
    <w:p w:rsidR="0006153C" w:rsidP="00B60B38">
      <w:pPr>
        <w:pStyle w:val="BodyText"/>
      </w:pPr>
    </w:p>
    <w:p w:rsidR="00000000" w:rsidRPr="00B60B38" w:rsidP="00B60B38">
      <w:pPr>
        <w:pStyle w:val="AllowPageBreak"/>
      </w:pPr>
    </w:p>
    <w:p w:rsidR="00000000" w:rsidRPr="00B60B38" w:rsidP="00B60B38">
      <w:pPr>
        <w:pStyle w:val="Heading1"/>
      </w:pPr>
      <w:bookmarkStart w:id="10" w:name="O_242161"/>
      <w:bookmarkEnd w:id="10"/>
      <w:r w:rsidRPr="00B60B38">
        <w:t>Evidence Guide</w:t>
      </w:r>
    </w:p>
    <w:tbl>
      <w:tblPr>
        <w:tblW w:w="0" w:type="auto"/>
        <w:tblLayout w:type="fixed"/>
        <w:tblCellMar>
          <w:left w:w="62" w:type="dxa"/>
          <w:right w:w="62" w:type="dxa"/>
        </w:tblCellMar>
        <w:tblLook w:val="0000"/>
      </w:tblPr>
      <w:tblGrid>
        <w:gridCol w:w="3500"/>
        <w:gridCol w:w="5022"/>
      </w:tblGrid>
      <w:tr w:rsidTr="0006153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60B38">
            <w:pPr>
              <w:pStyle w:val="BodyText"/>
              <w:rPr>
                <w:lang w:val="en-NZ"/>
              </w:rPr>
            </w:pPr>
            <w:r w:rsidRPr="00B60B38">
              <w:rPr>
                <w:rStyle w:val="SpecialBold"/>
              </w:rPr>
              <w:t>EVIDENCE GUIDE</w:t>
            </w:r>
          </w:p>
        </w:tc>
      </w:tr>
      <w:tr w:rsidTr="0006153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60B38">
            <w:pPr>
              <w:pStyle w:val="BodyText"/>
              <w:rPr>
                <w:lang w:val="en-NZ"/>
              </w:rPr>
            </w:pPr>
            <w:r w:rsidRPr="00B60B38">
              <w:t>The evidence guide provides advice on assessment and must be read in conjunction with the performance criteria, required skills and knowledge, range statement and the Assessment Guidelines for the Training Package.</w:t>
            </w:r>
          </w:p>
        </w:tc>
      </w:tr>
      <w:tr w:rsidTr="0006153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This unit of competency could be assessed by the development and implementation of policies, practices and administrative measures which ensure an organisation meets its legal obligations in a timely manner.</w:t>
            </w:r>
          </w:p>
          <w:p w:rsidR="00000000" w:rsidP="00B60B38">
            <w:pPr>
              <w:pStyle w:val="BodyText"/>
              <w:rPr>
                <w:lang w:val="en-NZ"/>
              </w:rPr>
            </w:pPr>
            <w:r w:rsidRPr="00B60B38">
              <w:t xml:space="preserve">This unit of competency can be assessed in the </w:t>
            </w:r>
            <w:r w:rsidRPr="00B60B38">
              <w:t xml:space="preserve">workplace or a close simulation of the workplace environment, provided that simulated or project-based assessment techniques fully replicate construction workplace conditions, materials, activities, responsibilities and procedures. </w:t>
            </w:r>
          </w:p>
        </w:tc>
      </w:tr>
      <w:tr w:rsidTr="0006153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Critical aspects for a</w:t>
            </w:r>
            <w:r w:rsidRPr="00B60B38">
              <w:rPr>
                <w:rStyle w:val="SpecialBold"/>
              </w:rPr>
              <w:t>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A person who demonstrates competency in this unit must be able to provide evidence of the ability to:</w:t>
            </w:r>
          </w:p>
          <w:p w:rsidR="00000000" w:rsidRPr="00B60B38" w:rsidP="00B60B38">
            <w:pPr>
              <w:pStyle w:val="ListBullet"/>
            </w:pPr>
            <w:r w:rsidRPr="00B60B38">
              <w:t>implement an effective contract management and monitoring system, supported and dir</w:t>
            </w:r>
            <w:r w:rsidRPr="00B60B38">
              <w:t>ected by strong and decisive leadership</w:t>
            </w:r>
          </w:p>
          <w:p w:rsidR="00000000" w:rsidRPr="00B60B38" w:rsidP="00B60B38">
            <w:pPr>
              <w:pStyle w:val="ListBullet"/>
            </w:pPr>
            <w:r w:rsidRPr="00B60B38">
              <w:t>implement management practices that result in a high level of staff productivity</w:t>
            </w:r>
          </w:p>
          <w:p w:rsidR="00000000" w:rsidRPr="00B60B38" w:rsidP="00B60B38">
            <w:pPr>
              <w:pStyle w:val="ListBullet"/>
            </w:pPr>
            <w:r w:rsidRPr="00B60B38">
              <w:t>interact effectively with personnel both within and external to the organisation</w:t>
            </w:r>
          </w:p>
          <w:p w:rsidR="00000000" w:rsidRPr="00B60B38" w:rsidP="00B60B38">
            <w:pPr>
              <w:pStyle w:val="ListBullet"/>
            </w:pPr>
            <w:r w:rsidRPr="00B60B38">
              <w:t>develop conceptual and strategic problem solving and s</w:t>
            </w:r>
            <w:r w:rsidRPr="00B60B38">
              <w:t>ystems</w:t>
            </w:r>
          </w:p>
          <w:p w:rsidR="00000000" w:rsidP="00B60B38">
            <w:pPr>
              <w:pStyle w:val="ListBullet"/>
              <w:rPr>
                <w:lang w:val="en-NZ"/>
              </w:rPr>
            </w:pPr>
            <w:r w:rsidRPr="00B60B38">
              <w:t>communicate effectively both verbally and in writing with senior management, employees, clients, regulatory authorities and legal representatives.</w:t>
            </w:r>
          </w:p>
        </w:tc>
      </w:tr>
      <w:tr w:rsidTr="0006153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This competency is to be assessed using standard and authorised work practices, safety requirements and environmental constraints.</w:t>
            </w:r>
          </w:p>
          <w:p w:rsidR="00000000" w:rsidRPr="00B60B38" w:rsidP="00B60B38">
            <w:pPr>
              <w:pStyle w:val="BodyText"/>
            </w:pPr>
            <w:r w:rsidRPr="00B60B38">
              <w:t>Assessment of essential underpinning knowledge will usually be conducted in an off-site context.</w:t>
            </w:r>
          </w:p>
          <w:p w:rsidR="00000000" w:rsidRPr="00B60B38" w:rsidP="00B60B38">
            <w:pPr>
              <w:pStyle w:val="BodyText"/>
            </w:pPr>
            <w:r w:rsidRPr="00B60B38">
              <w:t>Assessment is to comply with</w:t>
            </w:r>
            <w:r w:rsidRPr="00B60B38">
              <w:t xml:space="preserve"> relevant regulatory or Australian standards' requirements.</w:t>
            </w:r>
          </w:p>
          <w:p w:rsidR="00000000" w:rsidRPr="00B60B38" w:rsidP="00B60B38">
            <w:pPr>
              <w:pStyle w:val="BodyText"/>
            </w:pPr>
            <w:r w:rsidRPr="00B60B38">
              <w:t>Resource implications for assessment include:</w:t>
            </w:r>
          </w:p>
          <w:p w:rsidR="00000000" w:rsidRPr="00B60B38" w:rsidP="00B60B38">
            <w:pPr>
              <w:pStyle w:val="ListBullet"/>
            </w:pPr>
            <w:r w:rsidRPr="00B60B38">
              <w:t>documentation normally available in either a building or construction office</w:t>
            </w:r>
          </w:p>
          <w:p w:rsidR="00000000" w:rsidRPr="00B60B38" w:rsidP="00B60B38">
            <w:pPr>
              <w:pStyle w:val="ListBullet"/>
            </w:pPr>
            <w:r w:rsidRPr="00B60B38">
              <w:t>relevant codes, standards and regulations</w:t>
            </w:r>
          </w:p>
          <w:p w:rsidR="00000000" w:rsidRPr="00B60B38" w:rsidP="00B60B38">
            <w:pPr>
              <w:pStyle w:val="ListBullet"/>
            </w:pPr>
            <w:r w:rsidRPr="00B60B38">
              <w:t>office equipment, including cal</w:t>
            </w:r>
            <w:r w:rsidRPr="00B60B38">
              <w:t>culators, photocopiers and telephone systems</w:t>
            </w:r>
          </w:p>
          <w:p w:rsidR="00000000" w:rsidRPr="00B60B38" w:rsidP="00B60B38">
            <w:pPr>
              <w:pStyle w:val="ListBullet"/>
            </w:pPr>
            <w:r w:rsidRPr="00B60B38">
              <w:t>computers with appropriate software to view 2-D CAD drawings, run costing programs and print copies</w:t>
            </w:r>
          </w:p>
          <w:p w:rsidR="00000000" w:rsidRPr="00B60B38" w:rsidP="00B60B38">
            <w:pPr>
              <w:pStyle w:val="ListBullet"/>
            </w:pPr>
            <w:r w:rsidRPr="00B60B38">
              <w:t>a technical reference library with current publications on measurement, design, building construction and manuf</w:t>
            </w:r>
            <w:r w:rsidRPr="00B60B38">
              <w:t>acturers' product literature</w:t>
            </w:r>
          </w:p>
          <w:p w:rsidR="00000000" w:rsidRPr="00B60B38" w:rsidP="00B60B38">
            <w:pPr>
              <w:pStyle w:val="ListBullet"/>
            </w:pPr>
            <w:r w:rsidRPr="00B60B38">
              <w:t>copies of appropriate awards and workplace agreements</w:t>
            </w:r>
          </w:p>
          <w:p w:rsidR="00000000" w:rsidRPr="00B60B38" w:rsidP="00B60B38">
            <w:pPr>
              <w:pStyle w:val="ListBullet"/>
            </w:pPr>
            <w:r w:rsidRPr="00B60B38">
              <w:t>a suitable work area appropriate to the construction process.</w:t>
            </w:r>
          </w:p>
          <w:p w:rsidR="00000000" w:rsidP="00B60B38">
            <w:pPr>
              <w:pStyle w:val="BodyText"/>
              <w:rPr>
                <w:lang w:val="en-NZ"/>
              </w:rPr>
            </w:pPr>
            <w:r w:rsidRPr="00B60B38">
              <w:t>Reasonable adjustments for people with disabilities must be made to assessment processes where required. This c</w:t>
            </w:r>
            <w:r w:rsidRPr="00B60B38">
              <w:t xml:space="preserve">ould include access to modified equipment and other physical resources, and the provision of appropriate assessment support. </w:t>
            </w:r>
          </w:p>
        </w:tc>
      </w:tr>
      <w:tr w:rsidTr="0006153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Assessment methods must:</w:t>
            </w:r>
          </w:p>
          <w:p w:rsidR="00000000" w:rsidRPr="00B60B38" w:rsidP="00B60B38">
            <w:pPr>
              <w:pStyle w:val="ListBullet"/>
            </w:pPr>
            <w:r w:rsidRPr="00B60B38">
              <w:t>satisfy the endorsed Assessment Guidelines of the Construction, Plumbing and Servic</w:t>
            </w:r>
            <w:r w:rsidRPr="00B60B38">
              <w:t>es Training Package</w:t>
            </w:r>
          </w:p>
          <w:p w:rsidR="00000000" w:rsidRPr="00B60B38" w:rsidP="00B60B38">
            <w:pPr>
              <w:pStyle w:val="ListBullet"/>
            </w:pPr>
            <w:r w:rsidRPr="00B60B38">
              <w:t>include direct observation of tasks in real or simulated work conditions, with questioning to confirm the ability to consistently identify and correctly interpret the essential underpinning knowledge required for practical application</w:t>
            </w:r>
          </w:p>
          <w:p w:rsidR="00000000" w:rsidRPr="00B60B38" w:rsidP="00B60B38">
            <w:pPr>
              <w:pStyle w:val="ListBullet"/>
            </w:pPr>
            <w:r w:rsidRPr="00B60B38">
              <w:t>r</w:t>
            </w:r>
            <w:r w:rsidRPr="00B60B38">
              <w:t>einforce the integration of employability skills with workplace tasks and job roles</w:t>
            </w:r>
          </w:p>
          <w:p w:rsidR="00000000" w:rsidRPr="00B60B38" w:rsidP="00B60B38">
            <w:pPr>
              <w:pStyle w:val="ListBullet"/>
            </w:pPr>
            <w:r w:rsidRPr="00B60B38">
              <w:t>confirm that competency is verified and able to be transferred to other circumstances and environments.</w:t>
            </w:r>
          </w:p>
          <w:p w:rsidR="00000000" w:rsidRPr="00B60B38" w:rsidP="00B60B38">
            <w:pPr>
              <w:pStyle w:val="BodyText"/>
            </w:pPr>
            <w:r w:rsidRPr="00B60B38">
              <w:t>Validity and sufficiency of evidence requires that:</w:t>
            </w:r>
          </w:p>
          <w:p w:rsidR="00000000" w:rsidRPr="00B60B38" w:rsidP="00B60B38">
            <w:pPr>
              <w:pStyle w:val="ListBullet"/>
            </w:pPr>
            <w:r w:rsidRPr="00B60B38">
              <w:t>competency will need to be demonstrated over a period of time reflecting the scope of the role and the practical requirements of the workplace</w:t>
            </w:r>
          </w:p>
          <w:p w:rsidR="00000000" w:rsidRPr="00B60B38" w:rsidP="00B60B38">
            <w:pPr>
              <w:pStyle w:val="ListBullet"/>
            </w:pPr>
            <w:r w:rsidRPr="00B60B38">
              <w:t>where the assessment is part of a structured learning experience the evidence collected must relate to a number o</w:t>
            </w:r>
            <w:r w:rsidRPr="00B60B38">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B60B38" w:rsidP="00B60B38">
            <w:pPr>
              <w:pStyle w:val="ListBullet"/>
            </w:pPr>
            <w:r w:rsidRPr="00B60B38">
              <w:t>a</w:t>
            </w:r>
            <w:r w:rsidRPr="00B60B38">
              <w:t>ll assessment that is part of a structured learning experience must include a combination of direct, indirect and supplementary evidence.</w:t>
            </w:r>
          </w:p>
          <w:p w:rsidR="00000000" w:rsidRPr="00B60B38" w:rsidP="00B60B38">
            <w:pPr>
              <w:pStyle w:val="BodyText"/>
            </w:pPr>
            <w:r w:rsidRPr="00B60B38">
              <w:t>Assessment processes and techniques should as far as is practical take into account the language, literacy and numerac</w:t>
            </w:r>
            <w:r w:rsidRPr="00B60B38">
              <w:t>y capacity of the candidate in relation to the competency being assessed.</w:t>
            </w:r>
          </w:p>
          <w:p w:rsidR="00000000" w:rsidRPr="00B60B38" w:rsidP="00B60B38">
            <w:pPr>
              <w:pStyle w:val="BodyText"/>
            </w:pPr>
            <w:r w:rsidRPr="00B60B38">
              <w:t>Supplementary evidence of competency may be obtained from relevant authenticated documentation from third parties, such as existing supervisors, team leaders or specialist training s</w:t>
            </w:r>
            <w:r w:rsidRPr="00B60B38">
              <w:t xml:space="preserve">taff. </w:t>
            </w:r>
          </w:p>
        </w:tc>
      </w:tr>
    </w:tbl>
    <w:p w:rsidR="0006153C" w:rsidP="00B60B38">
      <w:pPr>
        <w:pStyle w:val="BodyText"/>
      </w:pPr>
    </w:p>
    <w:p w:rsidR="0006153C" w:rsidP="00B60B38">
      <w:pPr>
        <w:pStyle w:val="BodyText"/>
      </w:pPr>
    </w:p>
    <w:p w:rsidR="00000000" w:rsidRPr="00B60B38" w:rsidP="00B60B38">
      <w:pPr>
        <w:pStyle w:val="Heading1"/>
      </w:pPr>
      <w:bookmarkStart w:id="11" w:name="O_250144"/>
      <w:bookmarkEnd w:id="11"/>
      <w:r w:rsidRPr="00B60B38">
        <w:t>Range Statement</w:t>
      </w:r>
    </w:p>
    <w:tbl>
      <w:tblPr>
        <w:tblW w:w="0" w:type="auto"/>
        <w:tblLayout w:type="fixed"/>
        <w:tblCellMar>
          <w:left w:w="62" w:type="dxa"/>
          <w:right w:w="62" w:type="dxa"/>
        </w:tblCellMar>
        <w:tblLook w:val="0000"/>
      </w:tblPr>
      <w:tblGrid>
        <w:gridCol w:w="3510"/>
        <w:gridCol w:w="5012"/>
      </w:tblGrid>
      <w:tr w:rsidTr="0006153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60B38">
            <w:pPr>
              <w:pStyle w:val="BodyText"/>
              <w:rPr>
                <w:lang w:val="en-NZ"/>
              </w:rPr>
            </w:pPr>
            <w:r w:rsidRPr="00B60B38">
              <w:rPr>
                <w:rStyle w:val="SpecialBold"/>
              </w:rPr>
              <w:t>RANGE STATEMENT</w:t>
            </w:r>
          </w:p>
        </w:tc>
      </w:tr>
      <w:tr w:rsidTr="0006153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60B38">
            <w:pPr>
              <w:pStyle w:val="BodyText"/>
              <w:rPr>
                <w:lang w:val="en-NZ"/>
              </w:rPr>
            </w:pPr>
            <w:r w:rsidRPr="00B60B38">
              <w:t xml:space="preserve">The range statement relates to the unit of competency as a whole. It allows for different work environments and situations that may affect </w:t>
            </w:r>
            <w:r w:rsidRPr="00B60B38">
              <w:t>performance. Bold italicised wording, if used in the performance criteria, is detailed below. Essential operating conditions that may be present with training and assessment (depending on the work situation, needs of the candidate, accessibility of the ite</w:t>
            </w:r>
            <w:r w:rsidRPr="00B60B38">
              <w:t>m, and local industry and regional contexts) may also be included.</w:t>
            </w:r>
          </w:p>
        </w:tc>
      </w:tr>
      <w:tr w:rsidTr="0006153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BoldandItalics"/>
              </w:rPr>
              <w:t>Laws relating to establishing and licensing of a building contractor</w:t>
            </w:r>
            <w:r w:rsidRPr="00B60B38">
              <w:t xml:space="preserve"> include state laws such as: </w:t>
            </w:r>
          </w:p>
        </w:tc>
        <w:tc>
          <w:tcPr>
            <w:tcW w:w="5012" w:type="dxa"/>
            <w:tcBorders>
              <w:top w:val="nil"/>
              <w:left w:val="nil"/>
              <w:bottom w:val="nil"/>
              <w:right w:val="nil"/>
            </w:tcBorders>
            <w:tcMar>
              <w:top w:w="0" w:type="dxa"/>
              <w:left w:w="62" w:type="dxa"/>
              <w:bottom w:w="0" w:type="dxa"/>
              <w:right w:w="62" w:type="dxa"/>
            </w:tcMar>
          </w:tcPr>
          <w:p w:rsidR="00000000" w:rsidRPr="00B60B38" w:rsidP="00B60B38">
            <w:pPr>
              <w:pStyle w:val="ListBullet"/>
            </w:pPr>
            <w:r w:rsidRPr="00B60B38">
              <w:t>Builders Registration Act 1939 and the Home Building Contracts Act 1991 in Western Austra</w:t>
            </w:r>
            <w:r w:rsidRPr="00B60B38">
              <w:t>lia</w:t>
            </w:r>
          </w:p>
          <w:p w:rsidR="00000000" w:rsidP="00B60B38">
            <w:pPr>
              <w:pStyle w:val="ListBullet"/>
              <w:rPr>
                <w:lang w:val="en-NZ"/>
              </w:rPr>
            </w:pPr>
            <w:r w:rsidRPr="00B60B38">
              <w:t>Home Building Act and Regulations 1989 in New South Wales.</w:t>
            </w:r>
          </w:p>
        </w:tc>
      </w:tr>
      <w:tr w:rsidTr="0006153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BoldandItalics"/>
              </w:rPr>
              <w:t>Regulations</w:t>
            </w:r>
            <w:r w:rsidRPr="00B60B38">
              <w:t xml:space="preserve"> include: </w:t>
            </w:r>
          </w:p>
        </w:tc>
        <w:tc>
          <w:tcPr>
            <w:tcW w:w="5012" w:type="dxa"/>
            <w:tcBorders>
              <w:top w:val="nil"/>
              <w:left w:val="nil"/>
              <w:bottom w:val="nil"/>
              <w:right w:val="nil"/>
            </w:tcBorders>
            <w:tcMar>
              <w:top w:w="0" w:type="dxa"/>
              <w:left w:w="62" w:type="dxa"/>
              <w:bottom w:w="0" w:type="dxa"/>
              <w:right w:w="62" w:type="dxa"/>
            </w:tcMar>
          </w:tcPr>
          <w:p w:rsidR="00000000" w:rsidRPr="00B60B38" w:rsidP="00B60B38">
            <w:pPr>
              <w:pStyle w:val="ListBullet"/>
            </w:pPr>
            <w:r w:rsidRPr="00B60B38">
              <w:t>federal, state or territory environmental protection legislation</w:t>
            </w:r>
          </w:p>
          <w:p w:rsidR="00000000" w:rsidRPr="00B60B38" w:rsidP="00B60B38">
            <w:pPr>
              <w:pStyle w:val="ListBullet"/>
            </w:pPr>
            <w:r w:rsidRPr="00B60B38">
              <w:t>local government Acts and the by-laws derived from them</w:t>
            </w:r>
          </w:p>
          <w:p w:rsidR="00000000" w:rsidRPr="00B60B38" w:rsidP="00B60B38">
            <w:pPr>
              <w:pStyle w:val="ListBullet"/>
            </w:pPr>
            <w:r w:rsidRPr="00B60B38">
              <w:t>state and federal industrial relations legislation</w:t>
            </w:r>
          </w:p>
          <w:p w:rsidR="00000000" w:rsidRPr="00B60B38" w:rsidP="00B60B38">
            <w:pPr>
              <w:pStyle w:val="ListBullet"/>
            </w:pPr>
            <w:r w:rsidRPr="00B60B38">
              <w:t>state codes of practice applicable to the various regulations</w:t>
            </w:r>
          </w:p>
          <w:p w:rsidR="00000000" w:rsidRPr="00B60B38" w:rsidP="00B60B38">
            <w:pPr>
              <w:pStyle w:val="ListBullet"/>
            </w:pPr>
            <w:r w:rsidRPr="00B60B38">
              <w:t>state laws, such as the Workers Compensation and Rehabilitation Act 1981 in Western Australia</w:t>
            </w:r>
          </w:p>
          <w:p w:rsidR="00000000" w:rsidP="00B60B38">
            <w:pPr>
              <w:pStyle w:val="ListBullet"/>
              <w:rPr>
                <w:lang w:val="en-NZ"/>
              </w:rPr>
            </w:pPr>
            <w:r w:rsidRPr="00B60B38">
              <w:t>state OHS legislation and regulations.</w:t>
            </w:r>
          </w:p>
        </w:tc>
      </w:tr>
      <w:tr w:rsidTr="0006153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BoldandItalics"/>
              </w:rPr>
              <w:t>Legal obl</w:t>
            </w:r>
            <w:r w:rsidRPr="00B60B38">
              <w:rPr>
                <w:rStyle w:val="BoldandItalics"/>
              </w:rPr>
              <w:t>igations with regard to insurance and taxation</w:t>
            </w:r>
            <w:r w:rsidRPr="00B60B38">
              <w:t xml:space="preserve"> include: </w:t>
            </w:r>
          </w:p>
        </w:tc>
        <w:tc>
          <w:tcPr>
            <w:tcW w:w="5012" w:type="dxa"/>
            <w:tcBorders>
              <w:top w:val="nil"/>
              <w:left w:val="nil"/>
              <w:bottom w:val="nil"/>
              <w:right w:val="nil"/>
            </w:tcBorders>
            <w:tcMar>
              <w:top w:w="0" w:type="dxa"/>
              <w:left w:w="62" w:type="dxa"/>
              <w:bottom w:w="0" w:type="dxa"/>
              <w:right w:w="62" w:type="dxa"/>
            </w:tcMar>
          </w:tcPr>
          <w:p w:rsidR="00000000" w:rsidRPr="00B60B38" w:rsidP="00B60B38">
            <w:pPr>
              <w:pStyle w:val="ListBullet"/>
            </w:pPr>
            <w:r w:rsidRPr="00B60B38">
              <w:t>appropriate business and project insurances</w:t>
            </w:r>
          </w:p>
          <w:p w:rsidR="00000000" w:rsidRPr="00B60B38" w:rsidP="00B60B38">
            <w:pPr>
              <w:pStyle w:val="ListBullet"/>
            </w:pPr>
            <w:r w:rsidRPr="00B60B38">
              <w:t>Fringe Benefits Tax Act 1986</w:t>
            </w:r>
          </w:p>
          <w:p w:rsidR="00000000" w:rsidRPr="00B60B38" w:rsidP="00B60B38">
            <w:pPr>
              <w:pStyle w:val="ListBullet"/>
            </w:pPr>
            <w:r w:rsidRPr="00B60B38">
              <w:t>Goods and Services Tax Act 1999</w:t>
            </w:r>
          </w:p>
          <w:p w:rsidR="00000000" w:rsidRPr="00B60B38" w:rsidP="00B60B38">
            <w:pPr>
              <w:pStyle w:val="ListBullet"/>
            </w:pPr>
            <w:r w:rsidRPr="00B60B38">
              <w:t>Income Tax Assessment Act 1987</w:t>
            </w:r>
          </w:p>
          <w:p w:rsidR="00000000" w:rsidRPr="00B60B38" w:rsidP="00B60B38">
            <w:pPr>
              <w:pStyle w:val="ListBullet"/>
            </w:pPr>
            <w:r w:rsidRPr="00B60B38">
              <w:t>Insurance Contracts Act 1984</w:t>
            </w:r>
          </w:p>
          <w:p w:rsidR="00000000" w:rsidRPr="00B60B38" w:rsidP="00B60B38">
            <w:pPr>
              <w:pStyle w:val="ListBullet"/>
            </w:pPr>
            <w:r w:rsidRPr="00B60B38">
              <w:t>pay-as-you-go (PAYG) taxes</w:t>
            </w:r>
          </w:p>
          <w:p w:rsidR="00000000" w:rsidRPr="00B60B38" w:rsidP="00B60B38">
            <w:pPr>
              <w:pStyle w:val="ListBullet"/>
            </w:pPr>
            <w:r w:rsidRPr="00B60B38">
              <w:t>payroll</w:t>
            </w:r>
            <w:r w:rsidRPr="00B60B38">
              <w:t xml:space="preserve"> tax</w:t>
            </w:r>
          </w:p>
          <w:p w:rsidR="00000000" w:rsidRPr="00B60B38" w:rsidP="00B60B38">
            <w:pPr>
              <w:pStyle w:val="ListBullet"/>
            </w:pPr>
            <w:r w:rsidRPr="00B60B38">
              <w:t>stamp duty</w:t>
            </w:r>
          </w:p>
          <w:p w:rsidR="00000000" w:rsidRPr="00B60B38" w:rsidP="00B60B38">
            <w:pPr>
              <w:pStyle w:val="ListBullet"/>
            </w:pPr>
            <w:r w:rsidRPr="00B60B38">
              <w:t>workers' compensation.</w:t>
            </w:r>
          </w:p>
        </w:tc>
      </w:tr>
    </w:tbl>
    <w:p w:rsidR="0006153C" w:rsidP="00B60B38">
      <w:pPr>
        <w:pStyle w:val="BodyText"/>
      </w:pPr>
    </w:p>
    <w:p w:rsidR="0006153C" w:rsidP="00B60B38">
      <w:pPr>
        <w:pStyle w:val="BodyText"/>
      </w:pPr>
    </w:p>
    <w:p w:rsidR="00000000" w:rsidRPr="00B60B38" w:rsidP="00B60B38">
      <w:pPr>
        <w:pStyle w:val="Heading1"/>
      </w:pPr>
      <w:bookmarkStart w:id="12" w:name="O_197114"/>
      <w:bookmarkEnd w:id="12"/>
      <w:r w:rsidRPr="00B60B38">
        <w:t>Unit Sector(s)</w:t>
      </w:r>
    </w:p>
    <w:tbl>
      <w:tblPr>
        <w:tblW w:w="0" w:type="auto"/>
        <w:tblLayout w:type="fixed"/>
        <w:tblCellMar>
          <w:left w:w="62" w:type="dxa"/>
          <w:right w:w="62" w:type="dxa"/>
        </w:tblCellMar>
        <w:tblLook w:val="0000"/>
      </w:tblPr>
      <w:tblGrid>
        <w:gridCol w:w="2591"/>
        <w:gridCol w:w="5931"/>
      </w:tblGrid>
      <w:tr w:rsidTr="0006153C">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Construction</w:t>
            </w:r>
          </w:p>
        </w:tc>
      </w:tr>
    </w:tbl>
    <w:p w:rsidR="0006153C" w:rsidP="00B60B38">
      <w:pPr>
        <w:pStyle w:val="BodyText"/>
      </w:pPr>
    </w:p>
    <w:p w:rsidR="0006153C" w:rsidP="00B60B38">
      <w:pPr>
        <w:pStyle w:val="BodyText"/>
      </w:pPr>
    </w:p>
    <w:p w:rsidR="00000000" w:rsidRPr="00B60B38" w:rsidP="00B60B38">
      <w:pPr>
        <w:pStyle w:val="Heading1"/>
      </w:pPr>
      <w:bookmarkStart w:id="13" w:name="O_197111"/>
      <w:bookmarkEnd w:id="13"/>
      <w:r w:rsidRPr="00B60B38">
        <w:t>Co-requisite units</w:t>
      </w:r>
    </w:p>
    <w:tbl>
      <w:tblPr>
        <w:tblW w:w="0" w:type="auto"/>
        <w:tblLayout w:type="fixed"/>
        <w:tblCellMar>
          <w:left w:w="62" w:type="dxa"/>
          <w:right w:w="62" w:type="dxa"/>
        </w:tblCellMar>
        <w:tblLook w:val="0000"/>
      </w:tblPr>
      <w:tblGrid>
        <w:gridCol w:w="2611"/>
        <w:gridCol w:w="5911"/>
      </w:tblGrid>
      <w:tr w:rsidTr="0006153C">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B60B38" w:rsidP="00B60B38">
            <w:pPr>
              <w:pStyle w:val="BodyText"/>
            </w:pPr>
            <w:r w:rsidRPr="00B60B38">
              <w:t>Nil</w:t>
            </w:r>
          </w:p>
        </w:tc>
      </w:tr>
    </w:tbl>
    <w:p w:rsidR="0006153C" w:rsidP="00B60B38">
      <w:pPr>
        <w:pStyle w:val="BodyText"/>
      </w:pPr>
    </w:p>
    <w:p w:rsidR="0006153C" w:rsidP="00B60B38">
      <w:pPr>
        <w:pStyle w:val="BodyText"/>
      </w:pPr>
    </w:p>
    <w:p w:rsidR="00000000" w:rsidRPr="00B60B38" w:rsidP="00B60B38">
      <w:pPr>
        <w:pStyle w:val="Heading1"/>
      </w:pPr>
      <w:bookmarkStart w:id="14" w:name="O_197113"/>
      <w:bookmarkEnd w:id="14"/>
      <w:r w:rsidRPr="00B60B38">
        <w:t>Functional area</w:t>
      </w:r>
    </w:p>
    <w:tbl>
      <w:tblPr>
        <w:tblW w:w="0" w:type="auto"/>
        <w:tblLayout w:type="fixed"/>
        <w:tblCellMar>
          <w:left w:w="62" w:type="dxa"/>
          <w:right w:w="62" w:type="dxa"/>
        </w:tblCellMar>
        <w:tblLook w:val="0000"/>
      </w:tblPr>
      <w:tblGrid>
        <w:gridCol w:w="2729"/>
        <w:gridCol w:w="5793"/>
      </w:tblGrid>
      <w:tr w:rsidTr="0006153C">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60B38">
            <w:pPr>
              <w:pStyle w:val="BodyText"/>
              <w:rPr>
                <w:lang w:val="en-NZ"/>
              </w:rPr>
            </w:pPr>
            <w:r w:rsidRPr="00B60B38">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B60B38" w:rsidP="00B60B38">
            <w:pPr>
              <w:pStyle w:val="BodyText"/>
            </w:pPr>
          </w:p>
        </w:tc>
      </w:tr>
    </w:tbl>
    <w:p w:rsidR="0006153C" w:rsidP="00B60B38">
      <w:pPr>
        <w:pStyle w:val="BodyText"/>
      </w:pPr>
    </w:p>
    <w:p w:rsidR="0006153C" w:rsidP="00B60B38">
      <w:pPr>
        <w:pStyle w:val="BodyText"/>
      </w:pPr>
    </w:p>
    <w:p w:rsidR="00000000" w:rsidRPr="00B60B38" w:rsidP="00B60B38"/>
    <w:sectPr w:rsidSect="00B60B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53C" w:rsidP="000615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3C" w:rsidP="00B60B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6153C" w:rsidP="00B60B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6153C" w:rsidP="00B60B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38" w:rsidRPr="0006153C" w:rsidP="000615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3C" w:rsidRPr="002D2AF8" w:rsidP="00B60B38">
    <w:pPr>
      <w:pStyle w:val="Header"/>
      <w:framePr w:wrap="around"/>
    </w:pPr>
    <w:r>
      <w:fldChar w:fldCharType="begin"/>
    </w:r>
    <w:r>
      <w:instrText xml:space="preserve"> TITLE   \* MERGEFORMAT </w:instrText>
    </w:r>
    <w:r>
      <w:fldChar w:fldCharType="separate"/>
    </w:r>
    <w:r>
      <w:t>CPCCBC6004A Manage processes for and legal obligations of a building or construction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6153C" w:rsidP="00B60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07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4E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C21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B38"/>
    <w:pPr>
      <w:spacing w:before="360" w:after="60"/>
      <w:outlineLvl w:val="0"/>
    </w:pPr>
    <w:rPr>
      <w:sz w:val="32"/>
    </w:rPr>
  </w:style>
  <w:style w:type="paragraph" w:styleId="Heading2">
    <w:name w:val="heading 2"/>
    <w:basedOn w:val="HeadingBase"/>
    <w:next w:val="BodyText"/>
    <w:link w:val="Heading2Char"/>
    <w:qFormat/>
    <w:rsid w:val="00B60B38"/>
    <w:pPr>
      <w:keepLines/>
      <w:spacing w:before="240" w:after="120"/>
      <w:outlineLvl w:val="1"/>
    </w:pPr>
    <w:rPr>
      <w:sz w:val="28"/>
      <w:szCs w:val="40"/>
    </w:rPr>
  </w:style>
  <w:style w:type="paragraph" w:styleId="Heading3">
    <w:name w:val="heading 3"/>
    <w:basedOn w:val="HeadingBase"/>
    <w:next w:val="BodyText"/>
    <w:link w:val="Heading3Char"/>
    <w:qFormat/>
    <w:rsid w:val="00B60B38"/>
    <w:pPr>
      <w:spacing w:before="180" w:after="120"/>
      <w:outlineLvl w:val="2"/>
    </w:pPr>
    <w:rPr>
      <w:spacing w:val="-10"/>
      <w:kern w:val="32"/>
    </w:rPr>
  </w:style>
  <w:style w:type="paragraph" w:styleId="Heading4">
    <w:name w:val="heading 4"/>
    <w:basedOn w:val="HeadingBase"/>
    <w:next w:val="BodyText"/>
    <w:link w:val="Heading4Char"/>
    <w:qFormat/>
    <w:rsid w:val="00B60B38"/>
    <w:pPr>
      <w:spacing w:before="160" w:after="120"/>
      <w:outlineLvl w:val="3"/>
    </w:pPr>
    <w:rPr>
      <w:sz w:val="22"/>
    </w:rPr>
  </w:style>
  <w:style w:type="paragraph" w:styleId="Heading5">
    <w:name w:val="heading 5"/>
    <w:basedOn w:val="HeadingBase"/>
    <w:next w:val="Normal"/>
    <w:link w:val="Heading5Char"/>
    <w:qFormat/>
    <w:rsid w:val="00B60B38"/>
    <w:pPr>
      <w:spacing w:before="80"/>
      <w:outlineLvl w:val="4"/>
    </w:pPr>
    <w:rPr>
      <w:color w:val="918585"/>
      <w:sz w:val="20"/>
    </w:rPr>
  </w:style>
  <w:style w:type="paragraph" w:styleId="Heading6">
    <w:name w:val="heading 6"/>
    <w:basedOn w:val="HeadingBase"/>
    <w:next w:val="Normal"/>
    <w:link w:val="Heading6Char"/>
    <w:qFormat/>
    <w:rsid w:val="00B60B38"/>
    <w:pPr>
      <w:spacing w:before="60"/>
      <w:outlineLvl w:val="5"/>
    </w:pPr>
    <w:rPr>
      <w:color w:val="918585"/>
      <w:sz w:val="20"/>
    </w:rPr>
  </w:style>
  <w:style w:type="paragraph" w:styleId="Heading7">
    <w:name w:val="heading 7"/>
    <w:basedOn w:val="Normal"/>
    <w:next w:val="Normal"/>
    <w:link w:val="Heading7Char"/>
    <w:qFormat/>
    <w:rsid w:val="00B60B38"/>
    <w:pPr>
      <w:ind w:left="720"/>
      <w:outlineLvl w:val="6"/>
    </w:pPr>
    <w:rPr>
      <w:i/>
    </w:rPr>
  </w:style>
  <w:style w:type="paragraph" w:styleId="Heading8">
    <w:name w:val="heading 8"/>
    <w:basedOn w:val="Normal"/>
    <w:next w:val="Normal"/>
    <w:link w:val="Heading8Char"/>
    <w:qFormat/>
    <w:rsid w:val="00B60B38"/>
    <w:pPr>
      <w:ind w:left="720"/>
      <w:outlineLvl w:val="7"/>
    </w:pPr>
    <w:rPr>
      <w:i/>
    </w:rPr>
  </w:style>
  <w:style w:type="paragraph" w:styleId="Heading9">
    <w:name w:val="heading 9"/>
    <w:basedOn w:val="Normal"/>
    <w:next w:val="Normal"/>
    <w:link w:val="Heading9Char"/>
    <w:qFormat/>
    <w:rsid w:val="00B60B38"/>
    <w:pPr>
      <w:ind w:left="720"/>
      <w:outlineLvl w:val="8"/>
    </w:pPr>
    <w:rPr>
      <w:i/>
    </w:rPr>
  </w:style>
  <w:style w:type="character" w:default="1" w:styleId="DefaultParagraphFont">
    <w:name w:val="Default Paragraph Font"/>
    <w:uiPriority w:val="1"/>
    <w:unhideWhenUsed/>
    <w:rsid w:val="00B60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B38"/>
  </w:style>
  <w:style w:type="character" w:customStyle="1" w:styleId="Heading1Char">
    <w:name w:val="Heading 1 Char"/>
    <w:basedOn w:val="DefaultParagraphFont"/>
    <w:link w:val="Heading1"/>
    <w:rsid w:val="00B60B38"/>
    <w:rPr>
      <w:rFonts w:ascii="Times New Roman" w:eastAsia="Times New Roman" w:hAnsi="Times New Roman" w:cs="Times New Roman"/>
      <w:b/>
      <w:sz w:val="32"/>
      <w:szCs w:val="20"/>
      <w:lang w:eastAsia="en-US"/>
    </w:rPr>
  </w:style>
  <w:style w:type="paragraph" w:styleId="BodyText">
    <w:name w:val="Body Text"/>
    <w:basedOn w:val="Normal"/>
    <w:link w:val="BodyTextChar"/>
    <w:rsid w:val="00B60B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B38"/>
    <w:rPr>
      <w:rFonts w:ascii="Times New Roman" w:eastAsia="Times New Roman" w:hAnsi="Times New Roman" w:cs="Times New Roman"/>
      <w:sz w:val="24"/>
      <w:lang w:eastAsia="en-US"/>
    </w:rPr>
  </w:style>
  <w:style w:type="paragraph" w:styleId="Footer">
    <w:name w:val="footer"/>
    <w:basedOn w:val="Normal"/>
    <w:link w:val="FooterChar"/>
    <w:rsid w:val="00B60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B38"/>
    <w:rPr>
      <w:rFonts w:ascii="Times New Roman" w:eastAsia="Times New Roman" w:hAnsi="Times New Roman" w:cs="Times New Roman"/>
      <w:sz w:val="16"/>
      <w:lang w:eastAsia="en-US"/>
    </w:rPr>
  </w:style>
  <w:style w:type="paragraph" w:styleId="List">
    <w:name w:val="List"/>
    <w:basedOn w:val="BodyText"/>
    <w:next w:val="BodyText"/>
    <w:rsid w:val="00B60B38"/>
    <w:pPr>
      <w:tabs>
        <w:tab w:val="left" w:pos="340"/>
      </w:tabs>
      <w:spacing w:before="60" w:after="60"/>
      <w:ind w:left="340" w:hanging="340"/>
    </w:pPr>
  </w:style>
  <w:style w:type="paragraph" w:styleId="ListBullet">
    <w:name w:val="List Bullet"/>
    <w:basedOn w:val="List"/>
    <w:rsid w:val="00B60B38"/>
    <w:pPr>
      <w:numPr>
        <w:numId w:val="13"/>
      </w:numPr>
      <w:tabs>
        <w:tab w:val="clear" w:pos="340"/>
      </w:tabs>
      <w:spacing w:before="40" w:after="40"/>
    </w:pPr>
  </w:style>
  <w:style w:type="character" w:customStyle="1" w:styleId="SpecialBold">
    <w:name w:val="Special Bold"/>
    <w:basedOn w:val="DefaultParagraphFont"/>
    <w:rsid w:val="00B60B38"/>
    <w:rPr>
      <w:b/>
      <w:spacing w:val="0"/>
    </w:rPr>
  </w:style>
  <w:style w:type="paragraph" w:styleId="ListBullet2">
    <w:name w:val="List Bullet 2"/>
    <w:basedOn w:val="List2"/>
    <w:rsid w:val="00B60B38"/>
    <w:pPr>
      <w:numPr>
        <w:numId w:val="14"/>
      </w:numPr>
      <w:tabs>
        <w:tab w:val="clear" w:pos="680"/>
      </w:tabs>
    </w:pPr>
  </w:style>
  <w:style w:type="paragraph" w:customStyle="1" w:styleId="SuperHeading">
    <w:name w:val="SuperHeading"/>
    <w:basedOn w:val="Normal"/>
    <w:rsid w:val="00B60B38"/>
    <w:pPr>
      <w:spacing w:before="240" w:after="120"/>
      <w:outlineLvl w:val="0"/>
    </w:pPr>
    <w:rPr>
      <w:rFonts w:ascii="Times New Roman" w:hAnsi="Times New Roman"/>
      <w:b/>
      <w:sz w:val="28"/>
    </w:rPr>
  </w:style>
  <w:style w:type="paragraph" w:customStyle="1" w:styleId="AllowPageBreak">
    <w:name w:val="AllowPageBreak"/>
    <w:rsid w:val="00B60B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0B38"/>
    <w:pPr>
      <w:tabs>
        <w:tab w:val="left" w:pos="680"/>
      </w:tabs>
      <w:spacing w:before="60" w:after="60"/>
      <w:ind w:left="680" w:hanging="340"/>
    </w:pPr>
  </w:style>
  <w:style w:type="character" w:customStyle="1" w:styleId="BoldandItalics">
    <w:name w:val="Bold and Italics"/>
    <w:qFormat/>
    <w:rsid w:val="00B60B38"/>
    <w:rPr>
      <w:b/>
      <w:i/>
      <w:u w:val="none"/>
    </w:rPr>
  </w:style>
  <w:style w:type="character" w:customStyle="1" w:styleId="Heading2Char">
    <w:name w:val="Heading 2 Char"/>
    <w:basedOn w:val="DefaultParagraphFont"/>
    <w:link w:val="Heading2"/>
    <w:rsid w:val="00B60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B38"/>
    <w:rPr>
      <w:rFonts w:ascii="Courier New" w:eastAsia="Times New Roman" w:hAnsi="Courier New" w:cs="Times New Roman"/>
      <w:i/>
      <w:szCs w:val="20"/>
      <w:lang w:eastAsia="en-US"/>
    </w:rPr>
  </w:style>
  <w:style w:type="paragraph" w:customStyle="1" w:styleId="HeadingBase">
    <w:name w:val="Heading Base"/>
    <w:rsid w:val="00B60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B38"/>
    <w:pPr>
      <w:tabs>
        <w:tab w:val="right" w:leader="dot" w:pos="9072"/>
      </w:tabs>
      <w:ind w:left="567"/>
    </w:pPr>
    <w:rPr>
      <w:szCs w:val="22"/>
    </w:rPr>
  </w:style>
  <w:style w:type="paragraph" w:customStyle="1" w:styleId="TOCBase">
    <w:name w:val="TOC Base"/>
    <w:rsid w:val="00B60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B38"/>
    <w:pPr>
      <w:tabs>
        <w:tab w:val="right" w:leader="dot" w:pos="9072"/>
      </w:tabs>
      <w:spacing w:before="40" w:after="40"/>
      <w:ind w:left="284"/>
    </w:pPr>
    <w:rPr>
      <w:rFonts w:ascii="Times New Roman" w:hAnsi="Times New Roman"/>
    </w:rPr>
  </w:style>
  <w:style w:type="paragraph" w:styleId="TOC1">
    <w:name w:val="toc 1"/>
    <w:basedOn w:val="TOCBase"/>
    <w:next w:val="Normal"/>
    <w:rsid w:val="00B60B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0B38"/>
    <w:pPr>
      <w:spacing w:before="5040"/>
      <w:jc w:val="center"/>
    </w:pPr>
    <w:rPr>
      <w:sz w:val="48"/>
      <w:szCs w:val="72"/>
      <w:lang w:val="en-US"/>
    </w:rPr>
  </w:style>
  <w:style w:type="character" w:customStyle="1" w:styleId="TitleChar">
    <w:name w:val="Title Char"/>
    <w:basedOn w:val="DefaultParagraphFont"/>
    <w:link w:val="Title"/>
    <w:rsid w:val="00B60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B38"/>
    <w:pPr>
      <w:tabs>
        <w:tab w:val="left" w:pos="3600"/>
        <w:tab w:val="left" w:pos="3958"/>
      </w:tabs>
    </w:pPr>
  </w:style>
  <w:style w:type="paragraph" w:customStyle="1" w:styleId="Note">
    <w:name w:val="Note"/>
    <w:basedOn w:val="BodyText"/>
    <w:rsid w:val="00B60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B38"/>
    <w:pPr>
      <w:framePr w:wrap="auto" w:hAnchor="text" w:y="6049"/>
    </w:pPr>
    <w:rPr>
      <w:color w:val="000000"/>
      <w:sz w:val="40"/>
    </w:rPr>
  </w:style>
  <w:style w:type="paragraph" w:customStyle="1" w:styleId="TOCTitle">
    <w:name w:val="TOCTitle"/>
    <w:basedOn w:val="Heading1"/>
    <w:rsid w:val="00B60B38"/>
    <w:pPr>
      <w:spacing w:after="240"/>
      <w:jc w:val="center"/>
      <w:outlineLvl w:val="9"/>
    </w:pPr>
    <w:rPr>
      <w:caps/>
    </w:rPr>
  </w:style>
  <w:style w:type="paragraph" w:customStyle="1" w:styleId="Version">
    <w:name w:val="Version"/>
    <w:rsid w:val="00B60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B38"/>
    <w:pPr>
      <w:keepNext w:val="0"/>
      <w:tabs>
        <w:tab w:val="right" w:pos="4176"/>
      </w:tabs>
      <w:ind w:left="198" w:hanging="198"/>
    </w:pPr>
    <w:rPr>
      <w:rFonts w:ascii="Garamond" w:hAnsi="Garamond"/>
    </w:rPr>
  </w:style>
  <w:style w:type="paragraph" w:styleId="IndexHeading">
    <w:name w:val="index heading"/>
    <w:basedOn w:val="Normal"/>
    <w:next w:val="Index1"/>
    <w:semiHidden/>
    <w:rsid w:val="00B60B38"/>
    <w:pPr>
      <w:spacing w:before="120" w:after="120"/>
    </w:pPr>
    <w:rPr>
      <w:rFonts w:ascii="Arial" w:hAnsi="Arial"/>
      <w:b/>
      <w:color w:val="918585"/>
      <w:sz w:val="24"/>
    </w:rPr>
  </w:style>
  <w:style w:type="paragraph" w:styleId="Header">
    <w:name w:val="header"/>
    <w:basedOn w:val="Normal"/>
    <w:link w:val="HeaderChar"/>
    <w:rsid w:val="00B60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B38"/>
    <w:rPr>
      <w:rFonts w:ascii="Times New Roman" w:eastAsia="Times New Roman" w:hAnsi="Times New Roman" w:cs="Times New Roman"/>
      <w:sz w:val="16"/>
      <w:szCs w:val="20"/>
      <w:lang w:val="en-GB" w:eastAsia="en-US"/>
    </w:rPr>
  </w:style>
  <w:style w:type="paragraph" w:customStyle="1" w:styleId="Chapter">
    <w:name w:val="Chapter"/>
    <w:basedOn w:val="Normal"/>
    <w:rsid w:val="00B60B38"/>
    <w:pPr>
      <w:spacing w:before="240"/>
    </w:pPr>
    <w:rPr>
      <w:rFonts w:ascii="Times New Roman" w:hAnsi="Times New Roman"/>
      <w:smallCaps/>
      <w:spacing w:val="80"/>
      <w:sz w:val="28"/>
    </w:rPr>
  </w:style>
  <w:style w:type="paragraph" w:customStyle="1" w:styleId="InChapter">
    <w:name w:val="InChapter"/>
    <w:basedOn w:val="Heading3"/>
    <w:rsid w:val="00B60B38"/>
    <w:pPr>
      <w:spacing w:after="240"/>
      <w:outlineLvl w:val="9"/>
    </w:pPr>
    <w:rPr>
      <w:noProof/>
    </w:rPr>
  </w:style>
  <w:style w:type="paragraph" w:styleId="Index2">
    <w:name w:val="index 2"/>
    <w:basedOn w:val="Normal"/>
    <w:next w:val="Normal"/>
    <w:semiHidden/>
    <w:rsid w:val="00B60B38"/>
    <w:pPr>
      <w:tabs>
        <w:tab w:val="right" w:pos="4176"/>
      </w:tabs>
      <w:ind w:left="568" w:hanging="284"/>
    </w:pPr>
    <w:rPr>
      <w:rFonts w:ascii="Garamond" w:hAnsi="Garamond"/>
    </w:rPr>
  </w:style>
  <w:style w:type="paragraph" w:customStyle="1" w:styleId="Byline">
    <w:name w:val="Byline"/>
    <w:rsid w:val="00B60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B38"/>
    <w:pPr>
      <w:tabs>
        <w:tab w:val="clear" w:pos="3600"/>
        <w:tab w:val="clear" w:pos="3958"/>
      </w:tabs>
      <w:jc w:val="right"/>
    </w:pPr>
  </w:style>
  <w:style w:type="character" w:styleId="Emphasis">
    <w:name w:val="Emphasis"/>
    <w:basedOn w:val="DefaultParagraphFont"/>
    <w:qFormat/>
    <w:rsid w:val="00B60B38"/>
    <w:rPr>
      <w:i/>
    </w:rPr>
  </w:style>
  <w:style w:type="paragraph" w:styleId="Caption">
    <w:name w:val="caption"/>
    <w:basedOn w:val="BodyText"/>
    <w:next w:val="Normal"/>
    <w:qFormat/>
    <w:rsid w:val="00B60B38"/>
    <w:pPr>
      <w:framePr w:w="2268" w:hSpace="181" w:vSpace="181" w:wrap="around" w:vAnchor="text" w:hAnchor="page" w:x="1135" w:y="285" w:anchorLock="1"/>
    </w:pPr>
    <w:rPr>
      <w:i/>
    </w:rPr>
  </w:style>
  <w:style w:type="paragraph" w:customStyle="1" w:styleId="MiniTOCTitle">
    <w:name w:val="MiniTOCTitle"/>
    <w:basedOn w:val="Heading4"/>
    <w:rsid w:val="00B60B38"/>
    <w:pPr>
      <w:spacing w:before="240"/>
      <w:outlineLvl w:val="9"/>
    </w:pPr>
    <w:rPr>
      <w:noProof/>
      <w:sz w:val="24"/>
    </w:rPr>
  </w:style>
  <w:style w:type="paragraph" w:customStyle="1" w:styleId="MiniTOCItem">
    <w:name w:val="MiniTOCItem"/>
    <w:basedOn w:val="ListBullet"/>
    <w:rsid w:val="00B60B38"/>
    <w:pPr>
      <w:numPr>
        <w:numId w:val="0"/>
      </w:numPr>
      <w:tabs>
        <w:tab w:val="right" w:leader="dot" w:pos="6521"/>
      </w:tabs>
      <w:spacing w:before="0" w:after="0"/>
    </w:pPr>
  </w:style>
  <w:style w:type="paragraph" w:customStyle="1" w:styleId="TOFTitle">
    <w:name w:val="TOFTitle"/>
    <w:basedOn w:val="TOCTitle"/>
    <w:rsid w:val="00B60B38"/>
  </w:style>
  <w:style w:type="paragraph" w:styleId="TableofFigures">
    <w:name w:val="table of figures"/>
    <w:basedOn w:val="Normal"/>
    <w:next w:val="Normal"/>
    <w:semiHidden/>
    <w:rsid w:val="00B60B38"/>
    <w:pPr>
      <w:tabs>
        <w:tab w:val="right" w:leader="dot" w:pos="9072"/>
      </w:tabs>
      <w:ind w:left="970" w:hanging="403"/>
    </w:pPr>
    <w:rPr>
      <w:rFonts w:ascii="Times New Roman" w:hAnsi="Times New Roman"/>
      <w:b/>
    </w:rPr>
  </w:style>
  <w:style w:type="paragraph" w:styleId="ListNumber">
    <w:name w:val="List Number"/>
    <w:basedOn w:val="List"/>
    <w:rsid w:val="00B60B38"/>
    <w:pPr>
      <w:numPr>
        <w:numId w:val="11"/>
      </w:numPr>
    </w:pPr>
  </w:style>
  <w:style w:type="character" w:customStyle="1" w:styleId="WingdingSymbols">
    <w:name w:val="Wingding Symbols"/>
    <w:rsid w:val="00B60B38"/>
    <w:rPr>
      <w:rFonts w:ascii="Wingdings" w:hAnsi="Wingdings"/>
    </w:rPr>
  </w:style>
  <w:style w:type="paragraph" w:customStyle="1" w:styleId="TableHeading">
    <w:name w:val="Table Heading"/>
    <w:basedOn w:val="HeadingBase"/>
    <w:rsid w:val="00B60B38"/>
    <w:pPr>
      <w:keepLines/>
      <w:pBdr>
        <w:bottom w:val="single" w:sz="6" w:space="1" w:color="918585"/>
      </w:pBdr>
      <w:spacing w:before="240"/>
    </w:pPr>
  </w:style>
  <w:style w:type="character" w:customStyle="1" w:styleId="HotSpot">
    <w:name w:val="HotSpot"/>
    <w:rsid w:val="00B60B38"/>
    <w:rPr>
      <w:color w:val="0033CC"/>
      <w:u w:val="none"/>
    </w:rPr>
  </w:style>
  <w:style w:type="paragraph" w:customStyle="1" w:styleId="BodyTextRight">
    <w:name w:val="Body Text Right"/>
    <w:basedOn w:val="BodyText"/>
    <w:rsid w:val="00B60B38"/>
    <w:pPr>
      <w:spacing w:before="0" w:after="0"/>
      <w:jc w:val="right"/>
    </w:pPr>
  </w:style>
  <w:style w:type="paragraph" w:styleId="Index3">
    <w:name w:val="index 3"/>
    <w:basedOn w:val="ListNumber2"/>
    <w:next w:val="Normal"/>
    <w:semiHidden/>
    <w:rsid w:val="00B60B38"/>
    <w:pPr>
      <w:numPr>
        <w:numId w:val="0"/>
      </w:numPr>
      <w:tabs>
        <w:tab w:val="right" w:leader="dot" w:pos="4176"/>
      </w:tabs>
    </w:pPr>
  </w:style>
  <w:style w:type="paragraph" w:styleId="ListNumber2">
    <w:name w:val="List Number 2"/>
    <w:basedOn w:val="List2"/>
    <w:rsid w:val="00B60B38"/>
    <w:pPr>
      <w:numPr>
        <w:numId w:val="10"/>
      </w:numPr>
      <w:tabs>
        <w:tab w:val="clear" w:pos="1060"/>
      </w:tabs>
    </w:pPr>
  </w:style>
  <w:style w:type="paragraph" w:customStyle="1" w:styleId="MarginNote">
    <w:name w:val="Margin Note"/>
    <w:basedOn w:val="BodyText"/>
    <w:rsid w:val="00B60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B38"/>
    <w:rPr>
      <w:sz w:val="32"/>
    </w:rPr>
  </w:style>
  <w:style w:type="paragraph" w:customStyle="1" w:styleId="HeadingProcedure">
    <w:name w:val="Heading Procedure"/>
    <w:basedOn w:val="HeadingBase"/>
    <w:next w:val="Normal"/>
    <w:rsid w:val="00B60B38"/>
    <w:pPr>
      <w:tabs>
        <w:tab w:val="left" w:pos="0"/>
      </w:tabs>
      <w:spacing w:before="120" w:after="60"/>
    </w:pPr>
    <w:rPr>
      <w:i/>
      <w:color w:val="918585"/>
      <w:sz w:val="22"/>
    </w:rPr>
  </w:style>
  <w:style w:type="paragraph" w:customStyle="1" w:styleId="TableBodyText">
    <w:name w:val="Table Body Text"/>
    <w:basedOn w:val="BodyText"/>
    <w:rsid w:val="00B60B38"/>
    <w:pPr>
      <w:spacing w:before="60" w:after="60"/>
    </w:pPr>
  </w:style>
  <w:style w:type="paragraph" w:styleId="ListContinue">
    <w:name w:val="List Continue"/>
    <w:basedOn w:val="List"/>
    <w:rsid w:val="00B60B38"/>
    <w:pPr>
      <w:ind w:firstLine="0"/>
    </w:pPr>
  </w:style>
  <w:style w:type="paragraph" w:customStyle="1" w:styleId="ListNote">
    <w:name w:val="List Note"/>
    <w:basedOn w:val="List"/>
    <w:rsid w:val="00B60B38"/>
    <w:pPr>
      <w:pBdr>
        <w:top w:val="single" w:sz="6" w:space="2" w:color="918585"/>
        <w:bottom w:val="single" w:sz="6" w:space="2" w:color="918585"/>
      </w:pBdr>
      <w:tabs>
        <w:tab w:val="left" w:pos="1021"/>
      </w:tabs>
      <w:ind w:firstLine="0"/>
    </w:pPr>
  </w:style>
  <w:style w:type="paragraph" w:customStyle="1" w:styleId="Warning">
    <w:name w:val="Warning"/>
    <w:basedOn w:val="BodyText"/>
    <w:rsid w:val="00B60B38"/>
    <w:pPr>
      <w:shd w:val="clear" w:color="auto" w:fill="D9D9D9"/>
      <w:tabs>
        <w:tab w:val="left" w:pos="992"/>
      </w:tabs>
      <w:ind w:left="119" w:right="119"/>
    </w:pPr>
    <w:rPr>
      <w:sz w:val="20"/>
    </w:rPr>
  </w:style>
  <w:style w:type="paragraph" w:customStyle="1" w:styleId="MarginIcons">
    <w:name w:val="Margin Icons"/>
    <w:basedOn w:val="BodyText"/>
    <w:rsid w:val="00B60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B38"/>
    <w:rPr>
      <w:rFonts w:ascii="Courier New" w:hAnsi="Courier New"/>
    </w:rPr>
  </w:style>
  <w:style w:type="paragraph" w:customStyle="1" w:styleId="NoteBullet">
    <w:name w:val="Note Bullet"/>
    <w:basedOn w:val="Note"/>
    <w:rsid w:val="00B60B38"/>
    <w:pPr>
      <w:tabs>
        <w:tab w:val="clear" w:pos="680"/>
      </w:tabs>
      <w:spacing w:before="60" w:after="60"/>
    </w:pPr>
  </w:style>
  <w:style w:type="paragraph" w:customStyle="1" w:styleId="SubHeading2">
    <w:name w:val="SubHeading2"/>
    <w:basedOn w:val="HeadingBase"/>
    <w:rsid w:val="00B60B38"/>
    <w:pPr>
      <w:spacing w:before="240" w:after="60"/>
    </w:pPr>
    <w:rPr>
      <w:sz w:val="20"/>
    </w:rPr>
  </w:style>
  <w:style w:type="paragraph" w:customStyle="1" w:styleId="SubHeading1">
    <w:name w:val="SubHeading1"/>
    <w:basedOn w:val="HeadingBase"/>
    <w:rsid w:val="00B60B38"/>
    <w:pPr>
      <w:spacing w:before="240" w:after="60"/>
    </w:pPr>
    <w:rPr>
      <w:color w:val="918585"/>
      <w:sz w:val="22"/>
    </w:rPr>
  </w:style>
  <w:style w:type="paragraph" w:customStyle="1" w:styleId="SideHeading">
    <w:name w:val="Side Heading"/>
    <w:basedOn w:val="HeadingBase"/>
    <w:rsid w:val="00B60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B38"/>
    <w:pPr>
      <w:numPr>
        <w:numId w:val="12"/>
      </w:numPr>
    </w:pPr>
  </w:style>
  <w:style w:type="paragraph" w:styleId="PlainText">
    <w:name w:val="Plain Text"/>
    <w:basedOn w:val="Normal"/>
    <w:link w:val="PlainTextChar"/>
    <w:rsid w:val="00B60B38"/>
    <w:rPr>
      <w:sz w:val="20"/>
    </w:rPr>
  </w:style>
  <w:style w:type="character" w:customStyle="1" w:styleId="PlainTextChar">
    <w:name w:val="Plain Text Char"/>
    <w:basedOn w:val="DefaultParagraphFont"/>
    <w:link w:val="PlainText"/>
    <w:rsid w:val="00B60B38"/>
    <w:rPr>
      <w:rFonts w:ascii="Courier New" w:eastAsia="Times New Roman" w:hAnsi="Courier New" w:cs="Times New Roman"/>
      <w:sz w:val="20"/>
      <w:szCs w:val="20"/>
      <w:lang w:eastAsia="en-US"/>
    </w:rPr>
  </w:style>
  <w:style w:type="character" w:customStyle="1" w:styleId="MenuOption">
    <w:name w:val="Menu Option"/>
    <w:basedOn w:val="DefaultParagraphFont"/>
    <w:rsid w:val="00B60B38"/>
    <w:rPr>
      <w:b/>
      <w:smallCaps/>
    </w:rPr>
  </w:style>
  <w:style w:type="paragraph" w:customStyle="1" w:styleId="TableListNumber">
    <w:name w:val="Table List Number"/>
    <w:basedOn w:val="ListNumber"/>
    <w:rsid w:val="00B60B38"/>
    <w:pPr>
      <w:numPr>
        <w:numId w:val="0"/>
      </w:numPr>
    </w:pPr>
  </w:style>
  <w:style w:type="paragraph" w:styleId="TOC4">
    <w:name w:val="toc 4"/>
    <w:basedOn w:val="TOCBase"/>
    <w:next w:val="Normal"/>
    <w:semiHidden/>
    <w:rsid w:val="00B60B38"/>
    <w:pPr>
      <w:tabs>
        <w:tab w:val="right" w:leader="dot" w:pos="9071"/>
      </w:tabs>
      <w:ind w:left="1701"/>
    </w:pPr>
  </w:style>
  <w:style w:type="paragraph" w:customStyle="1" w:styleId="ListAlpha">
    <w:name w:val="List Alpha"/>
    <w:basedOn w:val="List"/>
    <w:rsid w:val="00B60B38"/>
    <w:pPr>
      <w:numPr>
        <w:numId w:val="9"/>
      </w:numPr>
    </w:pPr>
  </w:style>
  <w:style w:type="paragraph" w:customStyle="1" w:styleId="ListAlpha2">
    <w:name w:val="List Alpha 2"/>
    <w:basedOn w:val="List2"/>
    <w:rsid w:val="00B60B38"/>
    <w:pPr>
      <w:numPr>
        <w:numId w:val="8"/>
      </w:numPr>
    </w:pPr>
  </w:style>
  <w:style w:type="paragraph" w:styleId="List3">
    <w:name w:val="List 3"/>
    <w:basedOn w:val="BodyText"/>
    <w:rsid w:val="00B60B38"/>
    <w:pPr>
      <w:tabs>
        <w:tab w:val="left" w:pos="1021"/>
      </w:tabs>
      <w:spacing w:before="60" w:after="60"/>
      <w:ind w:left="1020" w:hanging="340"/>
    </w:pPr>
  </w:style>
  <w:style w:type="paragraph" w:styleId="List4">
    <w:name w:val="List 4"/>
    <w:basedOn w:val="BodyText"/>
    <w:rsid w:val="00B60B38"/>
    <w:pPr>
      <w:tabs>
        <w:tab w:val="left" w:pos="1361"/>
      </w:tabs>
      <w:spacing w:before="60" w:after="60"/>
      <w:ind w:left="1361" w:hanging="340"/>
    </w:pPr>
  </w:style>
  <w:style w:type="paragraph" w:styleId="List5">
    <w:name w:val="List 5"/>
    <w:basedOn w:val="BodyText"/>
    <w:rsid w:val="00B60B38"/>
    <w:pPr>
      <w:tabs>
        <w:tab w:val="left" w:pos="1701"/>
      </w:tabs>
      <w:spacing w:before="60" w:after="60"/>
      <w:ind w:left="1701" w:hanging="340"/>
    </w:pPr>
  </w:style>
  <w:style w:type="paragraph" w:styleId="ListBullet3">
    <w:name w:val="List Bullet 3"/>
    <w:basedOn w:val="List3"/>
    <w:rsid w:val="00B60B38"/>
    <w:pPr>
      <w:numPr>
        <w:numId w:val="15"/>
      </w:numPr>
      <w:tabs>
        <w:tab w:val="clear" w:pos="1021"/>
      </w:tabs>
      <w:ind w:left="1037" w:hanging="357"/>
    </w:pPr>
  </w:style>
  <w:style w:type="paragraph" w:styleId="ListBullet4">
    <w:name w:val="List Bullet 4"/>
    <w:basedOn w:val="List4"/>
    <w:rsid w:val="00B60B38"/>
    <w:pPr>
      <w:numPr>
        <w:numId w:val="3"/>
      </w:numPr>
    </w:pPr>
  </w:style>
  <w:style w:type="paragraph" w:styleId="ListBullet5">
    <w:name w:val="List Bullet 5"/>
    <w:basedOn w:val="List5"/>
    <w:rsid w:val="00B60B38"/>
    <w:pPr>
      <w:numPr>
        <w:numId w:val="4"/>
      </w:numPr>
    </w:pPr>
  </w:style>
  <w:style w:type="paragraph" w:styleId="ListContinue2">
    <w:name w:val="List Continue 2"/>
    <w:basedOn w:val="List2"/>
    <w:rsid w:val="00B60B38"/>
    <w:pPr>
      <w:ind w:firstLine="0"/>
    </w:pPr>
  </w:style>
  <w:style w:type="paragraph" w:styleId="ListContinue3">
    <w:name w:val="List Continue 3"/>
    <w:basedOn w:val="List3"/>
    <w:rsid w:val="00B60B38"/>
    <w:pPr>
      <w:ind w:left="1021" w:firstLine="0"/>
    </w:pPr>
  </w:style>
  <w:style w:type="paragraph" w:styleId="ListContinue4">
    <w:name w:val="List Continue 4"/>
    <w:basedOn w:val="List4"/>
    <w:rsid w:val="00B60B38"/>
    <w:pPr>
      <w:ind w:firstLine="0"/>
    </w:pPr>
  </w:style>
  <w:style w:type="paragraph" w:styleId="ListContinue5">
    <w:name w:val="List Continue 5"/>
    <w:basedOn w:val="List5"/>
    <w:rsid w:val="00B60B38"/>
    <w:pPr>
      <w:ind w:firstLine="0"/>
    </w:pPr>
  </w:style>
  <w:style w:type="paragraph" w:styleId="ListNumber3">
    <w:name w:val="List Number 3"/>
    <w:basedOn w:val="List3"/>
    <w:rsid w:val="00B60B38"/>
    <w:pPr>
      <w:numPr>
        <w:numId w:val="5"/>
      </w:numPr>
    </w:pPr>
  </w:style>
  <w:style w:type="paragraph" w:styleId="ListNumber4">
    <w:name w:val="List Number 4"/>
    <w:basedOn w:val="List4"/>
    <w:rsid w:val="00B60B38"/>
    <w:pPr>
      <w:numPr>
        <w:numId w:val="6"/>
      </w:numPr>
    </w:pPr>
  </w:style>
  <w:style w:type="paragraph" w:styleId="ListNumber5">
    <w:name w:val="List Number 5"/>
    <w:basedOn w:val="List5"/>
    <w:rsid w:val="00B60B38"/>
    <w:pPr>
      <w:numPr>
        <w:numId w:val="7"/>
      </w:numPr>
    </w:pPr>
  </w:style>
  <w:style w:type="paragraph" w:styleId="BlockText">
    <w:name w:val="Block Text"/>
    <w:basedOn w:val="Normal"/>
    <w:rsid w:val="00B60B38"/>
    <w:pPr>
      <w:spacing w:after="120"/>
      <w:ind w:left="1440" w:right="1440"/>
    </w:pPr>
  </w:style>
  <w:style w:type="character" w:customStyle="1" w:styleId="Subscript">
    <w:name w:val="Subscript"/>
    <w:basedOn w:val="DefaultParagraphFont"/>
    <w:rsid w:val="00B60B38"/>
    <w:rPr>
      <w:sz w:val="16"/>
      <w:vertAlign w:val="subscript"/>
    </w:rPr>
  </w:style>
  <w:style w:type="character" w:customStyle="1" w:styleId="Superscript">
    <w:name w:val="Superscript"/>
    <w:basedOn w:val="DefaultParagraphFont"/>
    <w:rsid w:val="00B60B38"/>
    <w:rPr>
      <w:sz w:val="16"/>
      <w:vertAlign w:val="superscript"/>
    </w:rPr>
  </w:style>
  <w:style w:type="character" w:customStyle="1" w:styleId="Symbols">
    <w:name w:val="Symbols"/>
    <w:basedOn w:val="DefaultParagraphFont"/>
    <w:rsid w:val="00B60B38"/>
    <w:rPr>
      <w:rFonts w:ascii="Symbol" w:hAnsi="Symbol"/>
    </w:rPr>
  </w:style>
  <w:style w:type="character" w:customStyle="1" w:styleId="MenuOptions">
    <w:name w:val="Menu Options"/>
    <w:basedOn w:val="DefaultParagraphFont"/>
    <w:rsid w:val="00B60B38"/>
    <w:rPr>
      <w:rFonts w:ascii="Arial Narrow" w:hAnsi="Arial Narrow"/>
      <w:smallCaps/>
    </w:rPr>
  </w:style>
  <w:style w:type="character" w:customStyle="1" w:styleId="Buttons">
    <w:name w:val="Buttons"/>
    <w:basedOn w:val="DefaultParagraphFont"/>
    <w:rsid w:val="00B60B38"/>
    <w:rPr>
      <w:b/>
    </w:rPr>
  </w:style>
  <w:style w:type="character" w:customStyle="1" w:styleId="Underlined">
    <w:name w:val="Underlined"/>
    <w:basedOn w:val="DefaultParagraphFont"/>
    <w:rsid w:val="00B60B38"/>
    <w:rPr>
      <w:u w:val="single"/>
    </w:rPr>
  </w:style>
  <w:style w:type="paragraph" w:customStyle="1" w:styleId="TableBodyTextRight">
    <w:name w:val="Table Body Text Right"/>
    <w:basedOn w:val="TableBodyText"/>
    <w:rsid w:val="00B60B38"/>
    <w:pPr>
      <w:widowControl w:val="0"/>
      <w:autoSpaceDE w:val="0"/>
      <w:autoSpaceDN w:val="0"/>
      <w:adjustRightInd w:val="0"/>
      <w:jc w:val="right"/>
    </w:pPr>
    <w:rPr>
      <w:rFonts w:cs="Arial"/>
      <w:szCs w:val="18"/>
    </w:rPr>
  </w:style>
  <w:style w:type="paragraph" w:customStyle="1" w:styleId="CopyrightText">
    <w:name w:val="Copyright Text"/>
    <w:basedOn w:val="BodyText"/>
    <w:rsid w:val="00B60B38"/>
    <w:rPr>
      <w:sz w:val="18"/>
    </w:rPr>
  </w:style>
  <w:style w:type="paragraph" w:customStyle="1" w:styleId="BodySmallRight">
    <w:name w:val="Body Small Right"/>
    <w:basedOn w:val="BodyTextRight"/>
    <w:rsid w:val="00B60B38"/>
    <w:rPr>
      <w:sz w:val="18"/>
      <w:szCs w:val="18"/>
    </w:rPr>
  </w:style>
  <w:style w:type="paragraph" w:customStyle="1" w:styleId="MarginEdition">
    <w:name w:val="Margin Edition"/>
    <w:basedOn w:val="MarginNote"/>
    <w:rsid w:val="00B60B38"/>
    <w:pPr>
      <w:spacing w:before="0" w:after="0"/>
    </w:pPr>
    <w:rPr>
      <w:rFonts w:ascii="Times New Roman" w:hAnsi="Times New Roman"/>
      <w:color w:val="999999"/>
    </w:rPr>
  </w:style>
  <w:style w:type="paragraph" w:customStyle="1" w:styleId="Spacer">
    <w:name w:val="Spacer"/>
    <w:basedOn w:val="Normal"/>
    <w:rsid w:val="00B60B38"/>
    <w:rPr>
      <w:sz w:val="2"/>
      <w:szCs w:val="2"/>
    </w:rPr>
  </w:style>
  <w:style w:type="character" w:customStyle="1" w:styleId="Small">
    <w:name w:val="Small"/>
    <w:basedOn w:val="DefaultParagraphFont"/>
    <w:rsid w:val="00B60B38"/>
    <w:rPr>
      <w:sz w:val="16"/>
    </w:rPr>
  </w:style>
  <w:style w:type="paragraph" w:customStyle="1" w:styleId="WideTable">
    <w:name w:val="Wide Table"/>
    <w:basedOn w:val="Normal"/>
    <w:rsid w:val="00B60B38"/>
    <w:pPr>
      <w:ind w:left="-1418"/>
    </w:pPr>
    <w:rPr>
      <w:sz w:val="2"/>
      <w:szCs w:val="2"/>
    </w:rPr>
  </w:style>
  <w:style w:type="character" w:styleId="PageNumber">
    <w:name w:val="page number"/>
    <w:basedOn w:val="DefaultParagraphFont"/>
    <w:rsid w:val="00B60B38"/>
  </w:style>
  <w:style w:type="paragraph" w:styleId="Quote">
    <w:name w:val="Quote"/>
    <w:basedOn w:val="Heading1"/>
    <w:link w:val="QuoteChar"/>
    <w:qFormat/>
    <w:rsid w:val="00B60B38"/>
    <w:rPr>
      <w:b w:val="0"/>
      <w:sz w:val="72"/>
      <w:szCs w:val="72"/>
      <w:lang w:val="en-NZ"/>
    </w:rPr>
  </w:style>
  <w:style w:type="character" w:customStyle="1" w:styleId="QuoteChar">
    <w:name w:val="Quote Char"/>
    <w:basedOn w:val="DefaultParagraphFont"/>
    <w:link w:val="Quote"/>
    <w:rsid w:val="00B60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B38"/>
    <w:pPr>
      <w:pageBreakBefore/>
    </w:pPr>
  </w:style>
  <w:style w:type="paragraph" w:customStyle="1" w:styleId="Border">
    <w:name w:val="Border"/>
    <w:basedOn w:val="Normal"/>
    <w:qFormat/>
    <w:rsid w:val="00B60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B38"/>
    <w:rPr>
      <w:b/>
      <w:bCs/>
      <w:i/>
      <w:iCs/>
      <w:color w:val="auto"/>
    </w:rPr>
  </w:style>
  <w:style w:type="paragraph" w:styleId="IntenseQuote">
    <w:name w:val="Intense Quote"/>
    <w:basedOn w:val="Normal"/>
    <w:next w:val="Normal"/>
    <w:link w:val="IntenseQuoteChar"/>
    <w:uiPriority w:val="30"/>
    <w:qFormat/>
    <w:rsid w:val="00B60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B38"/>
    <w:rPr>
      <w:smallCaps/>
      <w:color w:val="auto"/>
      <w:u w:val="single"/>
    </w:rPr>
  </w:style>
  <w:style w:type="character" w:styleId="IntenseReference">
    <w:name w:val="Intense Reference"/>
    <w:basedOn w:val="DefaultParagraphFont"/>
    <w:uiPriority w:val="32"/>
    <w:qFormat/>
    <w:rsid w:val="00B60B38"/>
    <w:rPr>
      <w:b/>
      <w:bCs/>
      <w:smallCaps/>
      <w:color w:val="auto"/>
      <w:spacing w:val="5"/>
      <w:u w:val="single"/>
    </w:rPr>
  </w:style>
  <w:style w:type="paragraph" w:customStyle="1" w:styleId="2ColumnHeading">
    <w:name w:val="2Column Heading"/>
    <w:basedOn w:val="BodyText"/>
    <w:qFormat/>
    <w:rsid w:val="00B60B38"/>
    <w:pPr>
      <w:spacing w:after="60"/>
      <w:ind w:left="-2268"/>
    </w:pPr>
    <w:rPr>
      <w:b/>
    </w:rPr>
  </w:style>
  <w:style w:type="paragraph" w:customStyle="1" w:styleId="Heading1TOC">
    <w:name w:val="Heading1 TOC"/>
    <w:basedOn w:val="Normal"/>
    <w:qFormat/>
    <w:rsid w:val="00B60B38"/>
    <w:pPr>
      <w:spacing w:before="240" w:after="120"/>
    </w:pPr>
    <w:rPr>
      <w:rFonts w:ascii="Times New Roman" w:hAnsi="Times New Roman"/>
      <w:b/>
      <w:sz w:val="32"/>
    </w:rPr>
  </w:style>
  <w:style w:type="paragraph" w:customStyle="1" w:styleId="Heading2TOC">
    <w:name w:val="Heading2 TOC"/>
    <w:basedOn w:val="Normal"/>
    <w:qFormat/>
    <w:rsid w:val="00B60B38"/>
    <w:pPr>
      <w:spacing w:before="240" w:after="60"/>
    </w:pPr>
    <w:rPr>
      <w:rFonts w:ascii="Times New Roman" w:hAnsi="Times New Roman"/>
      <w:b/>
      <w:sz w:val="28"/>
    </w:rPr>
  </w:style>
  <w:style w:type="character" w:customStyle="1" w:styleId="Underline">
    <w:name w:val="Underline"/>
    <w:basedOn w:val="DefaultParagraphFont"/>
    <w:qFormat/>
    <w:rsid w:val="00B60B38"/>
    <w:rPr>
      <w:u w:val="single"/>
    </w:rPr>
  </w:style>
  <w:style w:type="paragraph" w:styleId="BalloonText">
    <w:name w:val="Balloon Text"/>
    <w:basedOn w:val="Normal"/>
    <w:link w:val="BalloonTextChar"/>
    <w:rsid w:val="00B60B38"/>
    <w:rPr>
      <w:rFonts w:ascii="Tahoma" w:hAnsi="Tahoma" w:cs="Tahoma"/>
      <w:sz w:val="16"/>
      <w:szCs w:val="16"/>
    </w:rPr>
  </w:style>
  <w:style w:type="character" w:customStyle="1" w:styleId="BalloonTextChar">
    <w:name w:val="Balloon Text Char"/>
    <w:basedOn w:val="DefaultParagraphFont"/>
    <w:link w:val="BalloonText"/>
    <w:rsid w:val="00B60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B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B38"/>
    <w:rPr>
      <w:b/>
      <w:color w:val="660033"/>
      <w:spacing w:val="0"/>
    </w:rPr>
  </w:style>
  <w:style w:type="paragraph" w:customStyle="1" w:styleId="Nameditemlist">
    <w:name w:val="Named item list"/>
    <w:basedOn w:val="BodyText"/>
    <w:qFormat/>
    <w:rsid w:val="00B60B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1688</Words>
  <Characters>10733</Characters>
  <Application>Microsoft Office Word</Application>
  <DocSecurity>0</DocSecurity>
  <Lines>358</Lines>
  <Paragraphs>145</Paragraphs>
  <ScaleCrop>false</ScaleCrop>
  <Company>Author-it Software Corporation Ltd.</Company>
  <LinksUpToDate>false</LinksUpToDate>
  <CharactersWithSpaces>12340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CPCCBC6004A Manage processes for and legal obligations of a building or construction contract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2012-10-05T17:29:00Z</dcterms:created>
  <dcterms:modified xsi:type="dcterms:W3CDTF">2012-10-05T17:29:00Z</dcterms:modified>
</cp:coreProperties>
</file>