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F0413" w:rsidP="00AF0413">
      <w:pPr>
        <w:pStyle w:val="Title"/>
      </w:pPr>
      <w:bookmarkStart w:id="0" w:name="_GoBack"/>
      <w:bookmarkEnd w:id="0"/>
      <w:r>
        <w:fldChar w:fldCharType="begin"/>
      </w:r>
      <w:r>
        <w:instrText xml:space="preserve"> TITLE   \* MERGEFORMAT </w:instrText>
      </w:r>
      <w:r>
        <w:fldChar w:fldCharType="separate"/>
      </w:r>
      <w:r>
        <w:t>CPCCBC5012A Manage the application and monitoring of energy conservation and management practices and processes</w:t>
      </w:r>
      <w:r>
        <w:fldChar w:fldCharType="end"/>
      </w:r>
    </w:p>
    <w:p w:rsidR="00AF0413" w:rsidP="00AF0413">
      <w:pPr>
        <w:pStyle w:val="Version"/>
        <w:sectPr w:rsidSect="00B85D7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85D76" w:rsidP="00B85D76">
      <w:pPr>
        <w:pStyle w:val="SuperHeading"/>
      </w:pPr>
      <w:r w:rsidRPr="00B85D76">
        <w:t>CPCCBC5012A Manage the application and monitoring of energy conservation and management practices and processes</w:t>
      </w:r>
    </w:p>
    <w:p w:rsidR="00000000" w:rsidRPr="00B85D76" w:rsidP="00B85D76">
      <w:pPr>
        <w:pStyle w:val="Heading1"/>
      </w:pPr>
      <w:bookmarkStart w:id="1" w:name="O_269458"/>
      <w:bookmarkEnd w:id="1"/>
      <w:r w:rsidRPr="00B85D76">
        <w:t>Modification History</w:t>
      </w:r>
    </w:p>
    <w:p w:rsidR="00000000" w:rsidRPr="00B85D76" w:rsidP="00B85D76">
      <w:pPr>
        <w:pStyle w:val="BodyText"/>
      </w:pPr>
      <w:r w:rsidRPr="00B85D76">
        <w:t>Not Applicable</w:t>
      </w:r>
    </w:p>
    <w:p w:rsidR="00000000" w:rsidRPr="00B85D76" w:rsidP="00B85D76">
      <w:pPr>
        <w:pStyle w:val="AllowPageBreak"/>
      </w:pPr>
    </w:p>
    <w:p w:rsidR="00000000" w:rsidRPr="00B85D76" w:rsidP="00B85D76">
      <w:pPr>
        <w:pStyle w:val="Heading1"/>
      </w:pPr>
      <w:bookmarkStart w:id="2" w:name="O_197066"/>
      <w:bookmarkEnd w:id="2"/>
      <w:r w:rsidRPr="00B85D76">
        <w:t>Unit Descriptor</w:t>
      </w:r>
    </w:p>
    <w:tbl>
      <w:tblPr>
        <w:tblW w:w="0" w:type="auto"/>
        <w:tblLayout w:type="fixed"/>
        <w:tblCellMar>
          <w:left w:w="62" w:type="dxa"/>
          <w:right w:w="62" w:type="dxa"/>
        </w:tblCellMar>
        <w:tblLook w:val="0000"/>
      </w:tblPr>
      <w:tblGrid>
        <w:gridCol w:w="2586"/>
        <w:gridCol w:w="5936"/>
      </w:tblGrid>
      <w:tr w:rsidTr="00AF0413">
        <w:tblPrEx>
          <w:tblW w:w="0" w:type="auto"/>
          <w:tblLayout w:type="fixed"/>
          <w:tblCellMar>
            <w:left w:w="62" w:type="dxa"/>
            <w:right w:w="62" w:type="dxa"/>
          </w:tblCellMar>
          <w:tblLook w:val="0000"/>
        </w:tblPrEx>
        <w:tc>
          <w:tcPr>
            <w:tcW w:w="2586" w:type="dxa"/>
            <w:tcBorders>
              <w:top w:val="nil"/>
              <w:left w:val="nil"/>
              <w:bottom w:val="nil"/>
              <w:right w:val="nil"/>
            </w:tcBorders>
            <w:tcMar>
              <w:top w:w="0" w:type="dxa"/>
              <w:left w:w="62" w:type="dxa"/>
              <w:bottom w:w="0" w:type="dxa"/>
              <w:right w:w="62" w:type="dxa"/>
            </w:tcMar>
          </w:tcPr>
          <w:p w:rsidR="00000000" w:rsidP="00B85D76">
            <w:pPr>
              <w:pStyle w:val="BodyText"/>
              <w:rPr>
                <w:lang w:val="en-NZ"/>
              </w:rPr>
            </w:pPr>
            <w:r w:rsidRPr="00B85D76">
              <w:rPr>
                <w:rStyle w:val="SpecialBold"/>
              </w:rPr>
              <w:t>Unit descriptor</w:t>
            </w:r>
          </w:p>
        </w:tc>
        <w:tc>
          <w:tcPr>
            <w:tcW w:w="5936" w:type="dxa"/>
            <w:tcBorders>
              <w:top w:val="nil"/>
              <w:left w:val="nil"/>
              <w:bottom w:val="nil"/>
              <w:right w:val="nil"/>
            </w:tcBorders>
            <w:tcMar>
              <w:top w:w="0" w:type="dxa"/>
              <w:left w:w="62" w:type="dxa"/>
              <w:bottom w:w="0" w:type="dxa"/>
              <w:right w:w="62" w:type="dxa"/>
            </w:tcMar>
          </w:tcPr>
          <w:p w:rsidR="00000000" w:rsidRPr="00B85D76" w:rsidP="00B85D76">
            <w:pPr>
              <w:pStyle w:val="BodyText"/>
            </w:pPr>
            <w:r w:rsidRPr="00B85D76">
              <w:t>This unit of competency specifies the outcomes required to manage the application and monitoring of energy conservation and management practices and processes within the building and construction industry. Suc</w:t>
            </w:r>
            <w:r w:rsidRPr="00B85D76">
              <w:t>cessful application of the unit requires knowledge of energy management practices and methodologies, statistical analysis, current trends and factors in energy conservation, and legislative and regulatory requirements.</w:t>
            </w:r>
          </w:p>
        </w:tc>
      </w:tr>
    </w:tbl>
    <w:p w:rsidR="00AF0413" w:rsidP="00B85D76">
      <w:pPr>
        <w:pStyle w:val="BodyText"/>
      </w:pPr>
    </w:p>
    <w:p w:rsidR="00AF0413" w:rsidP="00B85D76">
      <w:pPr>
        <w:pStyle w:val="BodyText"/>
      </w:pPr>
    </w:p>
    <w:p w:rsidR="00000000" w:rsidRPr="00B85D76" w:rsidP="00B85D76">
      <w:pPr>
        <w:pStyle w:val="Heading1"/>
      </w:pPr>
      <w:bookmarkStart w:id="3" w:name="O_197070"/>
      <w:bookmarkEnd w:id="3"/>
      <w:r w:rsidRPr="00B85D76">
        <w:t>Application of the Unit</w:t>
      </w:r>
    </w:p>
    <w:tbl>
      <w:tblPr>
        <w:tblW w:w="0" w:type="auto"/>
        <w:tblLayout w:type="fixed"/>
        <w:tblCellMar>
          <w:left w:w="62" w:type="dxa"/>
          <w:right w:w="62" w:type="dxa"/>
        </w:tblCellMar>
        <w:tblLook w:val="0000"/>
      </w:tblPr>
      <w:tblGrid>
        <w:gridCol w:w="2679"/>
        <w:gridCol w:w="5843"/>
      </w:tblGrid>
      <w:tr w:rsidTr="00AF0413">
        <w:tblPrEx>
          <w:tblW w:w="0" w:type="auto"/>
          <w:tblLayout w:type="fixed"/>
          <w:tblCellMar>
            <w:left w:w="62" w:type="dxa"/>
            <w:right w:w="62" w:type="dxa"/>
          </w:tblCellMar>
          <w:tblLook w:val="0000"/>
        </w:tblPrEx>
        <w:trPr>
          <w:tblHeader/>
        </w:trPr>
        <w:tc>
          <w:tcPr>
            <w:tcW w:w="2679" w:type="dxa"/>
            <w:tcBorders>
              <w:top w:val="nil"/>
              <w:left w:val="nil"/>
              <w:bottom w:val="nil"/>
              <w:right w:val="nil"/>
            </w:tcBorders>
            <w:tcMar>
              <w:top w:w="0" w:type="dxa"/>
              <w:left w:w="62" w:type="dxa"/>
              <w:bottom w:w="0" w:type="dxa"/>
              <w:right w:w="62" w:type="dxa"/>
            </w:tcMar>
          </w:tcPr>
          <w:p w:rsidR="00000000" w:rsidP="00B85D76">
            <w:pPr>
              <w:pStyle w:val="BodyText"/>
              <w:rPr>
                <w:lang w:val="en-NZ"/>
              </w:rPr>
            </w:pPr>
            <w:r w:rsidRPr="00B85D76">
              <w:rPr>
                <w:rStyle w:val="SpecialBold"/>
              </w:rPr>
              <w:t>Application of the unit</w:t>
            </w:r>
          </w:p>
        </w:tc>
        <w:tc>
          <w:tcPr>
            <w:tcW w:w="5843" w:type="dxa"/>
            <w:tcBorders>
              <w:top w:val="nil"/>
              <w:left w:val="nil"/>
              <w:bottom w:val="nil"/>
              <w:right w:val="nil"/>
            </w:tcBorders>
            <w:tcMar>
              <w:top w:w="0" w:type="dxa"/>
              <w:left w:w="62" w:type="dxa"/>
              <w:bottom w:w="0" w:type="dxa"/>
              <w:right w:w="62" w:type="dxa"/>
            </w:tcMar>
          </w:tcPr>
          <w:p w:rsidR="00000000" w:rsidRPr="00B85D76" w:rsidP="00B85D76">
            <w:pPr>
              <w:pStyle w:val="BodyText"/>
            </w:pPr>
            <w:r w:rsidRPr="00B85D76">
              <w:t>This unit of competency supports the needs of builders, senior managers within building and construction firms and other industry professionals responsible for managing energy conservation and management prac</w:t>
            </w:r>
            <w:r w:rsidRPr="00B85D76">
              <w:t xml:space="preserve">tices and processes in medium rise building and construction projects. </w:t>
            </w:r>
          </w:p>
        </w:tc>
      </w:tr>
    </w:tbl>
    <w:p w:rsidR="00AF0413" w:rsidP="00B85D76">
      <w:pPr>
        <w:pStyle w:val="BodyText"/>
      </w:pPr>
    </w:p>
    <w:p w:rsidR="00AF0413" w:rsidP="00B85D76">
      <w:pPr>
        <w:pStyle w:val="BodyText"/>
      </w:pPr>
    </w:p>
    <w:p w:rsidR="00000000" w:rsidRPr="00B85D76" w:rsidP="00B85D76">
      <w:pPr>
        <w:pStyle w:val="Heading1"/>
      </w:pPr>
      <w:bookmarkStart w:id="4" w:name="O_277718"/>
      <w:bookmarkEnd w:id="4"/>
      <w:r w:rsidRPr="00B85D76">
        <w:t>Licensing/Regulatory Information</w:t>
      </w:r>
    </w:p>
    <w:p w:rsidR="00000000" w:rsidRPr="00B85D76" w:rsidP="00B85D76">
      <w:pPr>
        <w:pStyle w:val="BodyText"/>
      </w:pPr>
      <w:r w:rsidRPr="00B85D76">
        <w:t>Not Applicable</w:t>
      </w:r>
    </w:p>
    <w:p w:rsidR="00000000" w:rsidRPr="00B85D76" w:rsidP="00B85D76">
      <w:pPr>
        <w:pStyle w:val="AllowPageBreak"/>
      </w:pPr>
    </w:p>
    <w:p w:rsidR="00000000" w:rsidRPr="00B85D76" w:rsidP="00B85D76">
      <w:pPr>
        <w:pStyle w:val="Heading1"/>
      </w:pPr>
      <w:bookmarkStart w:id="5" w:name="O_197068"/>
      <w:bookmarkEnd w:id="5"/>
      <w:r w:rsidRPr="00B85D76">
        <w:t>Pre-Requisites</w:t>
      </w:r>
    </w:p>
    <w:tbl>
      <w:tblPr>
        <w:tblW w:w="0" w:type="auto"/>
        <w:tblLayout w:type="fixed"/>
        <w:tblCellMar>
          <w:left w:w="62" w:type="dxa"/>
          <w:right w:w="62" w:type="dxa"/>
        </w:tblCellMar>
        <w:tblLook w:val="0000"/>
      </w:tblPr>
      <w:tblGrid>
        <w:gridCol w:w="2690"/>
        <w:gridCol w:w="5832"/>
      </w:tblGrid>
      <w:tr w:rsidTr="00AF0413">
        <w:tblPrEx>
          <w:tblW w:w="0" w:type="auto"/>
          <w:tblLayout w:type="fixed"/>
          <w:tblCellMar>
            <w:left w:w="62" w:type="dxa"/>
            <w:right w:w="62" w:type="dxa"/>
          </w:tblCellMar>
          <w:tblLook w:val="0000"/>
        </w:tblPrEx>
        <w:trPr>
          <w:tblHeader/>
        </w:trPr>
        <w:tc>
          <w:tcPr>
            <w:tcW w:w="2690" w:type="dxa"/>
            <w:tcBorders>
              <w:top w:val="nil"/>
              <w:left w:val="nil"/>
              <w:bottom w:val="nil"/>
              <w:right w:val="nil"/>
            </w:tcBorders>
            <w:tcMar>
              <w:top w:w="0" w:type="dxa"/>
              <w:left w:w="62" w:type="dxa"/>
              <w:bottom w:w="0" w:type="dxa"/>
              <w:right w:w="62" w:type="dxa"/>
            </w:tcMar>
          </w:tcPr>
          <w:p w:rsidR="00000000" w:rsidP="00B85D76">
            <w:pPr>
              <w:pStyle w:val="BodyText"/>
              <w:rPr>
                <w:lang w:val="en-NZ"/>
              </w:rPr>
            </w:pPr>
            <w:r w:rsidRPr="00B85D76">
              <w:rPr>
                <w:rStyle w:val="SpecialBold"/>
              </w:rPr>
              <w:t>Prerequisite units</w:t>
            </w:r>
          </w:p>
        </w:tc>
        <w:tc>
          <w:tcPr>
            <w:tcW w:w="5832" w:type="dxa"/>
            <w:tcBorders>
              <w:top w:val="nil"/>
              <w:left w:val="nil"/>
              <w:bottom w:val="nil"/>
              <w:right w:val="nil"/>
            </w:tcBorders>
            <w:tcMar>
              <w:top w:w="0" w:type="dxa"/>
              <w:left w:w="62" w:type="dxa"/>
              <w:bottom w:w="0" w:type="dxa"/>
              <w:right w:w="62" w:type="dxa"/>
            </w:tcMar>
          </w:tcPr>
          <w:p w:rsidR="00000000" w:rsidRPr="00B85D76" w:rsidP="00B85D76">
            <w:pPr>
              <w:pStyle w:val="BodyText"/>
            </w:pPr>
            <w:r w:rsidRPr="00B85D76">
              <w:t>Nil</w:t>
            </w:r>
          </w:p>
        </w:tc>
      </w:tr>
    </w:tbl>
    <w:p w:rsidR="00AF0413" w:rsidP="00B85D76">
      <w:pPr>
        <w:pStyle w:val="BodyText"/>
      </w:pPr>
    </w:p>
    <w:p w:rsidR="00AF0413" w:rsidP="00B85D76">
      <w:pPr>
        <w:pStyle w:val="BodyText"/>
      </w:pPr>
    </w:p>
    <w:p w:rsidR="00000000" w:rsidRPr="00B85D76" w:rsidP="00B85D76">
      <w:pPr>
        <w:pStyle w:val="Heading1"/>
      </w:pPr>
      <w:bookmarkStart w:id="6" w:name="O_197067"/>
      <w:bookmarkEnd w:id="6"/>
      <w:r w:rsidRPr="00B85D76">
        <w:t>Employability Skills Information</w:t>
      </w:r>
    </w:p>
    <w:tbl>
      <w:tblPr>
        <w:tblW w:w="0" w:type="auto"/>
        <w:tblLayout w:type="fixed"/>
        <w:tblCellMar>
          <w:left w:w="62" w:type="dxa"/>
          <w:right w:w="62" w:type="dxa"/>
        </w:tblCellMar>
        <w:tblLook w:val="0000"/>
      </w:tblPr>
      <w:tblGrid>
        <w:gridCol w:w="2724"/>
        <w:gridCol w:w="5798"/>
      </w:tblGrid>
      <w:tr w:rsidTr="00AF0413">
        <w:tblPrEx>
          <w:tblW w:w="0" w:type="auto"/>
          <w:tblLayout w:type="fixed"/>
          <w:tblCellMar>
            <w:left w:w="62" w:type="dxa"/>
            <w:right w:w="62" w:type="dxa"/>
          </w:tblCellMar>
          <w:tblLook w:val="0000"/>
        </w:tblPrEx>
        <w:trPr>
          <w:tblHeader/>
        </w:trPr>
        <w:tc>
          <w:tcPr>
            <w:tcW w:w="2724" w:type="dxa"/>
            <w:tcBorders>
              <w:top w:val="nil"/>
              <w:left w:val="nil"/>
              <w:bottom w:val="nil"/>
              <w:right w:val="nil"/>
            </w:tcBorders>
            <w:tcMar>
              <w:top w:w="0" w:type="dxa"/>
              <w:left w:w="62" w:type="dxa"/>
              <w:bottom w:w="0" w:type="dxa"/>
              <w:right w:w="62" w:type="dxa"/>
            </w:tcMar>
          </w:tcPr>
          <w:p w:rsidR="00000000" w:rsidP="00B85D76">
            <w:pPr>
              <w:pStyle w:val="BodyText"/>
              <w:rPr>
                <w:lang w:val="en-NZ"/>
              </w:rPr>
            </w:pPr>
            <w:r w:rsidRPr="00B85D76">
              <w:rPr>
                <w:rStyle w:val="SpecialBold"/>
              </w:rPr>
              <w:t>Employability skills</w:t>
            </w:r>
          </w:p>
        </w:tc>
        <w:tc>
          <w:tcPr>
            <w:tcW w:w="5798" w:type="dxa"/>
            <w:tcBorders>
              <w:top w:val="nil"/>
              <w:left w:val="nil"/>
              <w:bottom w:val="nil"/>
              <w:right w:val="nil"/>
            </w:tcBorders>
            <w:tcMar>
              <w:top w:w="0" w:type="dxa"/>
              <w:left w:w="62" w:type="dxa"/>
              <w:bottom w:w="0" w:type="dxa"/>
              <w:right w:w="62" w:type="dxa"/>
            </w:tcMar>
          </w:tcPr>
          <w:p w:rsidR="00000000" w:rsidRPr="00B85D76" w:rsidP="00B85D76">
            <w:pPr>
              <w:pStyle w:val="BodyText"/>
            </w:pPr>
            <w:r w:rsidRPr="00B85D76">
              <w:t>This unit contains employability skills.</w:t>
            </w:r>
          </w:p>
        </w:tc>
      </w:tr>
    </w:tbl>
    <w:p w:rsidR="00AF0413" w:rsidP="00B85D76">
      <w:pPr>
        <w:pStyle w:val="BodyText"/>
      </w:pPr>
    </w:p>
    <w:p w:rsidR="00AF0413" w:rsidP="00B85D76">
      <w:pPr>
        <w:pStyle w:val="BodyText"/>
      </w:pPr>
    </w:p>
    <w:p w:rsidR="00000000" w:rsidRPr="00B85D76" w:rsidP="00B85D76">
      <w:pPr>
        <w:pStyle w:val="Heading1"/>
      </w:pPr>
      <w:bookmarkStart w:id="7" w:name="O_287504"/>
      <w:bookmarkEnd w:id="7"/>
      <w:r w:rsidRPr="00B85D76">
        <w:t>Elements and Performance Criteria Pre-Content</w:t>
      </w:r>
    </w:p>
    <w:tbl>
      <w:tblPr>
        <w:tblW w:w="0" w:type="auto"/>
        <w:tblLayout w:type="fixed"/>
        <w:tblCellMar>
          <w:left w:w="62" w:type="dxa"/>
          <w:right w:w="62" w:type="dxa"/>
        </w:tblCellMar>
        <w:tblLook w:val="0000"/>
      </w:tblPr>
      <w:tblGrid>
        <w:gridCol w:w="2523"/>
        <w:gridCol w:w="5999"/>
      </w:tblGrid>
      <w:tr w:rsidTr="00AF0413">
        <w:tblPrEx>
          <w:tblW w:w="0" w:type="auto"/>
          <w:tblLayout w:type="fixed"/>
          <w:tblCellMar>
            <w:left w:w="62" w:type="dxa"/>
            <w:right w:w="62" w:type="dxa"/>
          </w:tblCellMar>
          <w:tblLook w:val="0000"/>
        </w:tblPrEx>
        <w:tc>
          <w:tcPr>
            <w:tcW w:w="2523" w:type="dxa"/>
            <w:tcBorders>
              <w:top w:val="single" w:sz="6" w:space="0" w:color="auto"/>
              <w:left w:val="nil"/>
              <w:bottom w:val="nil"/>
              <w:right w:val="nil"/>
            </w:tcBorders>
            <w:tcMar>
              <w:top w:w="0" w:type="dxa"/>
              <w:left w:w="62" w:type="dxa"/>
              <w:bottom w:w="0" w:type="dxa"/>
              <w:right w:w="62" w:type="dxa"/>
            </w:tcMar>
          </w:tcPr>
          <w:p w:rsidR="00000000" w:rsidP="00B85D76">
            <w:pPr>
              <w:pStyle w:val="BodyText"/>
              <w:rPr>
                <w:lang w:val="en-NZ"/>
              </w:rPr>
            </w:pPr>
            <w:r w:rsidRPr="00B85D76">
              <w:t>Elements describe the essential outcomes of a unit of competency.</w:t>
            </w:r>
          </w:p>
        </w:tc>
        <w:tc>
          <w:tcPr>
            <w:tcW w:w="5999" w:type="dxa"/>
            <w:tcBorders>
              <w:top w:val="single" w:sz="6" w:space="0" w:color="auto"/>
              <w:left w:val="nil"/>
              <w:bottom w:val="nil"/>
              <w:right w:val="nil"/>
            </w:tcBorders>
            <w:tcMar>
              <w:top w:w="0" w:type="dxa"/>
              <w:left w:w="62" w:type="dxa"/>
              <w:bottom w:w="0" w:type="dxa"/>
              <w:right w:w="62" w:type="dxa"/>
            </w:tcMar>
          </w:tcPr>
          <w:p w:rsidR="00000000" w:rsidRPr="00B85D76" w:rsidP="00B85D76">
            <w:pPr>
              <w:pStyle w:val="BodyText"/>
            </w:pPr>
            <w:r w:rsidRPr="00B85D76">
              <w:t>Performance criteria describe the performance needed to demons</w:t>
            </w:r>
            <w:r w:rsidRPr="00B85D76">
              <w:t>trate achievement of the element. Where bold italicised text is used, further information is detailed in the required skills and knowledge section and the range statement. Assessment of performance is to be consistent with the evidence guide.</w:t>
            </w:r>
          </w:p>
        </w:tc>
      </w:tr>
    </w:tbl>
    <w:p w:rsidR="00000000" w:rsidRPr="00B85D76" w:rsidP="00B85D76">
      <w:pPr>
        <w:pStyle w:val="BodyText"/>
      </w:pPr>
    </w:p>
    <w:p w:rsidR="00000000" w:rsidRPr="00B85D76" w:rsidP="00B85D76">
      <w:pPr>
        <w:pStyle w:val="AllowPageBreak"/>
      </w:pPr>
    </w:p>
    <w:p w:rsidR="00000000" w:rsidRPr="00B85D76" w:rsidP="00B85D76">
      <w:pPr>
        <w:pStyle w:val="Heading1"/>
      </w:pPr>
      <w:bookmarkStart w:id="8" w:name="O_234171"/>
      <w:bookmarkEnd w:id="8"/>
      <w:r w:rsidRPr="00B85D76">
        <w:t>Elements and Performance Criteria</w:t>
      </w:r>
    </w:p>
    <w:tbl>
      <w:tblPr>
        <w:tblW w:w="0" w:type="auto"/>
        <w:tblLayout w:type="fixed"/>
        <w:tblCellMar>
          <w:left w:w="62" w:type="dxa"/>
          <w:right w:w="62" w:type="dxa"/>
        </w:tblCellMar>
        <w:tblLook w:val="0000"/>
      </w:tblPr>
      <w:tblGrid>
        <w:gridCol w:w="2523"/>
        <w:gridCol w:w="5999"/>
      </w:tblGrid>
      <w:tr w:rsidTr="00AF0413">
        <w:tblPrEx>
          <w:tblW w:w="0" w:type="auto"/>
          <w:tblLayout w:type="fixed"/>
          <w:tblCellMar>
            <w:left w:w="62" w:type="dxa"/>
            <w:right w:w="62" w:type="dxa"/>
          </w:tblCellMar>
          <w:tblLook w:val="0000"/>
        </w:tblPrEx>
        <w:trPr>
          <w:tblHeader/>
        </w:trPr>
        <w:tc>
          <w:tcPr>
            <w:tcW w:w="2523" w:type="dxa"/>
            <w:tcBorders>
              <w:top w:val="nil"/>
              <w:left w:val="nil"/>
              <w:bottom w:val="single" w:sz="6" w:space="0" w:color="auto"/>
              <w:right w:val="nil"/>
            </w:tcBorders>
            <w:tcMar>
              <w:top w:w="0" w:type="dxa"/>
              <w:left w:w="62" w:type="dxa"/>
              <w:bottom w:w="0" w:type="dxa"/>
              <w:right w:w="62" w:type="dxa"/>
            </w:tcMar>
          </w:tcPr>
          <w:p w:rsidR="00000000" w:rsidRPr="00B85D76" w:rsidP="00B85D76">
            <w:pPr>
              <w:pStyle w:val="BodyText"/>
            </w:pPr>
            <w:r w:rsidRPr="00B85D76">
              <w:rPr>
                <w:rStyle w:val="SpecialBold"/>
              </w:rPr>
              <w:t>ELEMENT</w:t>
            </w:r>
          </w:p>
        </w:tc>
        <w:tc>
          <w:tcPr>
            <w:tcW w:w="5999" w:type="dxa"/>
            <w:tcBorders>
              <w:top w:val="nil"/>
              <w:left w:val="nil"/>
              <w:bottom w:val="single" w:sz="6" w:space="0" w:color="auto"/>
              <w:right w:val="nil"/>
            </w:tcBorders>
            <w:tcMar>
              <w:top w:w="0" w:type="dxa"/>
              <w:left w:w="62" w:type="dxa"/>
              <w:bottom w:w="0" w:type="dxa"/>
              <w:right w:w="62" w:type="dxa"/>
            </w:tcMar>
          </w:tcPr>
          <w:p w:rsidR="00000000" w:rsidP="00B85D76">
            <w:pPr>
              <w:pStyle w:val="BodyText"/>
              <w:rPr>
                <w:lang w:val="en-NZ"/>
              </w:rPr>
            </w:pPr>
            <w:r w:rsidRPr="00B85D76">
              <w:rPr>
                <w:rStyle w:val="SpecialBold"/>
              </w:rPr>
              <w:t>PERFORMANCE CRITERIA</w:t>
            </w:r>
          </w:p>
        </w:tc>
      </w:tr>
      <w:tr w:rsidTr="00AF0413">
        <w:tblPrEx>
          <w:tblW w:w="0" w:type="auto"/>
          <w:tblLayout w:type="fixed"/>
          <w:tblCellMar>
            <w:left w:w="62" w:type="dxa"/>
            <w:right w:w="62" w:type="dxa"/>
          </w:tblCellMar>
          <w:tblLook w:val="0000"/>
        </w:tblPrEx>
        <w:tc>
          <w:tcPr>
            <w:tcW w:w="2523" w:type="dxa"/>
            <w:tcBorders>
              <w:top w:val="nil"/>
              <w:left w:val="nil"/>
              <w:bottom w:val="nil"/>
              <w:right w:val="nil"/>
            </w:tcBorders>
            <w:tcMar>
              <w:top w:w="0" w:type="dxa"/>
              <w:left w:w="62" w:type="dxa"/>
              <w:bottom w:w="0" w:type="dxa"/>
              <w:right w:w="62" w:type="dxa"/>
            </w:tcMar>
          </w:tcPr>
          <w:p w:rsidR="00000000" w:rsidP="00B85D76">
            <w:pPr>
              <w:pStyle w:val="List"/>
              <w:rPr>
                <w:lang w:val="en-NZ"/>
              </w:rPr>
            </w:pPr>
            <w:r w:rsidRPr="00B85D76">
              <w:t>1.</w:t>
            </w:r>
            <w:r w:rsidRPr="00B85D76">
              <w:tab/>
              <w:t>Prepare an energy conservation and management plan for the organisation.</w:t>
            </w:r>
          </w:p>
        </w:tc>
        <w:tc>
          <w:tcPr>
            <w:tcW w:w="5999" w:type="dxa"/>
            <w:tcBorders>
              <w:top w:val="nil"/>
              <w:left w:val="nil"/>
              <w:bottom w:val="nil"/>
              <w:right w:val="nil"/>
            </w:tcBorders>
            <w:tcMar>
              <w:top w:w="0" w:type="dxa"/>
              <w:left w:w="62" w:type="dxa"/>
              <w:bottom w:w="0" w:type="dxa"/>
              <w:right w:w="62" w:type="dxa"/>
            </w:tcMar>
          </w:tcPr>
          <w:p w:rsidR="00000000" w:rsidRPr="00B85D76" w:rsidP="00B85D76">
            <w:pPr>
              <w:pStyle w:val="List2"/>
            </w:pPr>
            <w:r w:rsidRPr="00B85D76">
              <w:t>1.1.</w:t>
            </w:r>
            <w:r w:rsidRPr="00B85D76">
              <w:tab/>
              <w:t>Organisational policy and operational guidelines for energy conservation and management are reviewed.</w:t>
            </w:r>
          </w:p>
          <w:p w:rsidR="00000000" w:rsidRPr="00B85D76" w:rsidP="00B85D76">
            <w:pPr>
              <w:pStyle w:val="List2"/>
            </w:pPr>
            <w:r w:rsidRPr="00B85D76">
              <w:t>1.2.</w:t>
            </w:r>
            <w:r w:rsidRPr="00B85D76">
              <w:tab/>
            </w:r>
            <w:r w:rsidRPr="00B85D76">
              <w:rPr>
                <w:rStyle w:val="BoldandItalics"/>
              </w:rPr>
              <w:t>Best practice and benchmarking methods</w:t>
            </w:r>
            <w:r w:rsidRPr="00B85D76">
              <w:t xml:space="preserve"> are used to determine current energy conservation and management performance. </w:t>
            </w:r>
          </w:p>
          <w:p w:rsidR="00000000" w:rsidRPr="00B85D76" w:rsidP="00B85D76">
            <w:pPr>
              <w:pStyle w:val="List2"/>
            </w:pPr>
            <w:r w:rsidRPr="00B85D76">
              <w:t>1.3.</w:t>
            </w:r>
            <w:r w:rsidRPr="00B85D76">
              <w:tab/>
              <w:t>Opportunities for energy conservation and savings are identified within the immediate work area and on project sites.</w:t>
            </w:r>
          </w:p>
          <w:p w:rsidR="00000000" w:rsidRPr="00B85D76" w:rsidP="00B85D76">
            <w:pPr>
              <w:pStyle w:val="List2"/>
            </w:pPr>
            <w:r w:rsidRPr="00B85D76">
              <w:t>1.4.</w:t>
            </w:r>
            <w:r w:rsidRPr="00B85D76">
              <w:tab/>
              <w:t>Staff</w:t>
            </w:r>
            <w:r w:rsidRPr="00B85D76">
              <w:t xml:space="preserve"> and contractors are asked for ideas and suggestions concerning organisational energy conservation.</w:t>
            </w:r>
          </w:p>
          <w:p w:rsidR="00000000" w:rsidRPr="00B85D76" w:rsidP="00B85D76">
            <w:pPr>
              <w:pStyle w:val="List2"/>
            </w:pPr>
            <w:r w:rsidRPr="00B85D76">
              <w:t>1.5.</w:t>
            </w:r>
            <w:r w:rsidRPr="00B85D76">
              <w:tab/>
            </w:r>
            <w:r w:rsidRPr="00B85D76">
              <w:rPr>
                <w:rStyle w:val="BoldandItalics"/>
              </w:rPr>
              <w:t>Energy conservation and management plan</w:t>
            </w:r>
            <w:r w:rsidRPr="00B85D76">
              <w:t xml:space="preserve"> is prepared on the basis of available information. </w:t>
            </w:r>
          </w:p>
          <w:p w:rsidR="00000000" w:rsidP="00B85D76">
            <w:pPr>
              <w:pStyle w:val="List2"/>
              <w:rPr>
                <w:lang w:val="en-NZ"/>
              </w:rPr>
            </w:pPr>
            <w:r w:rsidRPr="00B85D76">
              <w:t>1.6.</w:t>
            </w:r>
            <w:r w:rsidRPr="00B85D76">
              <w:tab/>
              <w:t xml:space="preserve">Advice is sought from senior management, as required, </w:t>
            </w:r>
            <w:r w:rsidRPr="00B85D76">
              <w:t>concerning implementation of the plan.</w:t>
            </w:r>
          </w:p>
        </w:tc>
      </w:tr>
      <w:tr w:rsidTr="00AF0413">
        <w:tblPrEx>
          <w:tblW w:w="0" w:type="auto"/>
          <w:tblLayout w:type="fixed"/>
          <w:tblCellMar>
            <w:left w:w="62" w:type="dxa"/>
            <w:right w:w="62" w:type="dxa"/>
          </w:tblCellMar>
          <w:tblLook w:val="0000"/>
        </w:tblPrEx>
        <w:tc>
          <w:tcPr>
            <w:tcW w:w="2523" w:type="dxa"/>
            <w:tcBorders>
              <w:top w:val="nil"/>
              <w:left w:val="nil"/>
              <w:bottom w:val="nil"/>
              <w:right w:val="nil"/>
            </w:tcBorders>
            <w:tcMar>
              <w:top w:w="0" w:type="dxa"/>
              <w:left w:w="62" w:type="dxa"/>
              <w:bottom w:w="0" w:type="dxa"/>
              <w:right w:w="62" w:type="dxa"/>
            </w:tcMar>
          </w:tcPr>
          <w:p w:rsidR="00000000" w:rsidP="00B85D76">
            <w:pPr>
              <w:pStyle w:val="List"/>
              <w:rPr>
                <w:lang w:val="en-NZ"/>
              </w:rPr>
            </w:pPr>
            <w:r w:rsidRPr="00B85D76">
              <w:t>2.</w:t>
            </w:r>
            <w:r w:rsidRPr="00B85D76">
              <w:tab/>
              <w:t>Manage the energy conservation and management plan.</w:t>
            </w:r>
          </w:p>
        </w:tc>
        <w:tc>
          <w:tcPr>
            <w:tcW w:w="5999" w:type="dxa"/>
            <w:tcBorders>
              <w:top w:val="nil"/>
              <w:left w:val="nil"/>
              <w:bottom w:val="nil"/>
              <w:right w:val="nil"/>
            </w:tcBorders>
            <w:tcMar>
              <w:top w:w="0" w:type="dxa"/>
              <w:left w:w="62" w:type="dxa"/>
              <w:bottom w:w="0" w:type="dxa"/>
              <w:right w:w="62" w:type="dxa"/>
            </w:tcMar>
          </w:tcPr>
          <w:p w:rsidR="00000000" w:rsidRPr="00B85D76" w:rsidP="00B85D76">
            <w:pPr>
              <w:pStyle w:val="List2"/>
            </w:pPr>
            <w:r w:rsidRPr="00B85D76">
              <w:t>2.1.</w:t>
            </w:r>
            <w:r w:rsidRPr="00B85D76">
              <w:tab/>
              <w:t>Staff and contractors are informed of their obligations in implementing the energy conservation and management plan and are monitored for compliance.</w:t>
            </w:r>
          </w:p>
          <w:p w:rsidR="00000000" w:rsidRPr="00B85D76" w:rsidP="00B85D76">
            <w:pPr>
              <w:pStyle w:val="List2"/>
            </w:pPr>
            <w:r w:rsidRPr="00B85D76">
              <w:t>2.2.</w:t>
            </w:r>
            <w:r w:rsidRPr="00B85D76">
              <w:tab/>
            </w:r>
            <w:r w:rsidRPr="00B85D76">
              <w:rPr>
                <w:rStyle w:val="BoldandItalics"/>
              </w:rPr>
              <w:t>E</w:t>
            </w:r>
            <w:r w:rsidRPr="00B85D76">
              <w:rPr>
                <w:rStyle w:val="BoldandItalics"/>
              </w:rPr>
              <w:t>nergy data</w:t>
            </w:r>
            <w:r w:rsidRPr="00B85D76">
              <w:t>-</w:t>
            </w:r>
            <w:r w:rsidRPr="00B85D76">
              <w:rPr>
                <w:rStyle w:val="BoldandItalics"/>
              </w:rPr>
              <w:t>gathering systems</w:t>
            </w:r>
            <w:r w:rsidRPr="00B85D76">
              <w:t xml:space="preserve"> are evaluated, changes are made as necessary, and system is managed for maximum efficiency and accuracy. </w:t>
            </w:r>
          </w:p>
          <w:p w:rsidR="00000000" w:rsidRPr="00B85D76" w:rsidP="00B85D76">
            <w:pPr>
              <w:pStyle w:val="List2"/>
            </w:pPr>
            <w:r w:rsidRPr="00B85D76">
              <w:t>2.3.</w:t>
            </w:r>
            <w:r w:rsidRPr="00B85D76">
              <w:tab/>
              <w:t>New projects are evaluated to determine their impact on existing energy conservation planning obligations.</w:t>
            </w:r>
          </w:p>
          <w:p w:rsidR="00000000" w:rsidRPr="00B85D76" w:rsidP="00B85D76">
            <w:pPr>
              <w:pStyle w:val="List2"/>
            </w:pPr>
            <w:r w:rsidRPr="00B85D76">
              <w:t>2.4.</w:t>
            </w:r>
            <w:r w:rsidRPr="00B85D76">
              <w:tab/>
              <w:t>Part</w:t>
            </w:r>
            <w:r w:rsidRPr="00B85D76">
              <w:t>icipation by contractors in the achievement of plan's objectives is encouraged and monitored.</w:t>
            </w:r>
          </w:p>
          <w:p w:rsidR="00000000" w:rsidRPr="00B85D76" w:rsidP="00B85D76">
            <w:pPr>
              <w:pStyle w:val="List2"/>
            </w:pPr>
            <w:r w:rsidRPr="00B85D76">
              <w:t>2.5.</w:t>
            </w:r>
            <w:r w:rsidRPr="00B85D76">
              <w:tab/>
              <w:t>Difficulties, obstructions or factors that impact on the achievement of the energy conservation plan are identified and measures are taken to address them.</w:t>
            </w:r>
          </w:p>
          <w:p w:rsidR="00000000" w:rsidRPr="00B85D76" w:rsidP="00B85D76">
            <w:pPr>
              <w:pStyle w:val="List2"/>
            </w:pPr>
            <w:r w:rsidRPr="00B85D76">
              <w:t>2</w:t>
            </w:r>
            <w:r w:rsidRPr="00B85D76">
              <w:t>.6.</w:t>
            </w:r>
            <w:r w:rsidRPr="00B85D76">
              <w:tab/>
              <w:t>Information concerning updates to the plan is communicated to staff and stakeholders.</w:t>
            </w:r>
          </w:p>
          <w:p w:rsidR="00000000" w:rsidP="00B85D76">
            <w:pPr>
              <w:pStyle w:val="List2"/>
              <w:rPr>
                <w:lang w:val="en-NZ"/>
              </w:rPr>
            </w:pPr>
            <w:r w:rsidRPr="00B85D76">
              <w:t>2.7.</w:t>
            </w:r>
            <w:r w:rsidRPr="00B85D76">
              <w:tab/>
              <w:t>Environmental management plan evaluation strategy is developed and managed to ensure that organisational objectives are achieved.</w:t>
            </w:r>
          </w:p>
        </w:tc>
      </w:tr>
      <w:tr w:rsidTr="00AF0413">
        <w:tblPrEx>
          <w:tblW w:w="0" w:type="auto"/>
          <w:tblLayout w:type="fixed"/>
          <w:tblCellMar>
            <w:left w:w="62" w:type="dxa"/>
            <w:right w:w="62" w:type="dxa"/>
          </w:tblCellMar>
          <w:tblLook w:val="0000"/>
        </w:tblPrEx>
        <w:tc>
          <w:tcPr>
            <w:tcW w:w="2523" w:type="dxa"/>
            <w:tcBorders>
              <w:top w:val="nil"/>
              <w:left w:val="nil"/>
              <w:bottom w:val="nil"/>
              <w:right w:val="nil"/>
            </w:tcBorders>
            <w:tcMar>
              <w:top w:w="0" w:type="dxa"/>
              <w:left w:w="62" w:type="dxa"/>
              <w:bottom w:w="0" w:type="dxa"/>
              <w:right w:w="62" w:type="dxa"/>
            </w:tcMar>
          </w:tcPr>
          <w:p w:rsidR="00000000" w:rsidP="00B85D76">
            <w:pPr>
              <w:pStyle w:val="List"/>
              <w:rPr>
                <w:lang w:val="en-NZ"/>
              </w:rPr>
            </w:pPr>
            <w:r w:rsidRPr="00B85D76">
              <w:t>3.</w:t>
            </w:r>
            <w:r w:rsidRPr="00B85D76">
              <w:tab/>
              <w:t>Monitor the energy conserva</w:t>
            </w:r>
            <w:r w:rsidRPr="00B85D76">
              <w:t>tion and management plan to ensure organisational objectives are being met.</w:t>
            </w:r>
          </w:p>
        </w:tc>
        <w:tc>
          <w:tcPr>
            <w:tcW w:w="5999" w:type="dxa"/>
            <w:tcBorders>
              <w:top w:val="nil"/>
              <w:left w:val="nil"/>
              <w:bottom w:val="nil"/>
              <w:right w:val="nil"/>
            </w:tcBorders>
            <w:tcMar>
              <w:top w:w="0" w:type="dxa"/>
              <w:left w:w="62" w:type="dxa"/>
              <w:bottom w:w="0" w:type="dxa"/>
              <w:right w:w="62" w:type="dxa"/>
            </w:tcMar>
          </w:tcPr>
          <w:p w:rsidR="00000000" w:rsidRPr="00B85D76" w:rsidP="00B85D76">
            <w:pPr>
              <w:pStyle w:val="List2"/>
            </w:pPr>
            <w:r w:rsidRPr="00B85D76">
              <w:t>3.1.</w:t>
            </w:r>
            <w:r w:rsidRPr="00B85D76">
              <w:tab/>
              <w:t xml:space="preserve">Organisational </w:t>
            </w:r>
            <w:r w:rsidRPr="00B85D76">
              <w:rPr>
                <w:rStyle w:val="BoldandItalics"/>
              </w:rPr>
              <w:t>feedback systems</w:t>
            </w:r>
            <w:r w:rsidRPr="00B85D76">
              <w:t xml:space="preserve"> are implemented and managed to assist with compliance with and management of the plan. </w:t>
            </w:r>
          </w:p>
          <w:p w:rsidR="00000000" w:rsidRPr="00B85D76" w:rsidP="00B85D76">
            <w:pPr>
              <w:pStyle w:val="List2"/>
            </w:pPr>
            <w:r w:rsidRPr="00B85D76">
              <w:t>3.2.</w:t>
            </w:r>
            <w:r w:rsidRPr="00B85D76">
              <w:tab/>
              <w:t>Regular feedback is obtained from staff and contra</w:t>
            </w:r>
            <w:r w:rsidRPr="00B85D76">
              <w:t>ctors concerning the efficiency of the operations of the energy conservation and management plan.</w:t>
            </w:r>
          </w:p>
          <w:p w:rsidR="00000000" w:rsidRPr="00B85D76" w:rsidP="00B85D76">
            <w:pPr>
              <w:pStyle w:val="List2"/>
            </w:pPr>
            <w:r w:rsidRPr="00B85D76">
              <w:t>3.3.</w:t>
            </w:r>
            <w:r w:rsidRPr="00B85D76">
              <w:tab/>
              <w:t>Energy savings are identified and promoted throughout the organisation.</w:t>
            </w:r>
          </w:p>
          <w:p w:rsidR="00000000" w:rsidP="00B85D76">
            <w:pPr>
              <w:pStyle w:val="List2"/>
              <w:rPr>
                <w:lang w:val="en-NZ"/>
              </w:rPr>
            </w:pPr>
            <w:r w:rsidRPr="00B85D76">
              <w:t>3.4.</w:t>
            </w:r>
            <w:r w:rsidRPr="00B85D76">
              <w:tab/>
            </w:r>
            <w:r w:rsidRPr="00B85D76">
              <w:t>Energy wastage is reported and strategies are implemented as necessary to assist with compliance with the energy management plan.</w:t>
            </w:r>
          </w:p>
        </w:tc>
      </w:tr>
      <w:tr w:rsidTr="00AF0413">
        <w:tblPrEx>
          <w:tblW w:w="0" w:type="auto"/>
          <w:tblLayout w:type="fixed"/>
          <w:tblCellMar>
            <w:left w:w="62" w:type="dxa"/>
            <w:right w:w="62" w:type="dxa"/>
          </w:tblCellMar>
          <w:tblLook w:val="0000"/>
        </w:tblPrEx>
        <w:tc>
          <w:tcPr>
            <w:tcW w:w="2523" w:type="dxa"/>
            <w:tcBorders>
              <w:top w:val="nil"/>
              <w:left w:val="nil"/>
              <w:bottom w:val="nil"/>
              <w:right w:val="nil"/>
            </w:tcBorders>
            <w:tcMar>
              <w:top w:w="0" w:type="dxa"/>
              <w:left w:w="62" w:type="dxa"/>
              <w:bottom w:w="0" w:type="dxa"/>
              <w:right w:w="62" w:type="dxa"/>
            </w:tcMar>
          </w:tcPr>
          <w:p w:rsidR="00000000" w:rsidP="00B85D76">
            <w:pPr>
              <w:pStyle w:val="List"/>
              <w:rPr>
                <w:lang w:val="en-NZ"/>
              </w:rPr>
            </w:pPr>
            <w:r w:rsidRPr="00B85D76">
              <w:t>4.</w:t>
            </w:r>
            <w:r w:rsidRPr="00B85D76">
              <w:tab/>
              <w:t>Evaluate and recommend changes to the energy conservation and management plan.</w:t>
            </w:r>
          </w:p>
        </w:tc>
        <w:tc>
          <w:tcPr>
            <w:tcW w:w="5999" w:type="dxa"/>
            <w:tcBorders>
              <w:top w:val="nil"/>
              <w:left w:val="nil"/>
              <w:bottom w:val="nil"/>
              <w:right w:val="nil"/>
            </w:tcBorders>
            <w:tcMar>
              <w:top w:w="0" w:type="dxa"/>
              <w:left w:w="62" w:type="dxa"/>
              <w:bottom w:w="0" w:type="dxa"/>
              <w:right w:w="62" w:type="dxa"/>
            </w:tcMar>
          </w:tcPr>
          <w:p w:rsidR="00000000" w:rsidRPr="00B85D76" w:rsidP="00B85D76">
            <w:pPr>
              <w:pStyle w:val="List2"/>
            </w:pPr>
            <w:r w:rsidRPr="00B85D76">
              <w:t>4.1.</w:t>
            </w:r>
            <w:r w:rsidRPr="00B85D76">
              <w:tab/>
              <w:t>Energy conservation and management pla</w:t>
            </w:r>
            <w:r w:rsidRPr="00B85D76">
              <w:t>n is reviewed to identify areas needing improvement and action is taken.</w:t>
            </w:r>
          </w:p>
          <w:p w:rsidR="00000000" w:rsidRPr="00B85D76" w:rsidP="00B85D76">
            <w:pPr>
              <w:pStyle w:val="List2"/>
            </w:pPr>
            <w:r w:rsidRPr="00B85D76">
              <w:t>4.2.</w:t>
            </w:r>
            <w:r w:rsidRPr="00B85D76">
              <w:tab/>
              <w:t>Measures are introduced to encourage staff to suggest more efficient procedures and innovations to improve the performance of the energy conservation and management plan.</w:t>
            </w:r>
          </w:p>
          <w:p w:rsidR="00000000" w:rsidRPr="00B85D76" w:rsidP="00B85D76">
            <w:pPr>
              <w:pStyle w:val="List2"/>
            </w:pPr>
            <w:r w:rsidRPr="00B85D76">
              <w:t>4.3.</w:t>
            </w:r>
            <w:r w:rsidRPr="00B85D76">
              <w:tab/>
              <w:t>Pl</w:t>
            </w:r>
            <w:r w:rsidRPr="00B85D76">
              <w:t>ans are redrafted to include improvements or address deficiencies identified during monitoring.</w:t>
            </w:r>
          </w:p>
          <w:p w:rsidR="00000000" w:rsidRPr="00B85D76" w:rsidP="00B85D76">
            <w:pPr>
              <w:pStyle w:val="List2"/>
            </w:pPr>
            <w:r w:rsidRPr="00B85D76">
              <w:t>4.4.</w:t>
            </w:r>
            <w:r w:rsidRPr="00B85D76">
              <w:tab/>
              <w:t>Revised plans are submitted to senior management for endorsement and procedures are amended accordingly.</w:t>
            </w:r>
          </w:p>
        </w:tc>
      </w:tr>
    </w:tbl>
    <w:p w:rsidR="00AF0413" w:rsidP="00B85D76">
      <w:pPr>
        <w:pStyle w:val="BodyText"/>
      </w:pPr>
    </w:p>
    <w:p w:rsidR="00AF0413" w:rsidP="00B85D76">
      <w:pPr>
        <w:pStyle w:val="BodyText"/>
      </w:pPr>
    </w:p>
    <w:p w:rsidR="00000000" w:rsidRPr="00B85D76" w:rsidP="00B85D76">
      <w:pPr>
        <w:pStyle w:val="Heading1"/>
      </w:pPr>
      <w:bookmarkStart w:id="9" w:name="O_258121"/>
      <w:bookmarkEnd w:id="9"/>
      <w:r w:rsidRPr="00B85D76">
        <w:t>Required Skills and Knowledge</w:t>
      </w:r>
    </w:p>
    <w:tbl>
      <w:tblPr>
        <w:tblW w:w="0" w:type="auto"/>
        <w:tblLayout w:type="fixed"/>
        <w:tblCellMar>
          <w:left w:w="62" w:type="dxa"/>
          <w:right w:w="62" w:type="dxa"/>
        </w:tblCellMar>
        <w:tblLook w:val="0000"/>
      </w:tblPr>
      <w:tblGrid>
        <w:gridCol w:w="8522"/>
      </w:tblGrid>
      <w:tr w:rsidTr="00AF0413">
        <w:tblPrEx>
          <w:tblW w:w="0" w:type="auto"/>
          <w:tblLayout w:type="fixed"/>
          <w:tblCellMar>
            <w:left w:w="62" w:type="dxa"/>
            <w:right w:w="62" w:type="dxa"/>
          </w:tblCellMar>
          <w:tblLook w:val="0000"/>
        </w:tblPrEx>
        <w:trPr>
          <w:tblHeader/>
        </w:trPr>
        <w:tc>
          <w:tcPr>
            <w:tcW w:w="8522" w:type="dxa"/>
            <w:tcBorders>
              <w:top w:val="nil"/>
              <w:left w:val="nil"/>
              <w:bottom w:val="nil"/>
              <w:right w:val="nil"/>
            </w:tcBorders>
            <w:tcMar>
              <w:top w:w="0" w:type="dxa"/>
              <w:left w:w="62" w:type="dxa"/>
              <w:bottom w:w="0" w:type="dxa"/>
              <w:right w:w="62" w:type="dxa"/>
            </w:tcMar>
          </w:tcPr>
          <w:p w:rsidR="00000000" w:rsidP="00B85D76">
            <w:pPr>
              <w:pStyle w:val="BodyText"/>
              <w:rPr>
                <w:lang w:val="en-NZ"/>
              </w:rPr>
            </w:pPr>
            <w:r w:rsidRPr="00B85D76">
              <w:rPr>
                <w:rStyle w:val="SpecialBold"/>
              </w:rPr>
              <w:t>REQUIRED SKILLS AND KNOWLEDGE</w:t>
            </w:r>
          </w:p>
        </w:tc>
      </w:tr>
      <w:tr w:rsidTr="00AF0413">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B85D76">
            <w:pPr>
              <w:pStyle w:val="BodyText"/>
              <w:rPr>
                <w:lang w:val="en-NZ"/>
              </w:rPr>
            </w:pPr>
            <w:r w:rsidRPr="00B85D76">
              <w:t>This section describes the skills and knowledge required for this unit.</w:t>
            </w:r>
          </w:p>
        </w:tc>
      </w:tr>
      <w:tr w:rsidTr="00AF0413">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B85D76">
            <w:pPr>
              <w:pStyle w:val="BodyText"/>
              <w:rPr>
                <w:lang w:val="en-NZ"/>
              </w:rPr>
            </w:pPr>
            <w:r w:rsidRPr="00B85D76">
              <w:rPr>
                <w:rStyle w:val="SpecialBold"/>
              </w:rPr>
              <w:t>Required skills</w:t>
            </w:r>
          </w:p>
        </w:tc>
      </w:tr>
      <w:tr w:rsidTr="00AF0413">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B85D76" w:rsidP="00B85D76">
            <w:pPr>
              <w:pStyle w:val="BodyText"/>
            </w:pPr>
            <w:r w:rsidRPr="00B85D76">
              <w:t>Required skills for this unit are:</w:t>
            </w:r>
          </w:p>
          <w:p w:rsidR="00000000" w:rsidRPr="00B85D76" w:rsidP="00B85D76">
            <w:pPr>
              <w:pStyle w:val="ListBullet"/>
            </w:pPr>
            <w:r w:rsidRPr="00B85D76">
              <w:t>analytical skills, including the ability to assess variations in energ</w:t>
            </w:r>
            <w:r w:rsidRPr="00B85D76">
              <w:t>y management performance and identifying reasons for those variations</w:t>
            </w:r>
          </w:p>
          <w:p w:rsidR="00000000" w:rsidRPr="00B85D76" w:rsidP="00B85D76">
            <w:pPr>
              <w:pStyle w:val="ListBullet"/>
            </w:pPr>
            <w:r w:rsidRPr="00B85D76">
              <w:t>communication skills to:</w:t>
            </w:r>
          </w:p>
          <w:p w:rsidR="00000000" w:rsidRPr="00B85D76" w:rsidP="00B85D76">
            <w:pPr>
              <w:pStyle w:val="ListBullet2"/>
            </w:pPr>
            <w:r w:rsidRPr="00B85D76">
              <w:t>enable clear and direct communication, using questioning to identify and confirm requirements, share information, listen and understand</w:t>
            </w:r>
          </w:p>
          <w:p w:rsidR="00000000" w:rsidRPr="00B85D76" w:rsidP="00B85D76">
            <w:pPr>
              <w:pStyle w:val="ListBullet2"/>
            </w:pPr>
            <w:r w:rsidRPr="00B85D76">
              <w:t>liaise with local authorities, regulatory agencies and clients</w:t>
            </w:r>
          </w:p>
          <w:p w:rsidR="00000000" w:rsidRPr="00B85D76" w:rsidP="00B85D76">
            <w:pPr>
              <w:pStyle w:val="ListBullet2"/>
            </w:pPr>
            <w:r w:rsidRPr="00B85D76">
              <w:t>provide information</w:t>
            </w:r>
          </w:p>
          <w:p w:rsidR="00000000" w:rsidRPr="00B85D76" w:rsidP="00B85D76">
            <w:pPr>
              <w:pStyle w:val="ListBullet2"/>
            </w:pPr>
            <w:r w:rsidRPr="00B85D76">
              <w:t>read and interpret documents from a variety of sources</w:t>
            </w:r>
          </w:p>
          <w:p w:rsidR="00000000" w:rsidRPr="00B85D76" w:rsidP="00B85D76">
            <w:pPr>
              <w:pStyle w:val="ListBullet2"/>
            </w:pPr>
            <w:r w:rsidRPr="00B85D76">
              <w:t>seek advice and feedback</w:t>
            </w:r>
          </w:p>
          <w:p w:rsidR="00000000" w:rsidRPr="00B85D76" w:rsidP="00B85D76">
            <w:pPr>
              <w:pStyle w:val="ListBullet2"/>
            </w:pPr>
            <w:r w:rsidRPr="00B85D76">
              <w:t>use and interpret non-verbal communication</w:t>
            </w:r>
          </w:p>
          <w:p w:rsidR="00000000" w:rsidRPr="00B85D76" w:rsidP="00B85D76">
            <w:pPr>
              <w:pStyle w:val="ListBullet2"/>
            </w:pPr>
            <w:r w:rsidRPr="00B85D76">
              <w:t xml:space="preserve">use language and concepts appropriate to cultural </w:t>
            </w:r>
            <w:r w:rsidRPr="00B85D76">
              <w:t>differences</w:t>
            </w:r>
          </w:p>
          <w:p w:rsidR="00000000" w:rsidRPr="00B85D76" w:rsidP="00B85D76">
            <w:pPr>
              <w:pStyle w:val="ListBullet2"/>
            </w:pPr>
            <w:r w:rsidRPr="00B85D76">
              <w:t>written skills to prepare and revise an energy conservation and management plan</w:t>
            </w:r>
          </w:p>
          <w:p w:rsidR="00000000" w:rsidRPr="00B85D76" w:rsidP="00B85D76">
            <w:pPr>
              <w:pStyle w:val="ListBullet"/>
            </w:pPr>
            <w:r w:rsidRPr="00B85D76">
              <w:t>numeracy skills to carry out statistical analysis and apply calculations</w:t>
            </w:r>
          </w:p>
          <w:p w:rsidR="00000000" w:rsidRPr="00B85D76" w:rsidP="00B85D76">
            <w:pPr>
              <w:pStyle w:val="ListBullet"/>
            </w:pPr>
            <w:r w:rsidRPr="00B85D76">
              <w:t>evaluation skills to evaluate previous energy conservation and management performance and i</w:t>
            </w:r>
            <w:r w:rsidRPr="00B85D76">
              <w:t>dentify strengths and weaknesses of the process</w:t>
            </w:r>
          </w:p>
          <w:p w:rsidR="00000000" w:rsidRPr="00B85D76" w:rsidP="00B85D76">
            <w:pPr>
              <w:pStyle w:val="ListBullet"/>
            </w:pPr>
            <w:r w:rsidRPr="00B85D76">
              <w:t>management skills, including the ability to develop and implement energy conservation and management plans that improve organisational achievements in regard to energy saving objectives</w:t>
            </w:r>
          </w:p>
          <w:p w:rsidR="00000000" w:rsidRPr="00B85D76" w:rsidP="00B85D76">
            <w:pPr>
              <w:pStyle w:val="ListBullet"/>
            </w:pPr>
            <w:r w:rsidRPr="00B85D76">
              <w:t>problem solving skills</w:t>
            </w:r>
            <w:r w:rsidRPr="00B85D76">
              <w:t>, including the ability to identify energy conservation and management issues and address these before they become contentious</w:t>
            </w:r>
          </w:p>
          <w:p w:rsidR="00000000" w:rsidP="00B85D76">
            <w:pPr>
              <w:pStyle w:val="ListBullet"/>
              <w:rPr>
                <w:lang w:val="en-NZ"/>
              </w:rPr>
            </w:pPr>
            <w:r w:rsidRPr="00B85D76">
              <w:t xml:space="preserve">staff management skills in order to effectively manage personnel in the administration of organisational energy conservation and </w:t>
            </w:r>
            <w:r w:rsidRPr="00B85D76">
              <w:t>management systems.</w:t>
            </w:r>
          </w:p>
        </w:tc>
      </w:tr>
      <w:tr w:rsidTr="00AF0413">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B85D76">
            <w:pPr>
              <w:pStyle w:val="BodyText"/>
              <w:rPr>
                <w:lang w:val="en-NZ"/>
              </w:rPr>
            </w:pPr>
            <w:r w:rsidRPr="00B85D76">
              <w:rPr>
                <w:rStyle w:val="SpecialBold"/>
              </w:rPr>
              <w:t>Required knowledge</w:t>
            </w:r>
          </w:p>
        </w:tc>
      </w:tr>
      <w:tr w:rsidTr="00AF0413">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B85D76" w:rsidP="00B85D76">
            <w:pPr>
              <w:pStyle w:val="BodyText"/>
            </w:pPr>
            <w:r w:rsidRPr="00B85D76">
              <w:t>Required knowledge for this unit is:</w:t>
            </w:r>
          </w:p>
          <w:p w:rsidR="00000000" w:rsidRPr="00B85D76" w:rsidP="00B85D76">
            <w:pPr>
              <w:pStyle w:val="ListBullet"/>
            </w:pPr>
            <w:r w:rsidRPr="00B85D76">
              <w:t>benchmarking and the establishment of energy conservation goals</w:t>
            </w:r>
          </w:p>
          <w:p w:rsidR="00000000" w:rsidRPr="00B85D76" w:rsidP="00B85D76">
            <w:pPr>
              <w:pStyle w:val="ListBullet"/>
            </w:pPr>
            <w:r w:rsidRPr="00B85D76">
              <w:t>current trends and factors in energy conservation and management</w:t>
            </w:r>
          </w:p>
          <w:p w:rsidR="00000000" w:rsidRPr="00B85D76" w:rsidP="00B85D76">
            <w:pPr>
              <w:pStyle w:val="ListBullet"/>
            </w:pPr>
            <w:r w:rsidRPr="00B85D76">
              <w:t>energy management practices and methodologies</w:t>
            </w:r>
          </w:p>
          <w:p w:rsidR="00000000" w:rsidRPr="00B85D76" w:rsidP="00B85D76">
            <w:pPr>
              <w:pStyle w:val="ListBullet"/>
            </w:pPr>
            <w:r w:rsidRPr="00B85D76">
              <w:t>organisational policies and practices supporting energy conservation and management</w:t>
            </w:r>
          </w:p>
          <w:p w:rsidR="00000000" w:rsidRPr="00B85D76" w:rsidP="00B85D76">
            <w:pPr>
              <w:pStyle w:val="ListBullet"/>
            </w:pPr>
            <w:r w:rsidRPr="00B85D76">
              <w:t>relevant legislative and regulatory requirements and standards</w:t>
            </w:r>
          </w:p>
          <w:p w:rsidR="00000000" w:rsidRPr="00B85D76" w:rsidP="00B85D76">
            <w:pPr>
              <w:pStyle w:val="ListBullet"/>
            </w:pPr>
            <w:r w:rsidRPr="00B85D76">
              <w:t>relevant licensing arrangements</w:t>
            </w:r>
          </w:p>
          <w:p w:rsidR="00000000" w:rsidRPr="00B85D76" w:rsidP="00B85D76">
            <w:pPr>
              <w:pStyle w:val="ListBullet"/>
            </w:pPr>
            <w:r w:rsidRPr="00B85D76">
              <w:t>statistical analysis methodologies.</w:t>
            </w:r>
          </w:p>
        </w:tc>
      </w:tr>
    </w:tbl>
    <w:p w:rsidR="00AF0413" w:rsidP="00B85D76">
      <w:pPr>
        <w:pStyle w:val="BodyText"/>
      </w:pPr>
    </w:p>
    <w:p w:rsidR="00AF0413" w:rsidP="00B85D76">
      <w:pPr>
        <w:pStyle w:val="BodyText"/>
      </w:pPr>
    </w:p>
    <w:p w:rsidR="00000000" w:rsidRPr="00B85D76" w:rsidP="00B85D76">
      <w:pPr>
        <w:pStyle w:val="AllowPageBreak"/>
      </w:pPr>
    </w:p>
    <w:p w:rsidR="00000000" w:rsidRPr="00B85D76" w:rsidP="00B85D76">
      <w:pPr>
        <w:pStyle w:val="Heading1"/>
      </w:pPr>
      <w:bookmarkStart w:id="10" w:name="O_242155"/>
      <w:bookmarkEnd w:id="10"/>
      <w:r w:rsidRPr="00B85D76">
        <w:t>Evidence Guide</w:t>
      </w:r>
    </w:p>
    <w:tbl>
      <w:tblPr>
        <w:tblW w:w="0" w:type="auto"/>
        <w:tblLayout w:type="fixed"/>
        <w:tblCellMar>
          <w:left w:w="62" w:type="dxa"/>
          <w:right w:w="62" w:type="dxa"/>
        </w:tblCellMar>
        <w:tblLook w:val="0000"/>
      </w:tblPr>
      <w:tblGrid>
        <w:gridCol w:w="3500"/>
        <w:gridCol w:w="5022"/>
      </w:tblGrid>
      <w:tr w:rsidTr="00AF0413">
        <w:tblPrEx>
          <w:tblW w:w="0" w:type="auto"/>
          <w:tblLayout w:type="fixed"/>
          <w:tblCellMar>
            <w:left w:w="62" w:type="dxa"/>
            <w:right w:w="62" w:type="dxa"/>
          </w:tblCellMar>
          <w:tblLook w:val="0000"/>
        </w:tblPrEx>
        <w:trPr>
          <w:tblHeader/>
        </w:trPr>
        <w:tc>
          <w:tcPr>
            <w:tcW w:w="8522" w:type="dxa"/>
            <w:gridSpan w:val="2"/>
            <w:tcBorders>
              <w:top w:val="nil"/>
              <w:left w:val="nil"/>
              <w:bottom w:val="single" w:sz="6" w:space="0" w:color="auto"/>
              <w:right w:val="nil"/>
            </w:tcBorders>
            <w:tcMar>
              <w:top w:w="0" w:type="dxa"/>
              <w:left w:w="62" w:type="dxa"/>
              <w:bottom w:w="0" w:type="dxa"/>
              <w:right w:w="62" w:type="dxa"/>
            </w:tcMar>
          </w:tcPr>
          <w:p w:rsidR="00000000" w:rsidP="00B85D76">
            <w:pPr>
              <w:pStyle w:val="BodyText"/>
              <w:rPr>
                <w:lang w:val="en-NZ"/>
              </w:rPr>
            </w:pPr>
            <w:r w:rsidRPr="00B85D76">
              <w:rPr>
                <w:rStyle w:val="SpecialBold"/>
              </w:rPr>
              <w:t>EVIDENCE GUIDE</w:t>
            </w:r>
          </w:p>
        </w:tc>
      </w:tr>
      <w:tr w:rsidTr="00AF0413">
        <w:tblPrEx>
          <w:tblW w:w="0" w:type="auto"/>
          <w:tblLayout w:type="fixed"/>
          <w:tblCellMar>
            <w:left w:w="62" w:type="dxa"/>
            <w:right w:w="62" w:type="dxa"/>
          </w:tblCellMar>
          <w:tblLook w:val="0000"/>
        </w:tblPrEx>
        <w:tc>
          <w:tcPr>
            <w:tcW w:w="8522" w:type="dxa"/>
            <w:gridSpan w:val="2"/>
            <w:tcBorders>
              <w:top w:val="single" w:sz="6" w:space="0" w:color="auto"/>
              <w:left w:val="nil"/>
              <w:bottom w:val="nil"/>
              <w:right w:val="nil"/>
            </w:tcBorders>
            <w:tcMar>
              <w:top w:w="0" w:type="dxa"/>
              <w:left w:w="62" w:type="dxa"/>
              <w:bottom w:w="0" w:type="dxa"/>
              <w:right w:w="62" w:type="dxa"/>
            </w:tcMar>
          </w:tcPr>
          <w:p w:rsidR="00000000" w:rsidP="00B85D76">
            <w:pPr>
              <w:pStyle w:val="BodyText"/>
              <w:rPr>
                <w:lang w:val="en-NZ"/>
              </w:rPr>
            </w:pPr>
            <w:r w:rsidRPr="00B85D76">
              <w:t>The evidence guide provides advice on assessment and must be read in conjunction with the performance criteria, required skills and knowledge, range statement and the Assessment Guidelines for the Training Package.</w:t>
            </w:r>
          </w:p>
        </w:tc>
      </w:tr>
      <w:tr w:rsidTr="00AF0413">
        <w:tblPrEx>
          <w:tblW w:w="0" w:type="auto"/>
          <w:tblLayout w:type="fixed"/>
          <w:tblCellMar>
            <w:left w:w="62" w:type="dxa"/>
            <w:right w:w="62" w:type="dxa"/>
          </w:tblCellMar>
          <w:tblLook w:val="0000"/>
        </w:tblPrEx>
        <w:tc>
          <w:tcPr>
            <w:tcW w:w="3500" w:type="dxa"/>
            <w:tcBorders>
              <w:top w:val="nil"/>
              <w:left w:val="nil"/>
              <w:bottom w:val="nil"/>
              <w:right w:val="nil"/>
            </w:tcBorders>
            <w:tcMar>
              <w:top w:w="0" w:type="dxa"/>
              <w:left w:w="62" w:type="dxa"/>
              <w:bottom w:w="0" w:type="dxa"/>
              <w:right w:w="62" w:type="dxa"/>
            </w:tcMar>
          </w:tcPr>
          <w:p w:rsidR="00000000" w:rsidP="00B85D76">
            <w:pPr>
              <w:pStyle w:val="BodyText"/>
              <w:rPr>
                <w:lang w:val="en-NZ"/>
              </w:rPr>
            </w:pPr>
            <w:r w:rsidRPr="00B85D76">
              <w:rPr>
                <w:rStyle w:val="SpecialBold"/>
              </w:rPr>
              <w:t>Overview of assessment</w:t>
            </w:r>
          </w:p>
        </w:tc>
        <w:tc>
          <w:tcPr>
            <w:tcW w:w="5022" w:type="dxa"/>
            <w:tcBorders>
              <w:top w:val="nil"/>
              <w:left w:val="nil"/>
              <w:bottom w:val="nil"/>
              <w:right w:val="nil"/>
            </w:tcBorders>
            <w:tcMar>
              <w:top w:w="0" w:type="dxa"/>
              <w:left w:w="62" w:type="dxa"/>
              <w:bottom w:w="0" w:type="dxa"/>
              <w:right w:w="62" w:type="dxa"/>
            </w:tcMar>
          </w:tcPr>
          <w:p w:rsidR="00000000" w:rsidRPr="00B85D76" w:rsidP="00B85D76">
            <w:pPr>
              <w:pStyle w:val="BodyText"/>
            </w:pPr>
            <w:r w:rsidRPr="00B85D76">
              <w:t>This unit of competency could be assessed by effective management of the application and monitoring of energy conservation and management practices and processes on medium rise building and construction projects.</w:t>
            </w:r>
          </w:p>
          <w:p w:rsidR="00000000" w:rsidP="00B85D76">
            <w:pPr>
              <w:pStyle w:val="BodyText"/>
              <w:rPr>
                <w:lang w:val="en-NZ"/>
              </w:rPr>
            </w:pPr>
            <w:r w:rsidRPr="00B85D76">
              <w:t>This unit of compete</w:t>
            </w:r>
            <w:r w:rsidRPr="00B85D76">
              <w:t>ncy can be assessed in the workplace or a close simulation of the workplace environment, provided that simulated or project-based assessment techniques fully replicate construction workplace conditions, materials, activities, responsibilities and procedure</w:t>
            </w:r>
            <w:r w:rsidRPr="00B85D76">
              <w:t xml:space="preserve">s. </w:t>
            </w:r>
          </w:p>
        </w:tc>
      </w:tr>
      <w:tr w:rsidTr="00AF0413">
        <w:tblPrEx>
          <w:tblW w:w="0" w:type="auto"/>
          <w:tblLayout w:type="fixed"/>
          <w:tblCellMar>
            <w:left w:w="62" w:type="dxa"/>
            <w:right w:w="62" w:type="dxa"/>
          </w:tblCellMar>
          <w:tblLook w:val="0000"/>
        </w:tblPrEx>
        <w:tc>
          <w:tcPr>
            <w:tcW w:w="3500" w:type="dxa"/>
            <w:tcBorders>
              <w:top w:val="nil"/>
              <w:left w:val="nil"/>
              <w:bottom w:val="nil"/>
              <w:right w:val="nil"/>
            </w:tcBorders>
            <w:tcMar>
              <w:top w:w="0" w:type="dxa"/>
              <w:left w:w="62" w:type="dxa"/>
              <w:bottom w:w="0" w:type="dxa"/>
              <w:right w:w="62" w:type="dxa"/>
            </w:tcMar>
          </w:tcPr>
          <w:p w:rsidR="00000000" w:rsidP="00B85D76">
            <w:pPr>
              <w:pStyle w:val="BodyText"/>
              <w:rPr>
                <w:lang w:val="en-NZ"/>
              </w:rPr>
            </w:pPr>
            <w:r w:rsidRPr="00B85D76">
              <w:rPr>
                <w:rStyle w:val="SpecialBold"/>
              </w:rPr>
              <w:t>Critical aspects for assessment and evidence required to demonstrate competency in this unit</w:t>
            </w:r>
          </w:p>
        </w:tc>
        <w:tc>
          <w:tcPr>
            <w:tcW w:w="5022" w:type="dxa"/>
            <w:tcBorders>
              <w:top w:val="nil"/>
              <w:left w:val="nil"/>
              <w:bottom w:val="nil"/>
              <w:right w:val="nil"/>
            </w:tcBorders>
            <w:tcMar>
              <w:top w:w="0" w:type="dxa"/>
              <w:left w:w="62" w:type="dxa"/>
              <w:bottom w:w="0" w:type="dxa"/>
              <w:right w:w="62" w:type="dxa"/>
            </w:tcMar>
          </w:tcPr>
          <w:p w:rsidR="00000000" w:rsidRPr="00B85D76" w:rsidP="00B85D76">
            <w:pPr>
              <w:pStyle w:val="BodyText"/>
            </w:pPr>
            <w:r w:rsidRPr="00B85D76">
              <w:t>A person who demonstrates competency in this unit must be able to provide evidence of the ability to:</w:t>
            </w:r>
          </w:p>
          <w:p w:rsidR="00000000" w:rsidRPr="00B85D76" w:rsidP="00B85D76">
            <w:pPr>
              <w:pStyle w:val="ListBullet"/>
            </w:pPr>
            <w:r w:rsidRPr="00B85D76">
              <w:t>develop effective energy conservation and management act</w:t>
            </w:r>
            <w:r w:rsidRPr="00B85D76">
              <w:t>ion plans and strategies</w:t>
            </w:r>
          </w:p>
          <w:p w:rsidR="00000000" w:rsidRPr="00B85D76" w:rsidP="00B85D76">
            <w:pPr>
              <w:pStyle w:val="ListBullet"/>
            </w:pPr>
            <w:r w:rsidRPr="00B85D76">
              <w:t>assess extent of effective energy management advice provided to the organisation</w:t>
            </w:r>
          </w:p>
          <w:p w:rsidR="00000000" w:rsidRPr="00B85D76" w:rsidP="00B85D76">
            <w:pPr>
              <w:pStyle w:val="ListBullet"/>
            </w:pPr>
            <w:r w:rsidRPr="00B85D76">
              <w:t>determine effectiveness and efficiency of the energy conservation and management recording and reporting systems and preparation of documentation to o</w:t>
            </w:r>
            <w:r w:rsidRPr="00B85D76">
              <w:t>rganisational standards</w:t>
            </w:r>
          </w:p>
          <w:p w:rsidR="00000000" w:rsidRPr="00B85D76" w:rsidP="00B85D76">
            <w:pPr>
              <w:pStyle w:val="ListBullet"/>
            </w:pPr>
            <w:r w:rsidRPr="00B85D76">
              <w:t>implement effective processes to manage improvements to organisational energy conservation and management practices and reduce the non-conforming practices</w:t>
            </w:r>
          </w:p>
          <w:p w:rsidR="00000000" w:rsidRPr="00B85D76" w:rsidP="00B85D76">
            <w:pPr>
              <w:pStyle w:val="ListBullet"/>
            </w:pPr>
            <w:r w:rsidRPr="00B85D76">
              <w:t>research current trends in energy conservation and management</w:t>
            </w:r>
          </w:p>
          <w:p w:rsidR="00000000" w:rsidP="00B85D76">
            <w:pPr>
              <w:pStyle w:val="ListBullet"/>
              <w:rPr>
                <w:lang w:val="en-NZ"/>
              </w:rPr>
            </w:pPr>
            <w:r w:rsidRPr="00B85D76">
              <w:t>conform to rel</w:t>
            </w:r>
            <w:r w:rsidRPr="00B85D76">
              <w:t>evant legislative, regulatory and organisational requirements.</w:t>
            </w:r>
          </w:p>
        </w:tc>
      </w:tr>
      <w:tr w:rsidTr="00AF0413">
        <w:tblPrEx>
          <w:tblW w:w="0" w:type="auto"/>
          <w:tblLayout w:type="fixed"/>
          <w:tblCellMar>
            <w:left w:w="62" w:type="dxa"/>
            <w:right w:w="62" w:type="dxa"/>
          </w:tblCellMar>
          <w:tblLook w:val="0000"/>
        </w:tblPrEx>
        <w:tc>
          <w:tcPr>
            <w:tcW w:w="3500" w:type="dxa"/>
            <w:tcBorders>
              <w:top w:val="nil"/>
              <w:left w:val="nil"/>
              <w:bottom w:val="nil"/>
              <w:right w:val="nil"/>
            </w:tcBorders>
            <w:tcMar>
              <w:top w:w="0" w:type="dxa"/>
              <w:left w:w="62" w:type="dxa"/>
              <w:bottom w:w="0" w:type="dxa"/>
              <w:right w:w="62" w:type="dxa"/>
            </w:tcMar>
          </w:tcPr>
          <w:p w:rsidR="00000000" w:rsidP="00B85D76">
            <w:pPr>
              <w:pStyle w:val="BodyText"/>
              <w:rPr>
                <w:lang w:val="en-NZ"/>
              </w:rPr>
            </w:pPr>
            <w:r w:rsidRPr="00B85D76">
              <w:rPr>
                <w:rStyle w:val="SpecialBold"/>
              </w:rPr>
              <w:t>Context of and specific resources for assessment</w:t>
            </w:r>
          </w:p>
        </w:tc>
        <w:tc>
          <w:tcPr>
            <w:tcW w:w="5022" w:type="dxa"/>
            <w:tcBorders>
              <w:top w:val="nil"/>
              <w:left w:val="nil"/>
              <w:bottom w:val="nil"/>
              <w:right w:val="nil"/>
            </w:tcBorders>
            <w:tcMar>
              <w:top w:w="0" w:type="dxa"/>
              <w:left w:w="62" w:type="dxa"/>
              <w:bottom w:w="0" w:type="dxa"/>
              <w:right w:w="62" w:type="dxa"/>
            </w:tcMar>
          </w:tcPr>
          <w:p w:rsidR="00000000" w:rsidRPr="00B85D76" w:rsidP="00B85D76">
            <w:pPr>
              <w:pStyle w:val="BodyText"/>
            </w:pPr>
            <w:r w:rsidRPr="00B85D76">
              <w:t>This competency is to be assessed using standard and authorised work practices, safety requirements and environmental constraints.</w:t>
            </w:r>
          </w:p>
          <w:p w:rsidR="00000000" w:rsidRPr="00B85D76" w:rsidP="00B85D76">
            <w:pPr>
              <w:pStyle w:val="BodyText"/>
            </w:pPr>
            <w:r w:rsidRPr="00B85D76">
              <w:t>Assessment of essential underpinning knowledge will usually be conducted in an off-site context.</w:t>
            </w:r>
          </w:p>
          <w:p w:rsidR="00000000" w:rsidRPr="00B85D76" w:rsidP="00B85D76">
            <w:pPr>
              <w:pStyle w:val="BodyText"/>
            </w:pPr>
            <w:r w:rsidRPr="00B85D76">
              <w:t>Assessment is to comply with relevant regulatory or Australian standards' requirements.</w:t>
            </w:r>
          </w:p>
          <w:p w:rsidR="00000000" w:rsidRPr="00B85D76" w:rsidP="00B85D76">
            <w:pPr>
              <w:pStyle w:val="BodyText"/>
            </w:pPr>
            <w:r w:rsidRPr="00B85D76">
              <w:t>Resource implications for assessment include:</w:t>
            </w:r>
          </w:p>
          <w:p w:rsidR="00000000" w:rsidRPr="00B85D76" w:rsidP="00B85D76">
            <w:pPr>
              <w:pStyle w:val="ListBullet"/>
            </w:pPr>
            <w:r w:rsidRPr="00B85D76">
              <w:t>documentation that should</w:t>
            </w:r>
            <w:r w:rsidRPr="00B85D76">
              <w:t xml:space="preserve"> normally be available in a building or construction office</w:t>
            </w:r>
          </w:p>
          <w:p w:rsidR="00000000" w:rsidRPr="00B85D76" w:rsidP="00B85D76">
            <w:pPr>
              <w:pStyle w:val="ListBullet"/>
            </w:pPr>
            <w:r w:rsidRPr="00B85D76">
              <w:t>relevant codes, standards and regulations</w:t>
            </w:r>
          </w:p>
          <w:p w:rsidR="00000000" w:rsidRPr="00B85D76" w:rsidP="00B85D76">
            <w:pPr>
              <w:pStyle w:val="ListBullet"/>
            </w:pPr>
            <w:r w:rsidRPr="00B85D76">
              <w:t>office equipment, including calculators, photocopiers and telephone systems</w:t>
            </w:r>
          </w:p>
          <w:p w:rsidR="00000000" w:rsidRPr="00B85D76" w:rsidP="00B85D76">
            <w:pPr>
              <w:pStyle w:val="ListBullet"/>
            </w:pPr>
            <w:r w:rsidRPr="00B85D76">
              <w:t>computers with appropriate software to view 2-D CAD drawings, run costing prog</w:t>
            </w:r>
            <w:r w:rsidRPr="00B85D76">
              <w:t>rams and print copies</w:t>
            </w:r>
          </w:p>
          <w:p w:rsidR="00000000" w:rsidRPr="00B85D76" w:rsidP="00B85D76">
            <w:pPr>
              <w:pStyle w:val="ListBullet"/>
            </w:pPr>
            <w:r w:rsidRPr="00B85D76">
              <w:t>a technical reference library with current publications on measurement, design, building construction and manufacturers' product literature</w:t>
            </w:r>
          </w:p>
          <w:p w:rsidR="00000000" w:rsidRPr="00B85D76" w:rsidP="00B85D76">
            <w:pPr>
              <w:pStyle w:val="ListBullet"/>
            </w:pPr>
            <w:r w:rsidRPr="00B85D76">
              <w:t>a suitable work area appropriate to the construction process.</w:t>
            </w:r>
          </w:p>
          <w:p w:rsidR="00000000" w:rsidP="00B85D76">
            <w:pPr>
              <w:pStyle w:val="BodyText"/>
              <w:rPr>
                <w:lang w:val="en-NZ"/>
              </w:rPr>
            </w:pPr>
            <w:r w:rsidRPr="00B85D76">
              <w:t>Reasonable adjustments for peopl</w:t>
            </w:r>
            <w:r w:rsidRPr="00B85D76">
              <w:t xml:space="preserve">e with disabilities must be made to assessment processes where required. This could include access to modified equipment and other physical resources, and the provision of appropriate assessment support. </w:t>
            </w:r>
          </w:p>
        </w:tc>
      </w:tr>
      <w:tr w:rsidTr="00AF0413">
        <w:tblPrEx>
          <w:tblW w:w="0" w:type="auto"/>
          <w:tblLayout w:type="fixed"/>
          <w:tblCellMar>
            <w:left w:w="62" w:type="dxa"/>
            <w:right w:w="62" w:type="dxa"/>
          </w:tblCellMar>
          <w:tblLook w:val="0000"/>
        </w:tblPrEx>
        <w:tc>
          <w:tcPr>
            <w:tcW w:w="3500" w:type="dxa"/>
            <w:tcBorders>
              <w:top w:val="nil"/>
              <w:left w:val="nil"/>
              <w:bottom w:val="nil"/>
              <w:right w:val="nil"/>
            </w:tcBorders>
            <w:tcMar>
              <w:top w:w="0" w:type="dxa"/>
              <w:left w:w="62" w:type="dxa"/>
              <w:bottom w:w="0" w:type="dxa"/>
              <w:right w:w="62" w:type="dxa"/>
            </w:tcMar>
          </w:tcPr>
          <w:p w:rsidR="00000000" w:rsidP="00B85D76">
            <w:pPr>
              <w:pStyle w:val="BodyText"/>
              <w:rPr>
                <w:lang w:val="en-NZ"/>
              </w:rPr>
            </w:pPr>
            <w:r w:rsidRPr="00B85D76">
              <w:rPr>
                <w:rStyle w:val="SpecialBold"/>
              </w:rPr>
              <w:t>Method of assessment</w:t>
            </w:r>
          </w:p>
        </w:tc>
        <w:tc>
          <w:tcPr>
            <w:tcW w:w="5022" w:type="dxa"/>
            <w:tcBorders>
              <w:top w:val="nil"/>
              <w:left w:val="nil"/>
              <w:bottom w:val="nil"/>
              <w:right w:val="nil"/>
            </w:tcBorders>
            <w:tcMar>
              <w:top w:w="0" w:type="dxa"/>
              <w:left w:w="62" w:type="dxa"/>
              <w:bottom w:w="0" w:type="dxa"/>
              <w:right w:w="62" w:type="dxa"/>
            </w:tcMar>
          </w:tcPr>
          <w:p w:rsidR="00000000" w:rsidRPr="00B85D76" w:rsidP="00B85D76">
            <w:pPr>
              <w:pStyle w:val="BodyText"/>
            </w:pPr>
            <w:r w:rsidRPr="00B85D76">
              <w:t>Assessment methods must:</w:t>
            </w:r>
          </w:p>
          <w:p w:rsidR="00000000" w:rsidRPr="00B85D76" w:rsidP="00B85D76">
            <w:pPr>
              <w:pStyle w:val="ListBullet"/>
            </w:pPr>
            <w:r w:rsidRPr="00B85D76">
              <w:t>sati</w:t>
            </w:r>
            <w:r w:rsidRPr="00B85D76">
              <w:t>sfy the endorsed Assessment Guidelines of the Construction, Plumbing and Services Training Package</w:t>
            </w:r>
          </w:p>
          <w:p w:rsidR="00000000" w:rsidRPr="00B85D76" w:rsidP="00B85D76">
            <w:pPr>
              <w:pStyle w:val="ListBullet"/>
            </w:pPr>
            <w:r w:rsidRPr="00B85D76">
              <w:t>include direct observation of tasks in real or simulated work conditions, with questioning to confirm the ability to consistently identify and correctly inte</w:t>
            </w:r>
            <w:r w:rsidRPr="00B85D76">
              <w:t>rpret the essential underpinning knowledge required for practical application</w:t>
            </w:r>
          </w:p>
          <w:p w:rsidR="00000000" w:rsidRPr="00B85D76" w:rsidP="00B85D76">
            <w:pPr>
              <w:pStyle w:val="ListBullet"/>
            </w:pPr>
            <w:r w:rsidRPr="00B85D76">
              <w:t>reinforce the integration of employability skills with workplace tasks and job roles</w:t>
            </w:r>
          </w:p>
          <w:p w:rsidR="00000000" w:rsidRPr="00B85D76" w:rsidP="00B85D76">
            <w:pPr>
              <w:pStyle w:val="ListBullet"/>
            </w:pPr>
            <w:r w:rsidRPr="00B85D76">
              <w:t>confirm that competency is verified and able to be transferred to other circumstances and env</w:t>
            </w:r>
            <w:r w:rsidRPr="00B85D76">
              <w:t>ironments.</w:t>
            </w:r>
          </w:p>
          <w:p w:rsidR="00000000" w:rsidRPr="00B85D76" w:rsidP="00B85D76">
            <w:pPr>
              <w:pStyle w:val="BodyText"/>
            </w:pPr>
            <w:r w:rsidRPr="00B85D76">
              <w:t>Validity and sufficiency of evidence requires that:</w:t>
            </w:r>
          </w:p>
          <w:p w:rsidR="00000000" w:rsidRPr="00B85D76" w:rsidP="00B85D76">
            <w:pPr>
              <w:pStyle w:val="ListBullet"/>
            </w:pPr>
            <w:r w:rsidRPr="00B85D76">
              <w:t>competency will need to be demonstrated over a period of time reflecting the scope of the role and the practical requirements of the workplace</w:t>
            </w:r>
          </w:p>
          <w:p w:rsidR="00000000" w:rsidRPr="00B85D76" w:rsidP="00B85D76">
            <w:pPr>
              <w:pStyle w:val="ListBullet"/>
            </w:pPr>
            <w:r w:rsidRPr="00B85D76">
              <w:t>where the assessment is part of a structured learning experience the evidence collected must relate to a number of performances assessed at different points in time and separated by further learning and practice, with a decision on competency only taken at</w:t>
            </w:r>
            <w:r w:rsidRPr="00B85D76">
              <w:t xml:space="preserve"> the point when the assessor has complete confidence in the person's demonstrated ability and applied knowledge</w:t>
            </w:r>
          </w:p>
          <w:p w:rsidR="00000000" w:rsidRPr="00B85D76" w:rsidP="00B85D76">
            <w:pPr>
              <w:pStyle w:val="ListBullet"/>
            </w:pPr>
            <w:r w:rsidRPr="00B85D76">
              <w:t>all assessment that is part of a structured learning experience must include a combination of direct, indirect and supplementary evidence.</w:t>
            </w:r>
          </w:p>
          <w:p w:rsidR="00000000" w:rsidRPr="00B85D76" w:rsidP="00B85D76">
            <w:pPr>
              <w:pStyle w:val="BodyText"/>
            </w:pPr>
            <w:r w:rsidRPr="00B85D76">
              <w:t>Asses</w:t>
            </w:r>
            <w:r w:rsidRPr="00B85D76">
              <w:t>sment processes and techniques should as far as is practical take into account the language, literacy and numeracy capacity of the candidate in relation to the competency being assessed.</w:t>
            </w:r>
          </w:p>
          <w:p w:rsidR="00000000" w:rsidRPr="00B85D76" w:rsidP="00B85D76">
            <w:pPr>
              <w:pStyle w:val="BodyText"/>
            </w:pPr>
            <w:r w:rsidRPr="00B85D76">
              <w:t>Supplementary evidence of competency may be obtained from relevant au</w:t>
            </w:r>
            <w:r w:rsidRPr="00B85D76">
              <w:t xml:space="preserve">thenticated documentation from third parties, such as existing supervisors, team leaders or specialist training staff. </w:t>
            </w:r>
          </w:p>
        </w:tc>
      </w:tr>
    </w:tbl>
    <w:p w:rsidR="00AF0413" w:rsidP="00B85D76">
      <w:pPr>
        <w:pStyle w:val="BodyText"/>
      </w:pPr>
    </w:p>
    <w:p w:rsidR="00AF0413" w:rsidP="00B85D76">
      <w:pPr>
        <w:pStyle w:val="BodyText"/>
      </w:pPr>
    </w:p>
    <w:p w:rsidR="00000000" w:rsidRPr="00B85D76" w:rsidP="00B85D76">
      <w:pPr>
        <w:pStyle w:val="Heading1"/>
      </w:pPr>
      <w:bookmarkStart w:id="11" w:name="O_250138"/>
      <w:bookmarkEnd w:id="11"/>
      <w:r w:rsidRPr="00B85D76">
        <w:t>Range Statement</w:t>
      </w:r>
    </w:p>
    <w:tbl>
      <w:tblPr>
        <w:tblW w:w="0" w:type="auto"/>
        <w:tblLayout w:type="fixed"/>
        <w:tblCellMar>
          <w:left w:w="62" w:type="dxa"/>
          <w:right w:w="62" w:type="dxa"/>
        </w:tblCellMar>
        <w:tblLook w:val="0000"/>
      </w:tblPr>
      <w:tblGrid>
        <w:gridCol w:w="3527"/>
        <w:gridCol w:w="4995"/>
      </w:tblGrid>
      <w:tr w:rsidTr="00AF0413">
        <w:tblPrEx>
          <w:tblW w:w="0" w:type="auto"/>
          <w:tblLayout w:type="fixed"/>
          <w:tblCellMar>
            <w:left w:w="62" w:type="dxa"/>
            <w:right w:w="62" w:type="dxa"/>
          </w:tblCellMar>
          <w:tblLook w:val="0000"/>
        </w:tblPrEx>
        <w:trPr>
          <w:tblHeader/>
        </w:trPr>
        <w:tc>
          <w:tcPr>
            <w:tcW w:w="8522" w:type="dxa"/>
            <w:gridSpan w:val="2"/>
            <w:tcBorders>
              <w:top w:val="nil"/>
              <w:left w:val="nil"/>
              <w:bottom w:val="single" w:sz="6" w:space="0" w:color="auto"/>
              <w:right w:val="nil"/>
            </w:tcBorders>
            <w:tcMar>
              <w:top w:w="0" w:type="dxa"/>
              <w:left w:w="62" w:type="dxa"/>
              <w:bottom w:w="0" w:type="dxa"/>
              <w:right w:w="62" w:type="dxa"/>
            </w:tcMar>
          </w:tcPr>
          <w:p w:rsidR="00000000" w:rsidP="00B85D76">
            <w:pPr>
              <w:pStyle w:val="BodyText"/>
              <w:rPr>
                <w:lang w:val="en-NZ"/>
              </w:rPr>
            </w:pPr>
            <w:r w:rsidRPr="00B85D76">
              <w:rPr>
                <w:rStyle w:val="SpecialBold"/>
              </w:rPr>
              <w:t>RANGE STATEMENT</w:t>
            </w:r>
          </w:p>
        </w:tc>
      </w:tr>
      <w:tr w:rsidTr="00AF0413">
        <w:tblPrEx>
          <w:tblW w:w="0" w:type="auto"/>
          <w:tblLayout w:type="fixed"/>
          <w:tblCellMar>
            <w:left w:w="62" w:type="dxa"/>
            <w:right w:w="62" w:type="dxa"/>
          </w:tblCellMar>
          <w:tblLook w:val="0000"/>
        </w:tblPrEx>
        <w:tc>
          <w:tcPr>
            <w:tcW w:w="8522" w:type="dxa"/>
            <w:gridSpan w:val="2"/>
            <w:tcBorders>
              <w:top w:val="single" w:sz="6" w:space="0" w:color="auto"/>
              <w:left w:val="nil"/>
              <w:bottom w:val="nil"/>
              <w:right w:val="nil"/>
            </w:tcBorders>
            <w:tcMar>
              <w:top w:w="0" w:type="dxa"/>
              <w:left w:w="62" w:type="dxa"/>
              <w:bottom w:w="0" w:type="dxa"/>
              <w:right w:w="62" w:type="dxa"/>
            </w:tcMar>
          </w:tcPr>
          <w:p w:rsidR="00000000" w:rsidP="00B85D76">
            <w:pPr>
              <w:pStyle w:val="BodyText"/>
              <w:rPr>
                <w:lang w:val="en-NZ"/>
              </w:rPr>
            </w:pPr>
            <w:r w:rsidRPr="00B85D76">
              <w:t>The range statement relates to the unit of competency as a whole. It allows for different work environments and situations that may affect performance. Bold italicised wording, if used in the performance criteria, is detailed below. Essential operating con</w:t>
            </w:r>
            <w:r w:rsidRPr="00B85D76">
              <w:t>ditions that may be present with training and assessment (depending on the work situation, needs of the candidate, accessibility of the item, and local industry and regional contexts) may also be included.</w:t>
            </w:r>
          </w:p>
        </w:tc>
      </w:tr>
      <w:tr w:rsidTr="00AF0413">
        <w:tblPrEx>
          <w:tblW w:w="0" w:type="auto"/>
          <w:tblLayout w:type="fixed"/>
          <w:tblCellMar>
            <w:left w:w="62" w:type="dxa"/>
            <w:right w:w="62" w:type="dxa"/>
          </w:tblCellMar>
          <w:tblLook w:val="0000"/>
        </w:tblPrEx>
        <w:tc>
          <w:tcPr>
            <w:tcW w:w="3527" w:type="dxa"/>
            <w:tcBorders>
              <w:top w:val="nil"/>
              <w:left w:val="nil"/>
              <w:bottom w:val="nil"/>
              <w:right w:val="nil"/>
            </w:tcBorders>
            <w:tcMar>
              <w:top w:w="0" w:type="dxa"/>
              <w:left w:w="62" w:type="dxa"/>
              <w:bottom w:w="0" w:type="dxa"/>
              <w:right w:w="62" w:type="dxa"/>
            </w:tcMar>
          </w:tcPr>
          <w:p w:rsidR="00000000" w:rsidP="00B85D76">
            <w:pPr>
              <w:pStyle w:val="BodyText"/>
              <w:rPr>
                <w:lang w:val="en-NZ"/>
              </w:rPr>
            </w:pPr>
            <w:r w:rsidRPr="00B85D76">
              <w:rPr>
                <w:rStyle w:val="BoldandItalics"/>
              </w:rPr>
              <w:t>Best practice and benchmarking methods</w:t>
            </w:r>
            <w:r w:rsidRPr="00B85D76">
              <w:t xml:space="preserve"> include: </w:t>
            </w:r>
          </w:p>
        </w:tc>
        <w:tc>
          <w:tcPr>
            <w:tcW w:w="4995" w:type="dxa"/>
            <w:tcBorders>
              <w:top w:val="nil"/>
              <w:left w:val="nil"/>
              <w:bottom w:val="nil"/>
              <w:right w:val="nil"/>
            </w:tcBorders>
            <w:tcMar>
              <w:top w:w="0" w:type="dxa"/>
              <w:left w:w="62" w:type="dxa"/>
              <w:bottom w:w="0" w:type="dxa"/>
              <w:right w:w="62" w:type="dxa"/>
            </w:tcMar>
          </w:tcPr>
          <w:p w:rsidR="00000000" w:rsidRPr="00B85D76" w:rsidP="00B85D76">
            <w:pPr>
              <w:pStyle w:val="ListBullet"/>
            </w:pPr>
            <w:r w:rsidRPr="00B85D76">
              <w:t>comparisons of current, previously established and external energy conservation and management plans</w:t>
            </w:r>
          </w:p>
          <w:p w:rsidR="00000000" w:rsidRPr="00B85D76" w:rsidP="00B85D76">
            <w:pPr>
              <w:pStyle w:val="ListBullet"/>
            </w:pPr>
            <w:r w:rsidRPr="00B85D76">
              <w:t>costs associated with optimum environmental conformance</w:t>
            </w:r>
          </w:p>
          <w:p w:rsidR="00000000" w:rsidRPr="00B85D76" w:rsidP="00B85D76">
            <w:pPr>
              <w:pStyle w:val="ListBullet"/>
            </w:pPr>
            <w:r w:rsidRPr="00B85D76">
              <w:t>formally or informally prepared performance indicators against energy management objectives</w:t>
            </w:r>
          </w:p>
          <w:p w:rsidR="00000000" w:rsidRPr="00B85D76" w:rsidP="00B85D76">
            <w:pPr>
              <w:pStyle w:val="ListBullet"/>
            </w:pPr>
            <w:r w:rsidRPr="00B85D76">
              <w:t>perfor</w:t>
            </w:r>
            <w:r w:rsidRPr="00B85D76">
              <w:t>mance measurements against industry, local authority, regulatory or world standards</w:t>
            </w:r>
          </w:p>
          <w:p w:rsidR="00000000" w:rsidRPr="00B85D76" w:rsidP="00B85D76">
            <w:pPr>
              <w:pStyle w:val="ListBullet"/>
            </w:pPr>
            <w:r w:rsidRPr="00B85D76">
              <w:t>specific energy targets, including electrical power usage and fuel usage, heat loss and thermal efficiency</w:t>
            </w:r>
          </w:p>
          <w:p w:rsidR="00000000" w:rsidP="00B85D76">
            <w:pPr>
              <w:pStyle w:val="ListBullet"/>
              <w:rPr>
                <w:lang w:val="en-NZ"/>
              </w:rPr>
            </w:pPr>
            <w:r w:rsidRPr="00B85D76">
              <w:t>statistical record keeping, using at start, ongoing and at conclu</w:t>
            </w:r>
            <w:r w:rsidRPr="00B85D76">
              <w:t>sion measurements.</w:t>
            </w:r>
          </w:p>
        </w:tc>
      </w:tr>
      <w:tr w:rsidTr="00AF0413">
        <w:tblPrEx>
          <w:tblW w:w="0" w:type="auto"/>
          <w:tblLayout w:type="fixed"/>
          <w:tblCellMar>
            <w:left w:w="62" w:type="dxa"/>
            <w:right w:w="62" w:type="dxa"/>
          </w:tblCellMar>
          <w:tblLook w:val="0000"/>
        </w:tblPrEx>
        <w:tc>
          <w:tcPr>
            <w:tcW w:w="3527" w:type="dxa"/>
            <w:tcBorders>
              <w:top w:val="nil"/>
              <w:left w:val="nil"/>
              <w:bottom w:val="nil"/>
              <w:right w:val="nil"/>
            </w:tcBorders>
            <w:tcMar>
              <w:top w:w="0" w:type="dxa"/>
              <w:left w:w="62" w:type="dxa"/>
              <w:bottom w:w="0" w:type="dxa"/>
              <w:right w:w="62" w:type="dxa"/>
            </w:tcMar>
          </w:tcPr>
          <w:p w:rsidR="00000000" w:rsidP="00B85D76">
            <w:pPr>
              <w:pStyle w:val="BodyText"/>
              <w:rPr>
                <w:lang w:val="en-NZ"/>
              </w:rPr>
            </w:pPr>
            <w:r w:rsidRPr="00B85D76">
              <w:rPr>
                <w:rStyle w:val="BoldandItalics"/>
              </w:rPr>
              <w:t>Energy conservation and management plan</w:t>
            </w:r>
            <w:r w:rsidRPr="00B85D76">
              <w:t xml:space="preserve"> includes: </w:t>
            </w:r>
          </w:p>
        </w:tc>
        <w:tc>
          <w:tcPr>
            <w:tcW w:w="4995" w:type="dxa"/>
            <w:tcBorders>
              <w:top w:val="nil"/>
              <w:left w:val="nil"/>
              <w:bottom w:val="nil"/>
              <w:right w:val="nil"/>
            </w:tcBorders>
            <w:tcMar>
              <w:top w:w="0" w:type="dxa"/>
              <w:left w:w="62" w:type="dxa"/>
              <w:bottom w:w="0" w:type="dxa"/>
              <w:right w:w="62" w:type="dxa"/>
            </w:tcMar>
          </w:tcPr>
          <w:p w:rsidR="00000000" w:rsidRPr="00B85D76" w:rsidP="00B85D76">
            <w:pPr>
              <w:pStyle w:val="ListBullet"/>
            </w:pPr>
            <w:r w:rsidRPr="00B85D76">
              <w:t>formally or informally gathered information concerning energy issues and requirements</w:t>
            </w:r>
          </w:p>
          <w:p w:rsidR="00000000" w:rsidRPr="00B85D76" w:rsidP="00B85D76">
            <w:pPr>
              <w:pStyle w:val="ListBullet"/>
            </w:pPr>
            <w:r w:rsidRPr="00B85D76">
              <w:t>key people to be consulted or included in decision making</w:t>
            </w:r>
          </w:p>
          <w:p w:rsidR="00000000" w:rsidRPr="00B85D76" w:rsidP="00B85D76">
            <w:pPr>
              <w:pStyle w:val="ListBullet"/>
            </w:pPr>
            <w:r w:rsidRPr="00B85D76">
              <w:t>specific forms of activity to be pursued or which are subject to monitoring or evaluation</w:t>
            </w:r>
          </w:p>
          <w:p w:rsidR="00000000" w:rsidP="00B85D76">
            <w:pPr>
              <w:pStyle w:val="ListBullet"/>
              <w:rPr>
                <w:lang w:val="en-NZ"/>
              </w:rPr>
            </w:pPr>
            <w:r w:rsidRPr="00B85D76">
              <w:t>timeframes and key energy conservation benchmarks to be achieved.</w:t>
            </w:r>
          </w:p>
        </w:tc>
      </w:tr>
      <w:tr w:rsidTr="00AF0413">
        <w:tblPrEx>
          <w:tblW w:w="0" w:type="auto"/>
          <w:tblLayout w:type="fixed"/>
          <w:tblCellMar>
            <w:left w:w="62" w:type="dxa"/>
            <w:right w:w="62" w:type="dxa"/>
          </w:tblCellMar>
          <w:tblLook w:val="0000"/>
        </w:tblPrEx>
        <w:tc>
          <w:tcPr>
            <w:tcW w:w="3527" w:type="dxa"/>
            <w:tcBorders>
              <w:top w:val="nil"/>
              <w:left w:val="nil"/>
              <w:bottom w:val="nil"/>
              <w:right w:val="nil"/>
            </w:tcBorders>
            <w:tcMar>
              <w:top w:w="0" w:type="dxa"/>
              <w:left w:w="62" w:type="dxa"/>
              <w:bottom w:w="0" w:type="dxa"/>
              <w:right w:w="62" w:type="dxa"/>
            </w:tcMar>
          </w:tcPr>
          <w:p w:rsidR="00000000" w:rsidP="00B85D76">
            <w:pPr>
              <w:pStyle w:val="BodyText"/>
              <w:rPr>
                <w:lang w:val="en-NZ"/>
              </w:rPr>
            </w:pPr>
            <w:r w:rsidRPr="00B85D76">
              <w:rPr>
                <w:rStyle w:val="BoldandItalics"/>
              </w:rPr>
              <w:t>Energy data</w:t>
            </w:r>
            <w:r w:rsidRPr="00B85D76">
              <w:t>-</w:t>
            </w:r>
            <w:r w:rsidRPr="00B85D76">
              <w:rPr>
                <w:rStyle w:val="BoldandItalics"/>
              </w:rPr>
              <w:t>gathering systems</w:t>
            </w:r>
            <w:r w:rsidRPr="00B85D76">
              <w:t xml:space="preserve"> include: </w:t>
            </w:r>
          </w:p>
        </w:tc>
        <w:tc>
          <w:tcPr>
            <w:tcW w:w="4995" w:type="dxa"/>
            <w:tcBorders>
              <w:top w:val="nil"/>
              <w:left w:val="nil"/>
              <w:bottom w:val="nil"/>
              <w:right w:val="nil"/>
            </w:tcBorders>
            <w:tcMar>
              <w:top w:w="0" w:type="dxa"/>
              <w:left w:w="62" w:type="dxa"/>
              <w:bottom w:w="0" w:type="dxa"/>
              <w:right w:w="62" w:type="dxa"/>
            </w:tcMar>
          </w:tcPr>
          <w:p w:rsidR="00000000" w:rsidRPr="00B85D76" w:rsidP="00B85D76">
            <w:pPr>
              <w:pStyle w:val="ListBullet"/>
            </w:pPr>
            <w:r w:rsidRPr="00B85D76">
              <w:t>formal and informal reports from employees and contractors</w:t>
            </w:r>
          </w:p>
          <w:p w:rsidR="00000000" w:rsidRPr="00B85D76" w:rsidP="00B85D76">
            <w:pPr>
              <w:pStyle w:val="ListBullet"/>
            </w:pPr>
            <w:r w:rsidRPr="00B85D76">
              <w:t>reports from supply organisations</w:t>
            </w:r>
          </w:p>
          <w:p w:rsidR="00000000" w:rsidRPr="00B85D76" w:rsidP="00B85D76">
            <w:pPr>
              <w:pStyle w:val="ListBullet"/>
            </w:pPr>
            <w:r w:rsidRPr="00B85D76">
              <w:t>scheduled energy conservation management meetings and briefings</w:t>
            </w:r>
          </w:p>
          <w:p w:rsidR="00000000" w:rsidRPr="00B85D76" w:rsidP="00B85D76">
            <w:pPr>
              <w:pStyle w:val="ListBullet"/>
            </w:pPr>
            <w:r w:rsidRPr="00B85D76">
              <w:t>conformance reporting on achievement of milestones or performance targets</w:t>
            </w:r>
          </w:p>
          <w:p w:rsidR="00000000" w:rsidP="00B85D76">
            <w:pPr>
              <w:pStyle w:val="ListBullet"/>
              <w:rPr>
                <w:lang w:val="en-NZ"/>
              </w:rPr>
            </w:pPr>
            <w:r w:rsidRPr="00B85D76">
              <w:t>statistical and analytical data in support of energy management objectives.</w:t>
            </w:r>
          </w:p>
        </w:tc>
      </w:tr>
      <w:tr w:rsidTr="00AF0413">
        <w:tblPrEx>
          <w:tblW w:w="0" w:type="auto"/>
          <w:tblLayout w:type="fixed"/>
          <w:tblCellMar>
            <w:left w:w="62" w:type="dxa"/>
            <w:right w:w="62" w:type="dxa"/>
          </w:tblCellMar>
          <w:tblLook w:val="0000"/>
        </w:tblPrEx>
        <w:tc>
          <w:tcPr>
            <w:tcW w:w="3527" w:type="dxa"/>
            <w:tcBorders>
              <w:top w:val="nil"/>
              <w:left w:val="nil"/>
              <w:bottom w:val="nil"/>
              <w:right w:val="nil"/>
            </w:tcBorders>
            <w:tcMar>
              <w:top w:w="0" w:type="dxa"/>
              <w:left w:w="62" w:type="dxa"/>
              <w:bottom w:w="0" w:type="dxa"/>
              <w:right w:w="62" w:type="dxa"/>
            </w:tcMar>
          </w:tcPr>
          <w:p w:rsidR="00000000" w:rsidP="00B85D76">
            <w:pPr>
              <w:pStyle w:val="BodyText"/>
              <w:rPr>
                <w:lang w:val="en-NZ"/>
              </w:rPr>
            </w:pPr>
            <w:r w:rsidRPr="00B85D76">
              <w:rPr>
                <w:rStyle w:val="BoldandItalics"/>
              </w:rPr>
              <w:t>Feedbac</w:t>
            </w:r>
            <w:r w:rsidRPr="00B85D76">
              <w:rPr>
                <w:rStyle w:val="BoldandItalics"/>
              </w:rPr>
              <w:t>k system</w:t>
            </w:r>
            <w:r w:rsidRPr="00B85D76">
              <w:t xml:space="preserve"> includes: </w:t>
            </w:r>
          </w:p>
        </w:tc>
        <w:tc>
          <w:tcPr>
            <w:tcW w:w="4995" w:type="dxa"/>
            <w:tcBorders>
              <w:top w:val="nil"/>
              <w:left w:val="nil"/>
              <w:bottom w:val="nil"/>
              <w:right w:val="nil"/>
            </w:tcBorders>
            <w:tcMar>
              <w:top w:w="0" w:type="dxa"/>
              <w:left w:w="62" w:type="dxa"/>
              <w:bottom w:w="0" w:type="dxa"/>
              <w:right w:w="62" w:type="dxa"/>
            </w:tcMar>
          </w:tcPr>
          <w:p w:rsidR="00000000" w:rsidRPr="00B85D76" w:rsidP="00B85D76">
            <w:pPr>
              <w:pStyle w:val="ListBullet"/>
            </w:pPr>
            <w:r w:rsidRPr="00B85D76">
              <w:t>feedback from supply authorities</w:t>
            </w:r>
          </w:p>
          <w:p w:rsidR="00000000" w:rsidRPr="00B85D76" w:rsidP="00B85D76">
            <w:pPr>
              <w:pStyle w:val="ListBullet"/>
            </w:pPr>
            <w:r w:rsidRPr="00B85D76">
              <w:t>formal and informal information gathering from employees and contractors</w:t>
            </w:r>
          </w:p>
          <w:p w:rsidR="00000000" w:rsidRPr="00B85D76" w:rsidP="00B85D76">
            <w:pPr>
              <w:pStyle w:val="ListBullet"/>
            </w:pPr>
            <w:r w:rsidRPr="00B85D76">
              <w:t>specifically documented processes using formal reporting arrangements</w:t>
            </w:r>
          </w:p>
          <w:p w:rsidR="00000000" w:rsidRPr="00B85D76" w:rsidP="00B85D76">
            <w:pPr>
              <w:pStyle w:val="ListBullet"/>
            </w:pPr>
            <w:r w:rsidRPr="00B85D76">
              <w:t>spot checks on aspects of the energy management process.</w:t>
            </w:r>
          </w:p>
        </w:tc>
      </w:tr>
    </w:tbl>
    <w:p w:rsidR="00AF0413" w:rsidP="00B85D76">
      <w:pPr>
        <w:pStyle w:val="BodyText"/>
      </w:pPr>
    </w:p>
    <w:p w:rsidR="00AF0413" w:rsidP="00B85D76">
      <w:pPr>
        <w:pStyle w:val="BodyText"/>
      </w:pPr>
    </w:p>
    <w:p w:rsidR="00000000" w:rsidRPr="00B85D76" w:rsidP="00B85D76">
      <w:pPr>
        <w:pStyle w:val="Heading1"/>
      </w:pPr>
      <w:bookmarkStart w:id="12" w:name="O_197072"/>
      <w:bookmarkEnd w:id="12"/>
      <w:r w:rsidRPr="00B85D76">
        <w:t>Unit Sector(s)</w:t>
      </w:r>
    </w:p>
    <w:tbl>
      <w:tblPr>
        <w:tblW w:w="0" w:type="auto"/>
        <w:tblLayout w:type="fixed"/>
        <w:tblCellMar>
          <w:left w:w="62" w:type="dxa"/>
          <w:right w:w="62" w:type="dxa"/>
        </w:tblCellMar>
        <w:tblLook w:val="0000"/>
      </w:tblPr>
      <w:tblGrid>
        <w:gridCol w:w="2542"/>
        <w:gridCol w:w="5980"/>
      </w:tblGrid>
      <w:tr w:rsidTr="00AF0413">
        <w:tblPrEx>
          <w:tblW w:w="0" w:type="auto"/>
          <w:tblLayout w:type="fixed"/>
          <w:tblCellMar>
            <w:left w:w="62" w:type="dxa"/>
            <w:right w:w="62" w:type="dxa"/>
          </w:tblCellMar>
          <w:tblLook w:val="0000"/>
        </w:tblPrEx>
        <w:trPr>
          <w:tblHeader/>
        </w:trPr>
        <w:tc>
          <w:tcPr>
            <w:tcW w:w="2542" w:type="dxa"/>
            <w:tcBorders>
              <w:top w:val="nil"/>
              <w:left w:val="nil"/>
              <w:bottom w:val="nil"/>
              <w:right w:val="nil"/>
            </w:tcBorders>
            <w:tcMar>
              <w:top w:w="0" w:type="dxa"/>
              <w:left w:w="62" w:type="dxa"/>
              <w:bottom w:w="0" w:type="dxa"/>
              <w:right w:w="62" w:type="dxa"/>
            </w:tcMar>
          </w:tcPr>
          <w:p w:rsidR="00000000" w:rsidP="00B85D76">
            <w:pPr>
              <w:pStyle w:val="BodyText"/>
              <w:rPr>
                <w:lang w:val="en-NZ"/>
              </w:rPr>
            </w:pPr>
            <w:r w:rsidRPr="00B85D76">
              <w:rPr>
                <w:rStyle w:val="SpecialBold"/>
              </w:rPr>
              <w:t>Unit sector</w:t>
            </w:r>
          </w:p>
        </w:tc>
        <w:tc>
          <w:tcPr>
            <w:tcW w:w="5980" w:type="dxa"/>
            <w:tcBorders>
              <w:top w:val="nil"/>
              <w:left w:val="nil"/>
              <w:bottom w:val="nil"/>
              <w:right w:val="nil"/>
            </w:tcBorders>
            <w:tcMar>
              <w:top w:w="0" w:type="dxa"/>
              <w:left w:w="62" w:type="dxa"/>
              <w:bottom w:w="0" w:type="dxa"/>
              <w:right w:w="62" w:type="dxa"/>
            </w:tcMar>
          </w:tcPr>
          <w:p w:rsidR="00000000" w:rsidRPr="00B85D76" w:rsidP="00B85D76">
            <w:pPr>
              <w:pStyle w:val="BodyText"/>
            </w:pPr>
            <w:r w:rsidRPr="00B85D76">
              <w:t>Construction</w:t>
            </w:r>
          </w:p>
        </w:tc>
      </w:tr>
    </w:tbl>
    <w:p w:rsidR="00AF0413" w:rsidP="00B85D76">
      <w:pPr>
        <w:pStyle w:val="BodyText"/>
      </w:pPr>
    </w:p>
    <w:p w:rsidR="00AF0413" w:rsidP="00B85D76">
      <w:pPr>
        <w:pStyle w:val="BodyText"/>
      </w:pPr>
    </w:p>
    <w:p w:rsidR="00000000" w:rsidRPr="00B85D76" w:rsidP="00B85D76">
      <w:pPr>
        <w:pStyle w:val="Heading1"/>
      </w:pPr>
      <w:bookmarkStart w:id="13" w:name="O_197069"/>
      <w:bookmarkEnd w:id="13"/>
      <w:r w:rsidRPr="00B85D76">
        <w:t>Co-requisite units</w:t>
      </w:r>
    </w:p>
    <w:tbl>
      <w:tblPr>
        <w:tblW w:w="0" w:type="auto"/>
        <w:tblLayout w:type="fixed"/>
        <w:tblCellMar>
          <w:left w:w="62" w:type="dxa"/>
          <w:right w:w="62" w:type="dxa"/>
        </w:tblCellMar>
        <w:tblLook w:val="0000"/>
      </w:tblPr>
      <w:tblGrid>
        <w:gridCol w:w="2560"/>
        <w:gridCol w:w="5962"/>
      </w:tblGrid>
      <w:tr w:rsidTr="00AF0413">
        <w:tblPrEx>
          <w:tblW w:w="0" w:type="auto"/>
          <w:tblLayout w:type="fixed"/>
          <w:tblCellMar>
            <w:left w:w="62" w:type="dxa"/>
            <w:right w:w="62" w:type="dxa"/>
          </w:tblCellMar>
          <w:tblLook w:val="0000"/>
        </w:tblPrEx>
        <w:trPr>
          <w:tblHeader/>
        </w:trPr>
        <w:tc>
          <w:tcPr>
            <w:tcW w:w="2560" w:type="dxa"/>
            <w:tcBorders>
              <w:top w:val="nil"/>
              <w:left w:val="nil"/>
              <w:bottom w:val="nil"/>
              <w:right w:val="nil"/>
            </w:tcBorders>
            <w:tcMar>
              <w:top w:w="0" w:type="dxa"/>
              <w:left w:w="62" w:type="dxa"/>
              <w:bottom w:w="0" w:type="dxa"/>
              <w:right w:w="62" w:type="dxa"/>
            </w:tcMar>
          </w:tcPr>
          <w:p w:rsidR="00000000" w:rsidP="00B85D76">
            <w:pPr>
              <w:pStyle w:val="BodyText"/>
              <w:rPr>
                <w:lang w:val="en-NZ"/>
              </w:rPr>
            </w:pPr>
            <w:r w:rsidRPr="00B85D76">
              <w:rPr>
                <w:rStyle w:val="SpecialBold"/>
              </w:rPr>
              <w:t>Co-requisite units</w:t>
            </w:r>
          </w:p>
        </w:tc>
        <w:tc>
          <w:tcPr>
            <w:tcW w:w="5962" w:type="dxa"/>
            <w:tcBorders>
              <w:top w:val="nil"/>
              <w:left w:val="nil"/>
              <w:bottom w:val="nil"/>
              <w:right w:val="nil"/>
            </w:tcBorders>
            <w:tcMar>
              <w:top w:w="0" w:type="dxa"/>
              <w:left w:w="62" w:type="dxa"/>
              <w:bottom w:w="0" w:type="dxa"/>
              <w:right w:w="62" w:type="dxa"/>
            </w:tcMar>
          </w:tcPr>
          <w:p w:rsidR="00000000" w:rsidRPr="00B85D76" w:rsidP="00B85D76">
            <w:pPr>
              <w:pStyle w:val="BodyText"/>
            </w:pPr>
            <w:r w:rsidRPr="00B85D76">
              <w:t>Nil</w:t>
            </w:r>
          </w:p>
        </w:tc>
      </w:tr>
    </w:tbl>
    <w:p w:rsidR="00AF0413" w:rsidP="00B85D76">
      <w:pPr>
        <w:pStyle w:val="BodyText"/>
      </w:pPr>
    </w:p>
    <w:p w:rsidR="00AF0413" w:rsidP="00B85D76">
      <w:pPr>
        <w:pStyle w:val="BodyText"/>
      </w:pPr>
    </w:p>
    <w:p w:rsidR="00000000" w:rsidRPr="00B85D76" w:rsidP="00B85D76">
      <w:pPr>
        <w:pStyle w:val="Heading1"/>
      </w:pPr>
      <w:bookmarkStart w:id="14" w:name="O_197071"/>
      <w:bookmarkEnd w:id="14"/>
      <w:r w:rsidRPr="00B85D76">
        <w:t>Functional area</w:t>
      </w:r>
    </w:p>
    <w:tbl>
      <w:tblPr>
        <w:tblW w:w="0" w:type="auto"/>
        <w:tblLayout w:type="fixed"/>
        <w:tblCellMar>
          <w:left w:w="62" w:type="dxa"/>
          <w:right w:w="62" w:type="dxa"/>
        </w:tblCellMar>
        <w:tblLook w:val="0000"/>
      </w:tblPr>
      <w:tblGrid>
        <w:gridCol w:w="2678"/>
        <w:gridCol w:w="5844"/>
      </w:tblGrid>
      <w:tr w:rsidTr="00AF0413">
        <w:tblPrEx>
          <w:tblW w:w="0" w:type="auto"/>
          <w:tblLayout w:type="fixed"/>
          <w:tblCellMar>
            <w:left w:w="62" w:type="dxa"/>
            <w:right w:w="62" w:type="dxa"/>
          </w:tblCellMar>
          <w:tblLook w:val="0000"/>
        </w:tblPrEx>
        <w:trPr>
          <w:tblHeader/>
        </w:trPr>
        <w:tc>
          <w:tcPr>
            <w:tcW w:w="2678" w:type="dxa"/>
            <w:tcBorders>
              <w:top w:val="nil"/>
              <w:left w:val="nil"/>
              <w:bottom w:val="nil"/>
              <w:right w:val="nil"/>
            </w:tcBorders>
            <w:tcMar>
              <w:top w:w="0" w:type="dxa"/>
              <w:left w:w="62" w:type="dxa"/>
              <w:bottom w:w="0" w:type="dxa"/>
              <w:right w:w="62" w:type="dxa"/>
            </w:tcMar>
          </w:tcPr>
          <w:p w:rsidR="00000000" w:rsidP="00B85D76">
            <w:pPr>
              <w:pStyle w:val="BodyText"/>
              <w:rPr>
                <w:lang w:val="en-NZ"/>
              </w:rPr>
            </w:pPr>
            <w:r w:rsidRPr="00B85D76">
              <w:rPr>
                <w:rStyle w:val="SpecialBold"/>
              </w:rPr>
              <w:t>Functional area</w:t>
            </w:r>
          </w:p>
        </w:tc>
        <w:tc>
          <w:tcPr>
            <w:tcW w:w="5844" w:type="dxa"/>
            <w:tcBorders>
              <w:top w:val="nil"/>
              <w:left w:val="nil"/>
              <w:bottom w:val="nil"/>
              <w:right w:val="nil"/>
            </w:tcBorders>
            <w:tcMar>
              <w:top w:w="0" w:type="dxa"/>
              <w:left w:w="62" w:type="dxa"/>
              <w:bottom w:w="0" w:type="dxa"/>
              <w:right w:w="62" w:type="dxa"/>
            </w:tcMar>
          </w:tcPr>
          <w:p w:rsidR="00000000" w:rsidRPr="00B85D76" w:rsidP="00B85D76">
            <w:pPr>
              <w:pStyle w:val="BodyText"/>
            </w:pPr>
          </w:p>
        </w:tc>
      </w:tr>
    </w:tbl>
    <w:p w:rsidR="00AF0413" w:rsidP="00B85D76">
      <w:pPr>
        <w:pStyle w:val="BodyText"/>
      </w:pPr>
    </w:p>
    <w:p w:rsidR="00AF0413" w:rsidP="00B85D76">
      <w:pPr>
        <w:pStyle w:val="BodyText"/>
      </w:pPr>
    </w:p>
    <w:p w:rsidR="00000000" w:rsidRPr="00B85D76" w:rsidP="00B85D76"/>
    <w:sectPr w:rsidSect="00B85D7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5D7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F0413" w:rsidP="00AF0413">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5D7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0413" w:rsidP="00B85D76">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AF0413" w:rsidP="00B85D76">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AF0413" w:rsidP="00B85D76">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5D7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5D76" w:rsidRPr="00AF0413" w:rsidP="00AF0413">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5D7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0413" w:rsidRPr="002D2AF8" w:rsidP="00B85D76">
    <w:pPr>
      <w:pStyle w:val="Header"/>
      <w:framePr w:wrap="around"/>
    </w:pPr>
    <w:r>
      <w:fldChar w:fldCharType="begin"/>
    </w:r>
    <w:r>
      <w:instrText xml:space="preserve"> TITLE   \* MERGEFORMAT </w:instrText>
    </w:r>
    <w:r>
      <w:fldChar w:fldCharType="separate"/>
    </w:r>
    <w:r>
      <w:t>CPCCBC5012A Manage the application and monitoring of energy conservation and management practices and processes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5 October 2012</w:t>
    </w:r>
    <w:r>
      <w:fldChar w:fldCharType="end"/>
    </w:r>
  </w:p>
  <w:p w:rsidR="00AF0413" w:rsidP="00B85D7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626C16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E12B2C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44ED3E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85D7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85D76"/>
    <w:pPr>
      <w:spacing w:before="360" w:after="60"/>
      <w:outlineLvl w:val="0"/>
    </w:pPr>
    <w:rPr>
      <w:sz w:val="32"/>
    </w:rPr>
  </w:style>
  <w:style w:type="paragraph" w:styleId="Heading2">
    <w:name w:val="heading 2"/>
    <w:basedOn w:val="HeadingBase"/>
    <w:next w:val="BodyText"/>
    <w:link w:val="Heading2Char"/>
    <w:qFormat/>
    <w:rsid w:val="00B85D76"/>
    <w:pPr>
      <w:keepLines/>
      <w:spacing w:before="240" w:after="120"/>
      <w:outlineLvl w:val="1"/>
    </w:pPr>
    <w:rPr>
      <w:sz w:val="28"/>
      <w:szCs w:val="40"/>
    </w:rPr>
  </w:style>
  <w:style w:type="paragraph" w:styleId="Heading3">
    <w:name w:val="heading 3"/>
    <w:basedOn w:val="HeadingBase"/>
    <w:next w:val="BodyText"/>
    <w:link w:val="Heading3Char"/>
    <w:qFormat/>
    <w:rsid w:val="00B85D76"/>
    <w:pPr>
      <w:spacing w:before="180" w:after="120"/>
      <w:outlineLvl w:val="2"/>
    </w:pPr>
    <w:rPr>
      <w:spacing w:val="-10"/>
      <w:kern w:val="32"/>
    </w:rPr>
  </w:style>
  <w:style w:type="paragraph" w:styleId="Heading4">
    <w:name w:val="heading 4"/>
    <w:basedOn w:val="HeadingBase"/>
    <w:next w:val="BodyText"/>
    <w:link w:val="Heading4Char"/>
    <w:qFormat/>
    <w:rsid w:val="00B85D76"/>
    <w:pPr>
      <w:spacing w:before="160" w:after="120"/>
      <w:outlineLvl w:val="3"/>
    </w:pPr>
    <w:rPr>
      <w:sz w:val="22"/>
    </w:rPr>
  </w:style>
  <w:style w:type="paragraph" w:styleId="Heading5">
    <w:name w:val="heading 5"/>
    <w:basedOn w:val="HeadingBase"/>
    <w:next w:val="Normal"/>
    <w:link w:val="Heading5Char"/>
    <w:qFormat/>
    <w:rsid w:val="00B85D76"/>
    <w:pPr>
      <w:spacing w:before="80"/>
      <w:outlineLvl w:val="4"/>
    </w:pPr>
    <w:rPr>
      <w:color w:val="918585"/>
      <w:sz w:val="20"/>
    </w:rPr>
  </w:style>
  <w:style w:type="paragraph" w:styleId="Heading6">
    <w:name w:val="heading 6"/>
    <w:basedOn w:val="HeadingBase"/>
    <w:next w:val="Normal"/>
    <w:link w:val="Heading6Char"/>
    <w:qFormat/>
    <w:rsid w:val="00B85D76"/>
    <w:pPr>
      <w:spacing w:before="60"/>
      <w:outlineLvl w:val="5"/>
    </w:pPr>
    <w:rPr>
      <w:color w:val="918585"/>
      <w:sz w:val="20"/>
    </w:rPr>
  </w:style>
  <w:style w:type="paragraph" w:styleId="Heading7">
    <w:name w:val="heading 7"/>
    <w:basedOn w:val="Normal"/>
    <w:next w:val="Normal"/>
    <w:link w:val="Heading7Char"/>
    <w:qFormat/>
    <w:rsid w:val="00B85D76"/>
    <w:pPr>
      <w:ind w:left="720"/>
      <w:outlineLvl w:val="6"/>
    </w:pPr>
    <w:rPr>
      <w:i/>
    </w:rPr>
  </w:style>
  <w:style w:type="paragraph" w:styleId="Heading8">
    <w:name w:val="heading 8"/>
    <w:basedOn w:val="Normal"/>
    <w:next w:val="Normal"/>
    <w:link w:val="Heading8Char"/>
    <w:qFormat/>
    <w:rsid w:val="00B85D76"/>
    <w:pPr>
      <w:ind w:left="720"/>
      <w:outlineLvl w:val="7"/>
    </w:pPr>
    <w:rPr>
      <w:i/>
    </w:rPr>
  </w:style>
  <w:style w:type="paragraph" w:styleId="Heading9">
    <w:name w:val="heading 9"/>
    <w:basedOn w:val="Normal"/>
    <w:next w:val="Normal"/>
    <w:link w:val="Heading9Char"/>
    <w:qFormat/>
    <w:rsid w:val="00B85D76"/>
    <w:pPr>
      <w:ind w:left="720"/>
      <w:outlineLvl w:val="8"/>
    </w:pPr>
    <w:rPr>
      <w:i/>
    </w:rPr>
  </w:style>
  <w:style w:type="character" w:default="1" w:styleId="DefaultParagraphFont">
    <w:name w:val="Default Paragraph Font"/>
    <w:uiPriority w:val="1"/>
    <w:unhideWhenUsed/>
    <w:rsid w:val="00B85D7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85D76"/>
  </w:style>
  <w:style w:type="character" w:customStyle="1" w:styleId="Heading1Char">
    <w:name w:val="Heading 1 Char"/>
    <w:basedOn w:val="DefaultParagraphFont"/>
    <w:link w:val="Heading1"/>
    <w:rsid w:val="00B85D76"/>
    <w:rPr>
      <w:rFonts w:ascii="Times New Roman" w:eastAsia="Times New Roman" w:hAnsi="Times New Roman" w:cs="Times New Roman"/>
      <w:b/>
      <w:sz w:val="32"/>
      <w:szCs w:val="20"/>
      <w:lang w:eastAsia="en-US"/>
    </w:rPr>
  </w:style>
  <w:style w:type="paragraph" w:styleId="BodyText">
    <w:name w:val="Body Text"/>
    <w:basedOn w:val="Normal"/>
    <w:link w:val="BodyTextChar"/>
    <w:rsid w:val="00B85D76"/>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B85D76"/>
    <w:rPr>
      <w:rFonts w:ascii="Times New Roman" w:eastAsia="Times New Roman" w:hAnsi="Times New Roman" w:cs="Times New Roman"/>
      <w:sz w:val="24"/>
      <w:lang w:eastAsia="en-US"/>
    </w:rPr>
  </w:style>
  <w:style w:type="paragraph" w:styleId="Footer">
    <w:name w:val="footer"/>
    <w:basedOn w:val="Normal"/>
    <w:link w:val="FooterChar"/>
    <w:rsid w:val="00B85D7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85D76"/>
    <w:rPr>
      <w:rFonts w:ascii="Times New Roman" w:eastAsia="Times New Roman" w:hAnsi="Times New Roman" w:cs="Times New Roman"/>
      <w:sz w:val="16"/>
      <w:lang w:eastAsia="en-US"/>
    </w:rPr>
  </w:style>
  <w:style w:type="paragraph" w:styleId="List">
    <w:name w:val="List"/>
    <w:basedOn w:val="BodyText"/>
    <w:next w:val="BodyText"/>
    <w:rsid w:val="00B85D76"/>
    <w:pPr>
      <w:tabs>
        <w:tab w:val="left" w:pos="340"/>
      </w:tabs>
      <w:spacing w:before="60" w:after="60"/>
      <w:ind w:left="340" w:hanging="340"/>
    </w:pPr>
  </w:style>
  <w:style w:type="paragraph" w:styleId="ListBullet">
    <w:name w:val="List Bullet"/>
    <w:basedOn w:val="List"/>
    <w:rsid w:val="00B85D76"/>
    <w:pPr>
      <w:numPr>
        <w:numId w:val="13"/>
      </w:numPr>
      <w:tabs>
        <w:tab w:val="clear" w:pos="340"/>
      </w:tabs>
      <w:spacing w:before="40" w:after="40"/>
    </w:pPr>
  </w:style>
  <w:style w:type="character" w:customStyle="1" w:styleId="SpecialBold">
    <w:name w:val="Special Bold"/>
    <w:basedOn w:val="DefaultParagraphFont"/>
    <w:rsid w:val="00B85D76"/>
    <w:rPr>
      <w:b/>
      <w:spacing w:val="0"/>
    </w:rPr>
  </w:style>
  <w:style w:type="paragraph" w:styleId="ListBullet2">
    <w:name w:val="List Bullet 2"/>
    <w:basedOn w:val="List2"/>
    <w:rsid w:val="00B85D76"/>
    <w:pPr>
      <w:numPr>
        <w:numId w:val="14"/>
      </w:numPr>
      <w:tabs>
        <w:tab w:val="clear" w:pos="680"/>
      </w:tabs>
    </w:pPr>
  </w:style>
  <w:style w:type="paragraph" w:customStyle="1" w:styleId="SuperHeading">
    <w:name w:val="SuperHeading"/>
    <w:basedOn w:val="Normal"/>
    <w:rsid w:val="00B85D76"/>
    <w:pPr>
      <w:spacing w:before="240" w:after="120"/>
      <w:outlineLvl w:val="0"/>
    </w:pPr>
    <w:rPr>
      <w:rFonts w:ascii="Times New Roman" w:hAnsi="Times New Roman"/>
      <w:b/>
      <w:sz w:val="28"/>
    </w:rPr>
  </w:style>
  <w:style w:type="paragraph" w:customStyle="1" w:styleId="AllowPageBreak">
    <w:name w:val="AllowPageBreak"/>
    <w:rsid w:val="00B85D76"/>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B85D76"/>
    <w:pPr>
      <w:tabs>
        <w:tab w:val="left" w:pos="680"/>
      </w:tabs>
      <w:spacing w:before="60" w:after="60"/>
      <w:ind w:left="680" w:hanging="340"/>
    </w:pPr>
  </w:style>
  <w:style w:type="character" w:customStyle="1" w:styleId="BoldandItalics">
    <w:name w:val="Bold and Italics"/>
    <w:qFormat/>
    <w:rsid w:val="00B85D76"/>
    <w:rPr>
      <w:b/>
      <w:i/>
      <w:u w:val="none"/>
    </w:rPr>
  </w:style>
  <w:style w:type="character" w:customStyle="1" w:styleId="Heading2Char">
    <w:name w:val="Heading 2 Char"/>
    <w:basedOn w:val="DefaultParagraphFont"/>
    <w:link w:val="Heading2"/>
    <w:rsid w:val="00B85D7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85D7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85D7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85D7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85D7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85D7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85D7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85D76"/>
    <w:rPr>
      <w:rFonts w:ascii="Courier New" w:eastAsia="Times New Roman" w:hAnsi="Courier New" w:cs="Times New Roman"/>
      <w:i/>
      <w:szCs w:val="20"/>
      <w:lang w:eastAsia="en-US"/>
    </w:rPr>
  </w:style>
  <w:style w:type="paragraph" w:customStyle="1" w:styleId="HeadingBase">
    <w:name w:val="Heading Base"/>
    <w:rsid w:val="00B85D7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85D76"/>
    <w:pPr>
      <w:tabs>
        <w:tab w:val="right" w:leader="dot" w:pos="9072"/>
      </w:tabs>
      <w:ind w:left="567"/>
    </w:pPr>
    <w:rPr>
      <w:szCs w:val="22"/>
    </w:rPr>
  </w:style>
  <w:style w:type="paragraph" w:customStyle="1" w:styleId="TOCBase">
    <w:name w:val="TOC Base"/>
    <w:rsid w:val="00B85D7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85D76"/>
    <w:pPr>
      <w:tabs>
        <w:tab w:val="right" w:leader="dot" w:pos="9072"/>
      </w:tabs>
      <w:spacing w:before="40" w:after="40"/>
      <w:ind w:left="284"/>
    </w:pPr>
    <w:rPr>
      <w:rFonts w:ascii="Times New Roman" w:hAnsi="Times New Roman"/>
    </w:rPr>
  </w:style>
  <w:style w:type="paragraph" w:styleId="TOC1">
    <w:name w:val="toc 1"/>
    <w:basedOn w:val="TOCBase"/>
    <w:next w:val="Normal"/>
    <w:rsid w:val="00B85D76"/>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B85D76"/>
    <w:pPr>
      <w:spacing w:before="5040"/>
      <w:jc w:val="center"/>
    </w:pPr>
    <w:rPr>
      <w:sz w:val="48"/>
      <w:szCs w:val="72"/>
      <w:lang w:val="en-US"/>
    </w:rPr>
  </w:style>
  <w:style w:type="character" w:customStyle="1" w:styleId="TitleChar">
    <w:name w:val="Title Char"/>
    <w:basedOn w:val="DefaultParagraphFont"/>
    <w:link w:val="Title"/>
    <w:rsid w:val="00B85D7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85D76"/>
    <w:pPr>
      <w:tabs>
        <w:tab w:val="left" w:pos="3600"/>
        <w:tab w:val="left" w:pos="3958"/>
      </w:tabs>
    </w:pPr>
  </w:style>
  <w:style w:type="paragraph" w:customStyle="1" w:styleId="Note">
    <w:name w:val="Note"/>
    <w:basedOn w:val="BodyText"/>
    <w:rsid w:val="00B85D7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85D76"/>
    <w:pPr>
      <w:framePr w:wrap="auto" w:hAnchor="text" w:y="6049"/>
    </w:pPr>
    <w:rPr>
      <w:color w:val="000000"/>
      <w:sz w:val="40"/>
    </w:rPr>
  </w:style>
  <w:style w:type="paragraph" w:customStyle="1" w:styleId="TOCTitle">
    <w:name w:val="TOCTitle"/>
    <w:basedOn w:val="Heading1"/>
    <w:rsid w:val="00B85D76"/>
    <w:pPr>
      <w:spacing w:after="240"/>
      <w:jc w:val="center"/>
      <w:outlineLvl w:val="9"/>
    </w:pPr>
    <w:rPr>
      <w:caps/>
    </w:rPr>
  </w:style>
  <w:style w:type="paragraph" w:customStyle="1" w:styleId="Version">
    <w:name w:val="Version"/>
    <w:rsid w:val="00B85D7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85D76"/>
    <w:pPr>
      <w:keepNext w:val="0"/>
      <w:tabs>
        <w:tab w:val="right" w:pos="4176"/>
      </w:tabs>
      <w:ind w:left="198" w:hanging="198"/>
    </w:pPr>
    <w:rPr>
      <w:rFonts w:ascii="Garamond" w:hAnsi="Garamond"/>
    </w:rPr>
  </w:style>
  <w:style w:type="paragraph" w:styleId="IndexHeading">
    <w:name w:val="index heading"/>
    <w:basedOn w:val="Normal"/>
    <w:next w:val="Index1"/>
    <w:semiHidden/>
    <w:rsid w:val="00B85D76"/>
    <w:pPr>
      <w:spacing w:before="120" w:after="120"/>
    </w:pPr>
    <w:rPr>
      <w:rFonts w:ascii="Arial" w:hAnsi="Arial"/>
      <w:b/>
      <w:color w:val="918585"/>
      <w:sz w:val="24"/>
    </w:rPr>
  </w:style>
  <w:style w:type="paragraph" w:styleId="Header">
    <w:name w:val="header"/>
    <w:basedOn w:val="Normal"/>
    <w:link w:val="HeaderChar"/>
    <w:rsid w:val="00B85D7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85D76"/>
    <w:rPr>
      <w:rFonts w:ascii="Times New Roman" w:eastAsia="Times New Roman" w:hAnsi="Times New Roman" w:cs="Times New Roman"/>
      <w:sz w:val="16"/>
      <w:szCs w:val="20"/>
      <w:lang w:val="en-GB" w:eastAsia="en-US"/>
    </w:rPr>
  </w:style>
  <w:style w:type="paragraph" w:customStyle="1" w:styleId="Chapter">
    <w:name w:val="Chapter"/>
    <w:basedOn w:val="Normal"/>
    <w:rsid w:val="00B85D76"/>
    <w:pPr>
      <w:spacing w:before="240"/>
    </w:pPr>
    <w:rPr>
      <w:rFonts w:ascii="Times New Roman" w:hAnsi="Times New Roman"/>
      <w:smallCaps/>
      <w:spacing w:val="80"/>
      <w:sz w:val="28"/>
    </w:rPr>
  </w:style>
  <w:style w:type="paragraph" w:customStyle="1" w:styleId="InChapter">
    <w:name w:val="InChapter"/>
    <w:basedOn w:val="Heading3"/>
    <w:rsid w:val="00B85D76"/>
    <w:pPr>
      <w:spacing w:after="240"/>
      <w:outlineLvl w:val="9"/>
    </w:pPr>
    <w:rPr>
      <w:noProof/>
    </w:rPr>
  </w:style>
  <w:style w:type="paragraph" w:styleId="Index2">
    <w:name w:val="index 2"/>
    <w:basedOn w:val="Normal"/>
    <w:next w:val="Normal"/>
    <w:semiHidden/>
    <w:rsid w:val="00B85D76"/>
    <w:pPr>
      <w:tabs>
        <w:tab w:val="right" w:pos="4176"/>
      </w:tabs>
      <w:ind w:left="568" w:hanging="284"/>
    </w:pPr>
    <w:rPr>
      <w:rFonts w:ascii="Garamond" w:hAnsi="Garamond"/>
    </w:rPr>
  </w:style>
  <w:style w:type="paragraph" w:customStyle="1" w:styleId="Byline">
    <w:name w:val="Byline"/>
    <w:rsid w:val="00B85D7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85D76"/>
    <w:pPr>
      <w:tabs>
        <w:tab w:val="clear" w:pos="3600"/>
        <w:tab w:val="clear" w:pos="3958"/>
      </w:tabs>
      <w:jc w:val="right"/>
    </w:pPr>
  </w:style>
  <w:style w:type="character" w:styleId="Emphasis">
    <w:name w:val="Emphasis"/>
    <w:basedOn w:val="DefaultParagraphFont"/>
    <w:qFormat/>
    <w:rsid w:val="00B85D76"/>
    <w:rPr>
      <w:i/>
    </w:rPr>
  </w:style>
  <w:style w:type="paragraph" w:styleId="Caption">
    <w:name w:val="caption"/>
    <w:basedOn w:val="BodyText"/>
    <w:next w:val="Normal"/>
    <w:qFormat/>
    <w:rsid w:val="00B85D76"/>
    <w:pPr>
      <w:framePr w:w="2268" w:hSpace="181" w:vSpace="181" w:wrap="around" w:vAnchor="text" w:hAnchor="page" w:x="1135" w:y="285" w:anchorLock="1"/>
    </w:pPr>
    <w:rPr>
      <w:i/>
    </w:rPr>
  </w:style>
  <w:style w:type="paragraph" w:customStyle="1" w:styleId="MiniTOCTitle">
    <w:name w:val="MiniTOCTitle"/>
    <w:basedOn w:val="Heading4"/>
    <w:rsid w:val="00B85D76"/>
    <w:pPr>
      <w:spacing w:before="240"/>
      <w:outlineLvl w:val="9"/>
    </w:pPr>
    <w:rPr>
      <w:noProof/>
      <w:sz w:val="24"/>
    </w:rPr>
  </w:style>
  <w:style w:type="paragraph" w:customStyle="1" w:styleId="MiniTOCItem">
    <w:name w:val="MiniTOCItem"/>
    <w:basedOn w:val="ListBullet"/>
    <w:rsid w:val="00B85D76"/>
    <w:pPr>
      <w:numPr>
        <w:numId w:val="0"/>
      </w:numPr>
      <w:tabs>
        <w:tab w:val="right" w:leader="dot" w:pos="6521"/>
      </w:tabs>
      <w:spacing w:before="0" w:after="0"/>
    </w:pPr>
  </w:style>
  <w:style w:type="paragraph" w:customStyle="1" w:styleId="TOFTitle">
    <w:name w:val="TOFTitle"/>
    <w:basedOn w:val="TOCTitle"/>
    <w:rsid w:val="00B85D76"/>
  </w:style>
  <w:style w:type="paragraph" w:styleId="TableofFigures">
    <w:name w:val="table of figures"/>
    <w:basedOn w:val="Normal"/>
    <w:next w:val="Normal"/>
    <w:semiHidden/>
    <w:rsid w:val="00B85D76"/>
    <w:pPr>
      <w:tabs>
        <w:tab w:val="right" w:leader="dot" w:pos="9072"/>
      </w:tabs>
      <w:ind w:left="970" w:hanging="403"/>
    </w:pPr>
    <w:rPr>
      <w:rFonts w:ascii="Times New Roman" w:hAnsi="Times New Roman"/>
      <w:b/>
    </w:rPr>
  </w:style>
  <w:style w:type="paragraph" w:styleId="ListNumber">
    <w:name w:val="List Number"/>
    <w:basedOn w:val="List"/>
    <w:rsid w:val="00B85D76"/>
    <w:pPr>
      <w:numPr>
        <w:numId w:val="11"/>
      </w:numPr>
    </w:pPr>
  </w:style>
  <w:style w:type="character" w:customStyle="1" w:styleId="WingdingSymbols">
    <w:name w:val="Wingding Symbols"/>
    <w:rsid w:val="00B85D76"/>
    <w:rPr>
      <w:rFonts w:ascii="Wingdings" w:hAnsi="Wingdings"/>
    </w:rPr>
  </w:style>
  <w:style w:type="paragraph" w:customStyle="1" w:styleId="TableHeading">
    <w:name w:val="Table Heading"/>
    <w:basedOn w:val="HeadingBase"/>
    <w:rsid w:val="00B85D76"/>
    <w:pPr>
      <w:keepLines/>
      <w:pBdr>
        <w:bottom w:val="single" w:sz="6" w:space="1" w:color="918585"/>
      </w:pBdr>
      <w:spacing w:before="240"/>
    </w:pPr>
  </w:style>
  <w:style w:type="character" w:customStyle="1" w:styleId="HotSpot">
    <w:name w:val="HotSpot"/>
    <w:rsid w:val="00B85D76"/>
    <w:rPr>
      <w:color w:val="0033CC"/>
      <w:u w:val="none"/>
    </w:rPr>
  </w:style>
  <w:style w:type="paragraph" w:customStyle="1" w:styleId="BodyTextRight">
    <w:name w:val="Body Text Right"/>
    <w:basedOn w:val="BodyText"/>
    <w:rsid w:val="00B85D76"/>
    <w:pPr>
      <w:spacing w:before="0" w:after="0"/>
      <w:jc w:val="right"/>
    </w:pPr>
  </w:style>
  <w:style w:type="paragraph" w:styleId="Index3">
    <w:name w:val="index 3"/>
    <w:basedOn w:val="ListNumber2"/>
    <w:next w:val="Normal"/>
    <w:semiHidden/>
    <w:rsid w:val="00B85D76"/>
    <w:pPr>
      <w:numPr>
        <w:numId w:val="0"/>
      </w:numPr>
      <w:tabs>
        <w:tab w:val="right" w:leader="dot" w:pos="4176"/>
      </w:tabs>
    </w:pPr>
  </w:style>
  <w:style w:type="paragraph" w:styleId="ListNumber2">
    <w:name w:val="List Number 2"/>
    <w:basedOn w:val="List2"/>
    <w:rsid w:val="00B85D76"/>
    <w:pPr>
      <w:numPr>
        <w:numId w:val="10"/>
      </w:numPr>
      <w:tabs>
        <w:tab w:val="clear" w:pos="1060"/>
      </w:tabs>
    </w:pPr>
  </w:style>
  <w:style w:type="paragraph" w:customStyle="1" w:styleId="MarginNote">
    <w:name w:val="Margin Note"/>
    <w:basedOn w:val="BodyText"/>
    <w:rsid w:val="00B85D7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85D7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85D7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85D76"/>
    <w:rPr>
      <w:sz w:val="32"/>
    </w:rPr>
  </w:style>
  <w:style w:type="paragraph" w:customStyle="1" w:styleId="HeadingProcedure">
    <w:name w:val="Heading Procedure"/>
    <w:basedOn w:val="HeadingBase"/>
    <w:next w:val="Normal"/>
    <w:rsid w:val="00B85D76"/>
    <w:pPr>
      <w:tabs>
        <w:tab w:val="left" w:pos="0"/>
      </w:tabs>
      <w:spacing w:before="120" w:after="60"/>
    </w:pPr>
    <w:rPr>
      <w:i/>
      <w:color w:val="918585"/>
      <w:sz w:val="22"/>
    </w:rPr>
  </w:style>
  <w:style w:type="paragraph" w:customStyle="1" w:styleId="TableBodyText">
    <w:name w:val="Table Body Text"/>
    <w:basedOn w:val="BodyText"/>
    <w:rsid w:val="00B85D76"/>
    <w:pPr>
      <w:spacing w:before="60" w:after="60"/>
    </w:pPr>
  </w:style>
  <w:style w:type="paragraph" w:styleId="ListContinue">
    <w:name w:val="List Continue"/>
    <w:basedOn w:val="List"/>
    <w:rsid w:val="00B85D76"/>
    <w:pPr>
      <w:ind w:firstLine="0"/>
    </w:pPr>
  </w:style>
  <w:style w:type="paragraph" w:customStyle="1" w:styleId="ListNote">
    <w:name w:val="List Note"/>
    <w:basedOn w:val="List"/>
    <w:rsid w:val="00B85D76"/>
    <w:pPr>
      <w:pBdr>
        <w:top w:val="single" w:sz="6" w:space="2" w:color="918585"/>
        <w:bottom w:val="single" w:sz="6" w:space="2" w:color="918585"/>
      </w:pBdr>
      <w:tabs>
        <w:tab w:val="left" w:pos="1021"/>
      </w:tabs>
      <w:ind w:firstLine="0"/>
    </w:pPr>
  </w:style>
  <w:style w:type="paragraph" w:customStyle="1" w:styleId="Warning">
    <w:name w:val="Warning"/>
    <w:basedOn w:val="BodyText"/>
    <w:rsid w:val="00B85D76"/>
    <w:pPr>
      <w:shd w:val="clear" w:color="auto" w:fill="D9D9D9"/>
      <w:tabs>
        <w:tab w:val="left" w:pos="992"/>
      </w:tabs>
      <w:ind w:left="119" w:right="119"/>
    </w:pPr>
    <w:rPr>
      <w:sz w:val="20"/>
    </w:rPr>
  </w:style>
  <w:style w:type="paragraph" w:customStyle="1" w:styleId="MarginIcons">
    <w:name w:val="Margin Icons"/>
    <w:basedOn w:val="BodyText"/>
    <w:rsid w:val="00B85D7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85D76"/>
    <w:rPr>
      <w:rFonts w:ascii="Courier New" w:hAnsi="Courier New"/>
    </w:rPr>
  </w:style>
  <w:style w:type="paragraph" w:customStyle="1" w:styleId="NoteBullet">
    <w:name w:val="Note Bullet"/>
    <w:basedOn w:val="Note"/>
    <w:rsid w:val="00B85D76"/>
    <w:pPr>
      <w:tabs>
        <w:tab w:val="clear" w:pos="680"/>
      </w:tabs>
      <w:spacing w:before="60" w:after="60"/>
    </w:pPr>
  </w:style>
  <w:style w:type="paragraph" w:customStyle="1" w:styleId="SubHeading2">
    <w:name w:val="SubHeading2"/>
    <w:basedOn w:val="HeadingBase"/>
    <w:rsid w:val="00B85D76"/>
    <w:pPr>
      <w:spacing w:before="240" w:after="60"/>
    </w:pPr>
    <w:rPr>
      <w:sz w:val="20"/>
    </w:rPr>
  </w:style>
  <w:style w:type="paragraph" w:customStyle="1" w:styleId="SubHeading1">
    <w:name w:val="SubHeading1"/>
    <w:basedOn w:val="HeadingBase"/>
    <w:rsid w:val="00B85D76"/>
    <w:pPr>
      <w:spacing w:before="240" w:after="60"/>
    </w:pPr>
    <w:rPr>
      <w:color w:val="918585"/>
      <w:sz w:val="22"/>
    </w:rPr>
  </w:style>
  <w:style w:type="paragraph" w:customStyle="1" w:styleId="SideHeading">
    <w:name w:val="Side Heading"/>
    <w:basedOn w:val="HeadingBase"/>
    <w:rsid w:val="00B85D7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85D76"/>
    <w:pPr>
      <w:numPr>
        <w:numId w:val="12"/>
      </w:numPr>
    </w:pPr>
  </w:style>
  <w:style w:type="paragraph" w:styleId="PlainText">
    <w:name w:val="Plain Text"/>
    <w:basedOn w:val="Normal"/>
    <w:link w:val="PlainTextChar"/>
    <w:rsid w:val="00B85D76"/>
    <w:rPr>
      <w:sz w:val="20"/>
    </w:rPr>
  </w:style>
  <w:style w:type="character" w:customStyle="1" w:styleId="PlainTextChar">
    <w:name w:val="Plain Text Char"/>
    <w:basedOn w:val="DefaultParagraphFont"/>
    <w:link w:val="PlainText"/>
    <w:rsid w:val="00B85D76"/>
    <w:rPr>
      <w:rFonts w:ascii="Courier New" w:eastAsia="Times New Roman" w:hAnsi="Courier New" w:cs="Times New Roman"/>
      <w:sz w:val="20"/>
      <w:szCs w:val="20"/>
      <w:lang w:eastAsia="en-US"/>
    </w:rPr>
  </w:style>
  <w:style w:type="character" w:customStyle="1" w:styleId="MenuOption">
    <w:name w:val="Menu Option"/>
    <w:basedOn w:val="DefaultParagraphFont"/>
    <w:rsid w:val="00B85D76"/>
    <w:rPr>
      <w:b/>
      <w:smallCaps/>
    </w:rPr>
  </w:style>
  <w:style w:type="paragraph" w:customStyle="1" w:styleId="TableListNumber">
    <w:name w:val="Table List Number"/>
    <w:basedOn w:val="ListNumber"/>
    <w:rsid w:val="00B85D76"/>
    <w:pPr>
      <w:numPr>
        <w:numId w:val="0"/>
      </w:numPr>
    </w:pPr>
  </w:style>
  <w:style w:type="paragraph" w:styleId="TOC4">
    <w:name w:val="toc 4"/>
    <w:basedOn w:val="TOCBase"/>
    <w:next w:val="Normal"/>
    <w:semiHidden/>
    <w:rsid w:val="00B85D76"/>
    <w:pPr>
      <w:tabs>
        <w:tab w:val="right" w:leader="dot" w:pos="9071"/>
      </w:tabs>
      <w:ind w:left="1701"/>
    </w:pPr>
  </w:style>
  <w:style w:type="paragraph" w:customStyle="1" w:styleId="ListAlpha">
    <w:name w:val="List Alpha"/>
    <w:basedOn w:val="List"/>
    <w:rsid w:val="00B85D76"/>
    <w:pPr>
      <w:numPr>
        <w:numId w:val="9"/>
      </w:numPr>
    </w:pPr>
  </w:style>
  <w:style w:type="paragraph" w:customStyle="1" w:styleId="ListAlpha2">
    <w:name w:val="List Alpha 2"/>
    <w:basedOn w:val="List2"/>
    <w:rsid w:val="00B85D76"/>
    <w:pPr>
      <w:numPr>
        <w:numId w:val="8"/>
      </w:numPr>
    </w:pPr>
  </w:style>
  <w:style w:type="paragraph" w:styleId="List3">
    <w:name w:val="List 3"/>
    <w:basedOn w:val="BodyText"/>
    <w:rsid w:val="00B85D76"/>
    <w:pPr>
      <w:tabs>
        <w:tab w:val="left" w:pos="1021"/>
      </w:tabs>
      <w:spacing w:before="60" w:after="60"/>
      <w:ind w:left="1020" w:hanging="340"/>
    </w:pPr>
  </w:style>
  <w:style w:type="paragraph" w:styleId="List4">
    <w:name w:val="List 4"/>
    <w:basedOn w:val="BodyText"/>
    <w:rsid w:val="00B85D76"/>
    <w:pPr>
      <w:tabs>
        <w:tab w:val="left" w:pos="1361"/>
      </w:tabs>
      <w:spacing w:before="60" w:after="60"/>
      <w:ind w:left="1361" w:hanging="340"/>
    </w:pPr>
  </w:style>
  <w:style w:type="paragraph" w:styleId="List5">
    <w:name w:val="List 5"/>
    <w:basedOn w:val="BodyText"/>
    <w:rsid w:val="00B85D76"/>
    <w:pPr>
      <w:tabs>
        <w:tab w:val="left" w:pos="1701"/>
      </w:tabs>
      <w:spacing w:before="60" w:after="60"/>
      <w:ind w:left="1701" w:hanging="340"/>
    </w:pPr>
  </w:style>
  <w:style w:type="paragraph" w:styleId="ListBullet3">
    <w:name w:val="List Bullet 3"/>
    <w:basedOn w:val="List3"/>
    <w:rsid w:val="00B85D76"/>
    <w:pPr>
      <w:numPr>
        <w:numId w:val="15"/>
      </w:numPr>
      <w:tabs>
        <w:tab w:val="clear" w:pos="1021"/>
      </w:tabs>
      <w:ind w:left="1037" w:hanging="357"/>
    </w:pPr>
  </w:style>
  <w:style w:type="paragraph" w:styleId="ListBullet4">
    <w:name w:val="List Bullet 4"/>
    <w:basedOn w:val="List4"/>
    <w:rsid w:val="00B85D76"/>
    <w:pPr>
      <w:numPr>
        <w:numId w:val="3"/>
      </w:numPr>
    </w:pPr>
  </w:style>
  <w:style w:type="paragraph" w:styleId="ListBullet5">
    <w:name w:val="List Bullet 5"/>
    <w:basedOn w:val="List5"/>
    <w:rsid w:val="00B85D76"/>
    <w:pPr>
      <w:numPr>
        <w:numId w:val="4"/>
      </w:numPr>
    </w:pPr>
  </w:style>
  <w:style w:type="paragraph" w:styleId="ListContinue2">
    <w:name w:val="List Continue 2"/>
    <w:basedOn w:val="List2"/>
    <w:rsid w:val="00B85D76"/>
    <w:pPr>
      <w:ind w:firstLine="0"/>
    </w:pPr>
  </w:style>
  <w:style w:type="paragraph" w:styleId="ListContinue3">
    <w:name w:val="List Continue 3"/>
    <w:basedOn w:val="List3"/>
    <w:rsid w:val="00B85D76"/>
    <w:pPr>
      <w:ind w:left="1021" w:firstLine="0"/>
    </w:pPr>
  </w:style>
  <w:style w:type="paragraph" w:styleId="ListContinue4">
    <w:name w:val="List Continue 4"/>
    <w:basedOn w:val="List4"/>
    <w:rsid w:val="00B85D76"/>
    <w:pPr>
      <w:ind w:firstLine="0"/>
    </w:pPr>
  </w:style>
  <w:style w:type="paragraph" w:styleId="ListContinue5">
    <w:name w:val="List Continue 5"/>
    <w:basedOn w:val="List5"/>
    <w:rsid w:val="00B85D76"/>
    <w:pPr>
      <w:ind w:firstLine="0"/>
    </w:pPr>
  </w:style>
  <w:style w:type="paragraph" w:styleId="ListNumber3">
    <w:name w:val="List Number 3"/>
    <w:basedOn w:val="List3"/>
    <w:rsid w:val="00B85D76"/>
    <w:pPr>
      <w:numPr>
        <w:numId w:val="5"/>
      </w:numPr>
    </w:pPr>
  </w:style>
  <w:style w:type="paragraph" w:styleId="ListNumber4">
    <w:name w:val="List Number 4"/>
    <w:basedOn w:val="List4"/>
    <w:rsid w:val="00B85D76"/>
    <w:pPr>
      <w:numPr>
        <w:numId w:val="6"/>
      </w:numPr>
    </w:pPr>
  </w:style>
  <w:style w:type="paragraph" w:styleId="ListNumber5">
    <w:name w:val="List Number 5"/>
    <w:basedOn w:val="List5"/>
    <w:rsid w:val="00B85D76"/>
    <w:pPr>
      <w:numPr>
        <w:numId w:val="7"/>
      </w:numPr>
    </w:pPr>
  </w:style>
  <w:style w:type="paragraph" w:styleId="BlockText">
    <w:name w:val="Block Text"/>
    <w:basedOn w:val="Normal"/>
    <w:rsid w:val="00B85D76"/>
    <w:pPr>
      <w:spacing w:after="120"/>
      <w:ind w:left="1440" w:right="1440"/>
    </w:pPr>
  </w:style>
  <w:style w:type="character" w:customStyle="1" w:styleId="Subscript">
    <w:name w:val="Subscript"/>
    <w:basedOn w:val="DefaultParagraphFont"/>
    <w:rsid w:val="00B85D76"/>
    <w:rPr>
      <w:sz w:val="16"/>
      <w:vertAlign w:val="subscript"/>
    </w:rPr>
  </w:style>
  <w:style w:type="character" w:customStyle="1" w:styleId="Superscript">
    <w:name w:val="Superscript"/>
    <w:basedOn w:val="DefaultParagraphFont"/>
    <w:rsid w:val="00B85D76"/>
    <w:rPr>
      <w:sz w:val="16"/>
      <w:vertAlign w:val="superscript"/>
    </w:rPr>
  </w:style>
  <w:style w:type="character" w:customStyle="1" w:styleId="Symbols">
    <w:name w:val="Symbols"/>
    <w:basedOn w:val="DefaultParagraphFont"/>
    <w:rsid w:val="00B85D76"/>
    <w:rPr>
      <w:rFonts w:ascii="Symbol" w:hAnsi="Symbol"/>
    </w:rPr>
  </w:style>
  <w:style w:type="character" w:customStyle="1" w:styleId="MenuOptions">
    <w:name w:val="Menu Options"/>
    <w:basedOn w:val="DefaultParagraphFont"/>
    <w:rsid w:val="00B85D76"/>
    <w:rPr>
      <w:rFonts w:ascii="Arial Narrow" w:hAnsi="Arial Narrow"/>
      <w:smallCaps/>
    </w:rPr>
  </w:style>
  <w:style w:type="character" w:customStyle="1" w:styleId="Buttons">
    <w:name w:val="Buttons"/>
    <w:basedOn w:val="DefaultParagraphFont"/>
    <w:rsid w:val="00B85D76"/>
    <w:rPr>
      <w:b/>
    </w:rPr>
  </w:style>
  <w:style w:type="character" w:customStyle="1" w:styleId="Underlined">
    <w:name w:val="Underlined"/>
    <w:basedOn w:val="DefaultParagraphFont"/>
    <w:rsid w:val="00B85D76"/>
    <w:rPr>
      <w:u w:val="single"/>
    </w:rPr>
  </w:style>
  <w:style w:type="paragraph" w:customStyle="1" w:styleId="TableBodyTextRight">
    <w:name w:val="Table Body Text Right"/>
    <w:basedOn w:val="TableBodyText"/>
    <w:rsid w:val="00B85D76"/>
    <w:pPr>
      <w:widowControl w:val="0"/>
      <w:autoSpaceDE w:val="0"/>
      <w:autoSpaceDN w:val="0"/>
      <w:adjustRightInd w:val="0"/>
      <w:jc w:val="right"/>
    </w:pPr>
    <w:rPr>
      <w:rFonts w:cs="Arial"/>
      <w:szCs w:val="18"/>
    </w:rPr>
  </w:style>
  <w:style w:type="paragraph" w:customStyle="1" w:styleId="CopyrightText">
    <w:name w:val="Copyright Text"/>
    <w:basedOn w:val="BodyText"/>
    <w:rsid w:val="00B85D76"/>
    <w:rPr>
      <w:sz w:val="18"/>
    </w:rPr>
  </w:style>
  <w:style w:type="paragraph" w:customStyle="1" w:styleId="BodySmallRight">
    <w:name w:val="Body Small Right"/>
    <w:basedOn w:val="BodyTextRight"/>
    <w:rsid w:val="00B85D76"/>
    <w:rPr>
      <w:sz w:val="18"/>
      <w:szCs w:val="18"/>
    </w:rPr>
  </w:style>
  <w:style w:type="paragraph" w:customStyle="1" w:styleId="MarginEdition">
    <w:name w:val="Margin Edition"/>
    <w:basedOn w:val="MarginNote"/>
    <w:rsid w:val="00B85D76"/>
    <w:pPr>
      <w:spacing w:before="0" w:after="0"/>
    </w:pPr>
    <w:rPr>
      <w:rFonts w:ascii="Times New Roman" w:hAnsi="Times New Roman"/>
      <w:color w:val="999999"/>
    </w:rPr>
  </w:style>
  <w:style w:type="paragraph" w:customStyle="1" w:styleId="Spacer">
    <w:name w:val="Spacer"/>
    <w:basedOn w:val="Normal"/>
    <w:rsid w:val="00B85D76"/>
    <w:rPr>
      <w:sz w:val="2"/>
      <w:szCs w:val="2"/>
    </w:rPr>
  </w:style>
  <w:style w:type="character" w:customStyle="1" w:styleId="Small">
    <w:name w:val="Small"/>
    <w:basedOn w:val="DefaultParagraphFont"/>
    <w:rsid w:val="00B85D76"/>
    <w:rPr>
      <w:sz w:val="16"/>
    </w:rPr>
  </w:style>
  <w:style w:type="paragraph" w:customStyle="1" w:styleId="WideTable">
    <w:name w:val="Wide Table"/>
    <w:basedOn w:val="Normal"/>
    <w:rsid w:val="00B85D76"/>
    <w:pPr>
      <w:ind w:left="-1418"/>
    </w:pPr>
    <w:rPr>
      <w:sz w:val="2"/>
      <w:szCs w:val="2"/>
    </w:rPr>
  </w:style>
  <w:style w:type="character" w:styleId="PageNumber">
    <w:name w:val="page number"/>
    <w:basedOn w:val="DefaultParagraphFont"/>
    <w:rsid w:val="00B85D76"/>
  </w:style>
  <w:style w:type="paragraph" w:styleId="Quote">
    <w:name w:val="Quote"/>
    <w:basedOn w:val="Heading1"/>
    <w:link w:val="QuoteChar"/>
    <w:qFormat/>
    <w:rsid w:val="00B85D76"/>
    <w:rPr>
      <w:b w:val="0"/>
      <w:sz w:val="72"/>
      <w:szCs w:val="72"/>
      <w:lang w:val="en-NZ"/>
    </w:rPr>
  </w:style>
  <w:style w:type="character" w:customStyle="1" w:styleId="QuoteChar">
    <w:name w:val="Quote Char"/>
    <w:basedOn w:val="DefaultParagraphFont"/>
    <w:link w:val="Quote"/>
    <w:rsid w:val="00B85D7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85D76"/>
    <w:pPr>
      <w:pageBreakBefore/>
    </w:pPr>
  </w:style>
  <w:style w:type="paragraph" w:customStyle="1" w:styleId="Border">
    <w:name w:val="Border"/>
    <w:basedOn w:val="Normal"/>
    <w:qFormat/>
    <w:rsid w:val="00B85D7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85D76"/>
    <w:rPr>
      <w:b/>
      <w:bCs/>
      <w:i/>
      <w:iCs/>
      <w:color w:val="auto"/>
    </w:rPr>
  </w:style>
  <w:style w:type="paragraph" w:styleId="IntenseQuote">
    <w:name w:val="Intense Quote"/>
    <w:basedOn w:val="Normal"/>
    <w:next w:val="Normal"/>
    <w:link w:val="IntenseQuoteChar"/>
    <w:uiPriority w:val="30"/>
    <w:qFormat/>
    <w:rsid w:val="00B85D7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85D7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85D76"/>
    <w:rPr>
      <w:smallCaps/>
      <w:color w:val="auto"/>
      <w:u w:val="single"/>
    </w:rPr>
  </w:style>
  <w:style w:type="character" w:styleId="IntenseReference">
    <w:name w:val="Intense Reference"/>
    <w:basedOn w:val="DefaultParagraphFont"/>
    <w:uiPriority w:val="32"/>
    <w:qFormat/>
    <w:rsid w:val="00B85D76"/>
    <w:rPr>
      <w:b/>
      <w:bCs/>
      <w:smallCaps/>
      <w:color w:val="auto"/>
      <w:spacing w:val="5"/>
      <w:u w:val="single"/>
    </w:rPr>
  </w:style>
  <w:style w:type="paragraph" w:customStyle="1" w:styleId="2ColumnHeading">
    <w:name w:val="2Column Heading"/>
    <w:basedOn w:val="BodyText"/>
    <w:qFormat/>
    <w:rsid w:val="00B85D76"/>
    <w:pPr>
      <w:spacing w:after="60"/>
      <w:ind w:left="-2268"/>
    </w:pPr>
    <w:rPr>
      <w:b/>
    </w:rPr>
  </w:style>
  <w:style w:type="paragraph" w:customStyle="1" w:styleId="Heading1TOC">
    <w:name w:val="Heading1 TOC"/>
    <w:basedOn w:val="Normal"/>
    <w:qFormat/>
    <w:rsid w:val="00B85D76"/>
    <w:pPr>
      <w:spacing w:before="240" w:after="120"/>
    </w:pPr>
    <w:rPr>
      <w:rFonts w:ascii="Times New Roman" w:hAnsi="Times New Roman"/>
      <w:b/>
      <w:sz w:val="32"/>
    </w:rPr>
  </w:style>
  <w:style w:type="paragraph" w:customStyle="1" w:styleId="Heading2TOC">
    <w:name w:val="Heading2 TOC"/>
    <w:basedOn w:val="Normal"/>
    <w:qFormat/>
    <w:rsid w:val="00B85D76"/>
    <w:pPr>
      <w:spacing w:before="240" w:after="60"/>
    </w:pPr>
    <w:rPr>
      <w:rFonts w:ascii="Times New Roman" w:hAnsi="Times New Roman"/>
      <w:b/>
      <w:sz w:val="28"/>
    </w:rPr>
  </w:style>
  <w:style w:type="character" w:customStyle="1" w:styleId="Underline">
    <w:name w:val="Underline"/>
    <w:basedOn w:val="DefaultParagraphFont"/>
    <w:qFormat/>
    <w:rsid w:val="00B85D76"/>
    <w:rPr>
      <w:u w:val="single"/>
    </w:rPr>
  </w:style>
  <w:style w:type="paragraph" w:styleId="BalloonText">
    <w:name w:val="Balloon Text"/>
    <w:basedOn w:val="Normal"/>
    <w:link w:val="BalloonTextChar"/>
    <w:rsid w:val="00B85D76"/>
    <w:rPr>
      <w:rFonts w:ascii="Tahoma" w:hAnsi="Tahoma" w:cs="Tahoma"/>
      <w:sz w:val="16"/>
      <w:szCs w:val="16"/>
    </w:rPr>
  </w:style>
  <w:style w:type="character" w:customStyle="1" w:styleId="BalloonTextChar">
    <w:name w:val="Balloon Text Char"/>
    <w:basedOn w:val="DefaultParagraphFont"/>
    <w:link w:val="BalloonText"/>
    <w:rsid w:val="00B85D7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85D76"/>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B85D7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85D76"/>
    <w:rPr>
      <w:b/>
      <w:color w:val="660033"/>
      <w:spacing w:val="0"/>
    </w:rPr>
  </w:style>
  <w:style w:type="paragraph" w:customStyle="1" w:styleId="Nameditemlist">
    <w:name w:val="Named item list"/>
    <w:basedOn w:val="BodyText"/>
    <w:qFormat/>
    <w:rsid w:val="00B85D76"/>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1758</Words>
  <Characters>11395</Characters>
  <Application>Microsoft Office Word</Application>
  <DocSecurity>0</DocSecurity>
  <Lines>366</Lines>
  <Paragraphs>151</Paragraphs>
  <ScaleCrop>false</ScaleCrop>
  <Company>Author-it Software Corporation Ltd.</Company>
  <LinksUpToDate>false</LinksUpToDate>
  <CharactersWithSpaces>13073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CPCCBC5012A Manage the application and monitoring of energy conservation and management practices and processes</dc:title>
  <dc:subject>Approved</dc:subject>
  <dc:creator>Construction &amp; Property Services Industry Skills Council</dc:creator>
  <cp:keywords>Release: 1</cp:keywords>
  <dc:description>Copyright © 1996-2007 Author-it Software Corporation Ltd., all rights reserved.</dc:description>
  <cp:lastModifiedBy>TPCMS</cp:lastModifiedBy>
  <cp:revision>3</cp:revision>
  <dcterms:created xsi:type="dcterms:W3CDTF">2012-10-05T12:56:00Z</dcterms:created>
  <dcterms:modified xsi:type="dcterms:W3CDTF">2012-10-05T12:56:00Z</dcterms:modified>
</cp:coreProperties>
</file>