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77B0" w:rsidP="00E377B0">
      <w:pPr>
        <w:pStyle w:val="Title"/>
      </w:pPr>
      <w:bookmarkStart w:id="0" w:name="_GoBack"/>
      <w:bookmarkEnd w:id="0"/>
      <w:r>
        <w:fldChar w:fldCharType="begin"/>
      </w:r>
      <w:r>
        <w:instrText xml:space="preserve"> TITLE   \* MERGEFORMAT </w:instrText>
      </w:r>
      <w:r>
        <w:fldChar w:fldCharType="separate"/>
      </w:r>
      <w:r>
        <w:t>CPCCBC5011A Manage environmental management practices and processes in building and construction</w:t>
      </w:r>
      <w:r>
        <w:fldChar w:fldCharType="end"/>
      </w:r>
    </w:p>
    <w:p w:rsidR="00E377B0" w:rsidP="00E377B0">
      <w:pPr>
        <w:pStyle w:val="Version"/>
        <w:sectPr w:rsidSect="001F2B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2B61" w:rsidP="001F2B61">
      <w:pPr>
        <w:pStyle w:val="SuperHeading"/>
      </w:pPr>
      <w:r w:rsidRPr="001F2B61">
        <w:t>CPCCBC5011A Manage environmental management practices and processes in building and construction</w:t>
      </w:r>
    </w:p>
    <w:p w:rsidR="00000000" w:rsidRPr="001F2B61" w:rsidP="001F2B61">
      <w:pPr>
        <w:pStyle w:val="Heading1"/>
      </w:pPr>
      <w:bookmarkStart w:id="1" w:name="O_269457"/>
      <w:bookmarkEnd w:id="1"/>
      <w:r w:rsidRPr="001F2B61">
        <w:t>Modification History</w:t>
      </w:r>
    </w:p>
    <w:p w:rsidR="00000000" w:rsidRPr="001F2B61" w:rsidP="001F2B61">
      <w:pPr>
        <w:pStyle w:val="BodyText"/>
      </w:pPr>
      <w:r w:rsidRPr="001F2B61">
        <w:t>Not Applicable</w:t>
      </w:r>
    </w:p>
    <w:p w:rsidR="00000000" w:rsidRPr="001F2B61" w:rsidP="001F2B61">
      <w:pPr>
        <w:pStyle w:val="AllowPageBreak"/>
      </w:pPr>
    </w:p>
    <w:p w:rsidR="00000000" w:rsidRPr="001F2B61" w:rsidP="001F2B61">
      <w:pPr>
        <w:pStyle w:val="Heading1"/>
      </w:pPr>
      <w:bookmarkStart w:id="2" w:name="O_197059"/>
      <w:bookmarkEnd w:id="2"/>
      <w:r w:rsidRPr="001F2B61">
        <w:t>Unit Descriptor</w:t>
      </w:r>
    </w:p>
    <w:tbl>
      <w:tblPr>
        <w:tblW w:w="0" w:type="auto"/>
        <w:tblLayout w:type="fixed"/>
        <w:tblCellMar>
          <w:left w:w="62" w:type="dxa"/>
          <w:right w:w="62" w:type="dxa"/>
        </w:tblCellMar>
        <w:tblLook w:val="0000"/>
      </w:tblPr>
      <w:tblGrid>
        <w:gridCol w:w="2586"/>
        <w:gridCol w:w="5936"/>
      </w:tblGrid>
      <w:tr w:rsidTr="00E377B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1F2B61">
            <w:pPr>
              <w:pStyle w:val="BodyText"/>
              <w:rPr>
                <w:lang w:val="en-NZ"/>
              </w:rPr>
            </w:pPr>
            <w:r w:rsidRPr="001F2B61">
              <w:rPr>
                <w:rStyle w:val="SpecialBold"/>
              </w:rPr>
              <w:t>Unit descriptor</w:t>
            </w:r>
          </w:p>
        </w:tc>
        <w:tc>
          <w:tcPr>
            <w:tcW w:w="5936" w:type="dxa"/>
            <w:tcBorders>
              <w:top w:val="nil"/>
              <w:left w:val="nil"/>
              <w:bottom w:val="nil"/>
              <w:right w:val="nil"/>
            </w:tcBorders>
            <w:tcMar>
              <w:top w:w="0" w:type="dxa"/>
              <w:left w:w="62" w:type="dxa"/>
              <w:bottom w:w="0" w:type="dxa"/>
              <w:right w:w="62" w:type="dxa"/>
            </w:tcMar>
          </w:tcPr>
          <w:p w:rsidR="00000000" w:rsidRPr="001F2B61" w:rsidP="001F2B61">
            <w:pPr>
              <w:pStyle w:val="BodyText"/>
            </w:pPr>
            <w:r w:rsidRPr="001F2B61">
              <w:t xml:space="preserve">This unit of competency specifies the outcomes required to manage environmental management practices and processes in building and construction, as part of the organisation's overall management system. </w:t>
            </w:r>
          </w:p>
          <w:p w:rsidR="00000000" w:rsidRPr="001F2B61" w:rsidP="001F2B61">
            <w:pPr>
              <w:pStyle w:val="BodyText"/>
            </w:pPr>
            <w:r w:rsidRPr="001F2B61">
              <w:t>To successfully manag</w:t>
            </w:r>
            <w:r w:rsidRPr="001F2B61">
              <w:t>e practices and processes requires knowledge of current trends in environmental practices and methodologies, statistical analysis and legislative requirements.</w:t>
            </w:r>
          </w:p>
        </w:tc>
      </w:tr>
    </w:tbl>
    <w:p w:rsidR="00E377B0" w:rsidP="001F2B61">
      <w:pPr>
        <w:pStyle w:val="BodyText"/>
      </w:pPr>
    </w:p>
    <w:p w:rsidR="00E377B0" w:rsidP="001F2B61">
      <w:pPr>
        <w:pStyle w:val="BodyText"/>
      </w:pPr>
    </w:p>
    <w:p w:rsidR="00000000" w:rsidRPr="001F2B61" w:rsidP="001F2B61">
      <w:pPr>
        <w:pStyle w:val="Heading1"/>
      </w:pPr>
      <w:bookmarkStart w:id="3" w:name="O_197063"/>
      <w:bookmarkEnd w:id="3"/>
      <w:r w:rsidRPr="001F2B61">
        <w:t>Application of the Unit</w:t>
      </w:r>
    </w:p>
    <w:tbl>
      <w:tblPr>
        <w:tblW w:w="0" w:type="auto"/>
        <w:tblLayout w:type="fixed"/>
        <w:tblCellMar>
          <w:left w:w="62" w:type="dxa"/>
          <w:right w:w="62" w:type="dxa"/>
        </w:tblCellMar>
        <w:tblLook w:val="0000"/>
      </w:tblPr>
      <w:tblGrid>
        <w:gridCol w:w="2677"/>
        <w:gridCol w:w="5845"/>
      </w:tblGrid>
      <w:tr w:rsidTr="00E377B0">
        <w:tblPrEx>
          <w:tblW w:w="0" w:type="auto"/>
          <w:tblLayout w:type="fixed"/>
          <w:tblCellMar>
            <w:left w:w="62" w:type="dxa"/>
            <w:right w:w="62" w:type="dxa"/>
          </w:tblCellMar>
          <w:tblLook w:val="0000"/>
        </w:tblPrEx>
        <w:trPr>
          <w:tblHeader/>
        </w:trPr>
        <w:tc>
          <w:tcPr>
            <w:tcW w:w="2677" w:type="dxa"/>
            <w:tcBorders>
              <w:top w:val="nil"/>
              <w:left w:val="nil"/>
              <w:bottom w:val="nil"/>
              <w:right w:val="nil"/>
            </w:tcBorders>
            <w:tcMar>
              <w:top w:w="0" w:type="dxa"/>
              <w:left w:w="62" w:type="dxa"/>
              <w:bottom w:w="0" w:type="dxa"/>
              <w:right w:w="62" w:type="dxa"/>
            </w:tcMar>
          </w:tcPr>
          <w:p w:rsidR="00000000" w:rsidP="001F2B61">
            <w:pPr>
              <w:pStyle w:val="BodyText"/>
              <w:rPr>
                <w:lang w:val="en-NZ"/>
              </w:rPr>
            </w:pPr>
            <w:r w:rsidRPr="001F2B61">
              <w:rPr>
                <w:rStyle w:val="SpecialBold"/>
              </w:rPr>
              <w:t>Application of the unit</w:t>
            </w:r>
          </w:p>
        </w:tc>
        <w:tc>
          <w:tcPr>
            <w:tcW w:w="5845" w:type="dxa"/>
            <w:tcBorders>
              <w:top w:val="nil"/>
              <w:left w:val="nil"/>
              <w:bottom w:val="nil"/>
              <w:right w:val="nil"/>
            </w:tcBorders>
            <w:tcMar>
              <w:top w:w="0" w:type="dxa"/>
              <w:left w:w="62" w:type="dxa"/>
              <w:bottom w:w="0" w:type="dxa"/>
              <w:right w:w="62" w:type="dxa"/>
            </w:tcMar>
          </w:tcPr>
          <w:p w:rsidR="00000000" w:rsidRPr="001F2B61" w:rsidP="001F2B61">
            <w:pPr>
              <w:pStyle w:val="BodyText"/>
            </w:pPr>
            <w:r w:rsidRPr="001F2B61">
              <w:t xml:space="preserve">This unit of competency supports the needs of builders, senior managers and other construction industry professionals responsible for managing environmental practices and processes for medium rise building and construction projects. </w:t>
            </w:r>
          </w:p>
        </w:tc>
      </w:tr>
    </w:tbl>
    <w:p w:rsidR="00E377B0" w:rsidP="001F2B61">
      <w:pPr>
        <w:pStyle w:val="BodyText"/>
      </w:pPr>
    </w:p>
    <w:p w:rsidR="00E377B0" w:rsidP="001F2B61">
      <w:pPr>
        <w:pStyle w:val="BodyText"/>
      </w:pPr>
    </w:p>
    <w:p w:rsidR="00000000" w:rsidRPr="001F2B61" w:rsidP="001F2B61">
      <w:pPr>
        <w:pStyle w:val="Heading1"/>
      </w:pPr>
      <w:bookmarkStart w:id="4" w:name="O_277717"/>
      <w:bookmarkEnd w:id="4"/>
      <w:r w:rsidRPr="001F2B61">
        <w:t>Li</w:t>
      </w:r>
      <w:r w:rsidRPr="001F2B61">
        <w:t>censing/Regulatory Information</w:t>
      </w:r>
    </w:p>
    <w:p w:rsidR="00000000" w:rsidRPr="001F2B61" w:rsidP="001F2B61">
      <w:pPr>
        <w:pStyle w:val="BodyText"/>
      </w:pPr>
      <w:r w:rsidRPr="001F2B61">
        <w:t>Not Applicable</w:t>
      </w:r>
    </w:p>
    <w:p w:rsidR="00000000" w:rsidRPr="001F2B61" w:rsidP="001F2B61">
      <w:pPr>
        <w:pStyle w:val="AllowPageBreak"/>
      </w:pPr>
    </w:p>
    <w:p w:rsidR="00000000" w:rsidRPr="001F2B61" w:rsidP="001F2B61">
      <w:pPr>
        <w:pStyle w:val="Heading1"/>
      </w:pPr>
      <w:bookmarkStart w:id="5" w:name="O_197061"/>
      <w:bookmarkEnd w:id="5"/>
      <w:r w:rsidRPr="001F2B61">
        <w:t>Pre-Requisites</w:t>
      </w:r>
    </w:p>
    <w:tbl>
      <w:tblPr>
        <w:tblW w:w="0" w:type="auto"/>
        <w:tblLayout w:type="fixed"/>
        <w:tblCellMar>
          <w:left w:w="62" w:type="dxa"/>
          <w:right w:w="62" w:type="dxa"/>
        </w:tblCellMar>
        <w:tblLook w:val="0000"/>
      </w:tblPr>
      <w:tblGrid>
        <w:gridCol w:w="2690"/>
        <w:gridCol w:w="5832"/>
      </w:tblGrid>
      <w:tr w:rsidTr="00E377B0">
        <w:tblPrEx>
          <w:tblW w:w="0" w:type="auto"/>
          <w:tblLayout w:type="fixed"/>
          <w:tblCellMar>
            <w:left w:w="62" w:type="dxa"/>
            <w:right w:w="62" w:type="dxa"/>
          </w:tblCellMar>
          <w:tblLook w:val="0000"/>
        </w:tblPrEx>
        <w:trPr>
          <w:tblHeader/>
        </w:trPr>
        <w:tc>
          <w:tcPr>
            <w:tcW w:w="2690" w:type="dxa"/>
            <w:tcBorders>
              <w:top w:val="nil"/>
              <w:left w:val="nil"/>
              <w:bottom w:val="nil"/>
              <w:right w:val="nil"/>
            </w:tcBorders>
            <w:tcMar>
              <w:top w:w="0" w:type="dxa"/>
              <w:left w:w="62" w:type="dxa"/>
              <w:bottom w:w="0" w:type="dxa"/>
              <w:right w:w="62" w:type="dxa"/>
            </w:tcMar>
          </w:tcPr>
          <w:p w:rsidR="00000000" w:rsidP="001F2B61">
            <w:pPr>
              <w:pStyle w:val="BodyText"/>
              <w:rPr>
                <w:lang w:val="en-NZ"/>
              </w:rPr>
            </w:pPr>
            <w:r w:rsidRPr="001F2B61">
              <w:rPr>
                <w:rStyle w:val="SpecialBold"/>
              </w:rPr>
              <w:t>Prerequisite units</w:t>
            </w:r>
          </w:p>
        </w:tc>
        <w:tc>
          <w:tcPr>
            <w:tcW w:w="5832" w:type="dxa"/>
            <w:tcBorders>
              <w:top w:val="nil"/>
              <w:left w:val="nil"/>
              <w:bottom w:val="nil"/>
              <w:right w:val="nil"/>
            </w:tcBorders>
            <w:tcMar>
              <w:top w:w="0" w:type="dxa"/>
              <w:left w:w="62" w:type="dxa"/>
              <w:bottom w:w="0" w:type="dxa"/>
              <w:right w:w="62" w:type="dxa"/>
            </w:tcMar>
          </w:tcPr>
          <w:p w:rsidR="00000000" w:rsidRPr="001F2B61" w:rsidP="001F2B61">
            <w:pPr>
              <w:pStyle w:val="BodyText"/>
            </w:pPr>
            <w:r w:rsidRPr="001F2B61">
              <w:t>Nil</w:t>
            </w:r>
          </w:p>
        </w:tc>
      </w:tr>
    </w:tbl>
    <w:p w:rsidR="00E377B0" w:rsidP="001F2B61">
      <w:pPr>
        <w:pStyle w:val="BodyText"/>
      </w:pPr>
    </w:p>
    <w:p w:rsidR="00E377B0" w:rsidP="001F2B61">
      <w:pPr>
        <w:pStyle w:val="BodyText"/>
      </w:pPr>
    </w:p>
    <w:p w:rsidR="00000000" w:rsidRPr="001F2B61" w:rsidP="001F2B61">
      <w:pPr>
        <w:pStyle w:val="Heading1"/>
      </w:pPr>
      <w:bookmarkStart w:id="6" w:name="O_197060"/>
      <w:bookmarkEnd w:id="6"/>
      <w:r w:rsidRPr="001F2B61">
        <w:t>Employability Skills Information</w:t>
      </w:r>
    </w:p>
    <w:tbl>
      <w:tblPr>
        <w:tblW w:w="0" w:type="auto"/>
        <w:tblLayout w:type="fixed"/>
        <w:tblCellMar>
          <w:left w:w="62" w:type="dxa"/>
          <w:right w:w="62" w:type="dxa"/>
        </w:tblCellMar>
        <w:tblLook w:val="0000"/>
      </w:tblPr>
      <w:tblGrid>
        <w:gridCol w:w="2724"/>
        <w:gridCol w:w="5798"/>
      </w:tblGrid>
      <w:tr w:rsidTr="00E377B0">
        <w:tblPrEx>
          <w:tblW w:w="0" w:type="auto"/>
          <w:tblLayout w:type="fixed"/>
          <w:tblCellMar>
            <w:left w:w="62" w:type="dxa"/>
            <w:right w:w="62" w:type="dxa"/>
          </w:tblCellMar>
          <w:tblLook w:val="0000"/>
        </w:tblPrEx>
        <w:trPr>
          <w:tblHeader/>
        </w:trPr>
        <w:tc>
          <w:tcPr>
            <w:tcW w:w="2724" w:type="dxa"/>
            <w:tcBorders>
              <w:top w:val="nil"/>
              <w:left w:val="nil"/>
              <w:bottom w:val="nil"/>
              <w:right w:val="nil"/>
            </w:tcBorders>
            <w:tcMar>
              <w:top w:w="0" w:type="dxa"/>
              <w:left w:w="62" w:type="dxa"/>
              <w:bottom w:w="0" w:type="dxa"/>
              <w:right w:w="62" w:type="dxa"/>
            </w:tcMar>
          </w:tcPr>
          <w:p w:rsidR="00000000" w:rsidP="001F2B61">
            <w:pPr>
              <w:pStyle w:val="BodyText"/>
              <w:rPr>
                <w:lang w:val="en-NZ"/>
              </w:rPr>
            </w:pPr>
            <w:r w:rsidRPr="001F2B61">
              <w:rPr>
                <w:rStyle w:val="SpecialBold"/>
              </w:rPr>
              <w:t>Employability skills</w:t>
            </w:r>
          </w:p>
        </w:tc>
        <w:tc>
          <w:tcPr>
            <w:tcW w:w="5798" w:type="dxa"/>
            <w:tcBorders>
              <w:top w:val="nil"/>
              <w:left w:val="nil"/>
              <w:bottom w:val="nil"/>
              <w:right w:val="nil"/>
            </w:tcBorders>
            <w:tcMar>
              <w:top w:w="0" w:type="dxa"/>
              <w:left w:w="62" w:type="dxa"/>
              <w:bottom w:w="0" w:type="dxa"/>
              <w:right w:w="62" w:type="dxa"/>
            </w:tcMar>
          </w:tcPr>
          <w:p w:rsidR="00000000" w:rsidRPr="001F2B61" w:rsidP="001F2B61">
            <w:pPr>
              <w:pStyle w:val="BodyText"/>
            </w:pPr>
            <w:r w:rsidRPr="001F2B61">
              <w:t>This unit contains employability skills.</w:t>
            </w:r>
          </w:p>
        </w:tc>
      </w:tr>
    </w:tbl>
    <w:p w:rsidR="00E377B0" w:rsidP="001F2B61">
      <w:pPr>
        <w:pStyle w:val="BodyText"/>
      </w:pPr>
    </w:p>
    <w:p w:rsidR="00E377B0" w:rsidP="001F2B61">
      <w:pPr>
        <w:pStyle w:val="BodyText"/>
      </w:pPr>
    </w:p>
    <w:p w:rsidR="00000000" w:rsidRPr="001F2B61" w:rsidP="001F2B61">
      <w:pPr>
        <w:pStyle w:val="Heading1"/>
      </w:pPr>
      <w:bookmarkStart w:id="7" w:name="O_287503"/>
      <w:bookmarkEnd w:id="7"/>
      <w:r w:rsidRPr="001F2B61">
        <w:t>Elements and Performance Criteria Pre-Content</w:t>
      </w:r>
    </w:p>
    <w:tbl>
      <w:tblPr>
        <w:tblW w:w="0" w:type="auto"/>
        <w:tblLayout w:type="fixed"/>
        <w:tblCellMar>
          <w:left w:w="62" w:type="dxa"/>
          <w:right w:w="62" w:type="dxa"/>
        </w:tblCellMar>
        <w:tblLook w:val="0000"/>
      </w:tblPr>
      <w:tblGrid>
        <w:gridCol w:w="2542"/>
        <w:gridCol w:w="5980"/>
      </w:tblGrid>
      <w:tr w:rsidTr="00E377B0">
        <w:tblPrEx>
          <w:tblW w:w="0" w:type="auto"/>
          <w:tblLayout w:type="fixed"/>
          <w:tblCellMar>
            <w:left w:w="62" w:type="dxa"/>
            <w:right w:w="62" w:type="dxa"/>
          </w:tblCellMar>
          <w:tblLook w:val="0000"/>
        </w:tblPrEx>
        <w:tc>
          <w:tcPr>
            <w:tcW w:w="2542" w:type="dxa"/>
            <w:tcBorders>
              <w:top w:val="single" w:sz="6" w:space="0" w:color="auto"/>
              <w:left w:val="nil"/>
              <w:bottom w:val="nil"/>
              <w:right w:val="nil"/>
            </w:tcBorders>
            <w:tcMar>
              <w:top w:w="0" w:type="dxa"/>
              <w:left w:w="62" w:type="dxa"/>
              <w:bottom w:w="0" w:type="dxa"/>
              <w:right w:w="62" w:type="dxa"/>
            </w:tcMar>
          </w:tcPr>
          <w:p w:rsidR="00000000" w:rsidP="001F2B61">
            <w:pPr>
              <w:pStyle w:val="BodyText"/>
              <w:rPr>
                <w:lang w:val="en-NZ"/>
              </w:rPr>
            </w:pPr>
            <w:r w:rsidRPr="001F2B61">
              <w:t>Elements describe the essential outcomes of a unit of competency.</w:t>
            </w:r>
          </w:p>
        </w:tc>
        <w:tc>
          <w:tcPr>
            <w:tcW w:w="5980" w:type="dxa"/>
            <w:tcBorders>
              <w:top w:val="single" w:sz="6" w:space="0" w:color="auto"/>
              <w:left w:val="nil"/>
              <w:bottom w:val="nil"/>
              <w:right w:val="nil"/>
            </w:tcBorders>
            <w:tcMar>
              <w:top w:w="0" w:type="dxa"/>
              <w:left w:w="62" w:type="dxa"/>
              <w:bottom w:w="0" w:type="dxa"/>
              <w:right w:w="62" w:type="dxa"/>
            </w:tcMar>
          </w:tcPr>
          <w:p w:rsidR="00000000" w:rsidRPr="001F2B61" w:rsidP="001F2B61">
            <w:pPr>
              <w:pStyle w:val="BodyText"/>
            </w:pPr>
            <w:r w:rsidRPr="001F2B61">
              <w:t>Performance criteria describe the performance needed to demonstrate achievement of the element. Where bold italicised text is used, further info</w:t>
            </w:r>
            <w:r w:rsidRPr="001F2B61">
              <w:t>rmation is detailed in the required skills and knowledge section and the range statement. Assessment of performance is to be consistent with the evidence guide.</w:t>
            </w:r>
          </w:p>
        </w:tc>
      </w:tr>
    </w:tbl>
    <w:p w:rsidR="00000000" w:rsidRPr="001F2B61" w:rsidP="001F2B61">
      <w:pPr>
        <w:pStyle w:val="BodyText"/>
      </w:pPr>
    </w:p>
    <w:p w:rsidR="00000000" w:rsidRPr="001F2B61" w:rsidP="001F2B61">
      <w:pPr>
        <w:pStyle w:val="AllowPageBreak"/>
      </w:pPr>
    </w:p>
    <w:p w:rsidR="00000000" w:rsidRPr="001F2B61" w:rsidP="001F2B61">
      <w:pPr>
        <w:pStyle w:val="Heading1"/>
      </w:pPr>
      <w:bookmarkStart w:id="8" w:name="O_234170"/>
      <w:bookmarkEnd w:id="8"/>
      <w:r w:rsidRPr="001F2B61">
        <w:t>Elements and Performance Criteria</w:t>
      </w:r>
    </w:p>
    <w:tbl>
      <w:tblPr>
        <w:tblW w:w="0" w:type="auto"/>
        <w:tblLayout w:type="fixed"/>
        <w:tblCellMar>
          <w:left w:w="62" w:type="dxa"/>
          <w:right w:w="62" w:type="dxa"/>
        </w:tblCellMar>
        <w:tblLook w:val="0000"/>
      </w:tblPr>
      <w:tblGrid>
        <w:gridCol w:w="2542"/>
        <w:gridCol w:w="5980"/>
      </w:tblGrid>
      <w:tr w:rsidTr="00E377B0">
        <w:tblPrEx>
          <w:tblW w:w="0" w:type="auto"/>
          <w:tblLayout w:type="fixed"/>
          <w:tblCellMar>
            <w:left w:w="62" w:type="dxa"/>
            <w:right w:w="62" w:type="dxa"/>
          </w:tblCellMar>
          <w:tblLook w:val="0000"/>
        </w:tblPrEx>
        <w:trPr>
          <w:tblHeader/>
        </w:trPr>
        <w:tc>
          <w:tcPr>
            <w:tcW w:w="2542" w:type="dxa"/>
            <w:tcBorders>
              <w:top w:val="nil"/>
              <w:left w:val="nil"/>
              <w:bottom w:val="single" w:sz="6" w:space="0" w:color="auto"/>
              <w:right w:val="nil"/>
            </w:tcBorders>
            <w:tcMar>
              <w:top w:w="0" w:type="dxa"/>
              <w:left w:w="62" w:type="dxa"/>
              <w:bottom w:w="0" w:type="dxa"/>
              <w:right w:w="62" w:type="dxa"/>
            </w:tcMar>
          </w:tcPr>
          <w:p w:rsidR="00000000" w:rsidRPr="001F2B61" w:rsidP="001F2B61">
            <w:pPr>
              <w:pStyle w:val="BodyText"/>
            </w:pPr>
            <w:r w:rsidRPr="001F2B61">
              <w:rPr>
                <w:rStyle w:val="SpecialBold"/>
              </w:rPr>
              <w:t>ELEMENT</w:t>
            </w:r>
          </w:p>
        </w:tc>
        <w:tc>
          <w:tcPr>
            <w:tcW w:w="5980" w:type="dxa"/>
            <w:tcBorders>
              <w:top w:val="nil"/>
              <w:left w:val="nil"/>
              <w:bottom w:val="single" w:sz="6" w:space="0" w:color="auto"/>
              <w:right w:val="nil"/>
            </w:tcBorders>
            <w:tcMar>
              <w:top w:w="0" w:type="dxa"/>
              <w:left w:w="62" w:type="dxa"/>
              <w:bottom w:w="0" w:type="dxa"/>
              <w:right w:w="62" w:type="dxa"/>
            </w:tcMar>
          </w:tcPr>
          <w:p w:rsidR="00000000" w:rsidP="001F2B61">
            <w:pPr>
              <w:pStyle w:val="BodyText"/>
              <w:rPr>
                <w:lang w:val="en-NZ"/>
              </w:rPr>
            </w:pPr>
            <w:r w:rsidRPr="001F2B61">
              <w:rPr>
                <w:rStyle w:val="SpecialBold"/>
              </w:rPr>
              <w:t>PERFORMANCE CRITERIA</w:t>
            </w:r>
          </w:p>
        </w:tc>
      </w:tr>
      <w:tr w:rsidTr="00E377B0">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1F2B61">
            <w:pPr>
              <w:pStyle w:val="List"/>
              <w:rPr>
                <w:lang w:val="en-NZ"/>
              </w:rPr>
            </w:pPr>
            <w:r w:rsidRPr="001F2B61">
              <w:t>1.</w:t>
            </w:r>
            <w:r w:rsidRPr="001F2B61">
              <w:tab/>
            </w:r>
            <w:r w:rsidRPr="001F2B61">
              <w:t>Prepare an environmental management plan for the organisation.</w:t>
            </w:r>
          </w:p>
        </w:tc>
        <w:tc>
          <w:tcPr>
            <w:tcW w:w="5980" w:type="dxa"/>
            <w:tcBorders>
              <w:top w:val="nil"/>
              <w:left w:val="nil"/>
              <w:bottom w:val="nil"/>
              <w:right w:val="nil"/>
            </w:tcBorders>
            <w:tcMar>
              <w:top w:w="0" w:type="dxa"/>
              <w:left w:w="62" w:type="dxa"/>
              <w:bottom w:w="0" w:type="dxa"/>
              <w:right w:w="62" w:type="dxa"/>
            </w:tcMar>
          </w:tcPr>
          <w:p w:rsidR="00000000" w:rsidRPr="001F2B61" w:rsidP="001F2B61">
            <w:pPr>
              <w:pStyle w:val="List2"/>
            </w:pPr>
            <w:r w:rsidRPr="001F2B61">
              <w:t>1.1.</w:t>
            </w:r>
            <w:r w:rsidRPr="001F2B61">
              <w:tab/>
              <w:t>Current shifts in environmental legislation or regulations are analysed in relation to their potential impact on the organisation.</w:t>
            </w:r>
          </w:p>
          <w:p w:rsidR="00000000" w:rsidRPr="001F2B61" w:rsidP="001F2B61">
            <w:pPr>
              <w:pStyle w:val="List2"/>
            </w:pPr>
            <w:r w:rsidRPr="001F2B61">
              <w:t>1.2.</w:t>
            </w:r>
            <w:r w:rsidRPr="001F2B61">
              <w:tab/>
            </w:r>
            <w:r w:rsidRPr="001F2B61">
              <w:rPr>
                <w:rStyle w:val="BoldandItalics"/>
              </w:rPr>
              <w:t>Best practice and benchmarking methods</w:t>
            </w:r>
            <w:r w:rsidRPr="001F2B61">
              <w:t xml:space="preserve"> are used to determine current environmental management performance. </w:t>
            </w:r>
          </w:p>
          <w:p w:rsidR="00000000" w:rsidRPr="001F2B61" w:rsidP="001F2B61">
            <w:pPr>
              <w:pStyle w:val="List2"/>
            </w:pPr>
            <w:r w:rsidRPr="001F2B61">
              <w:t>1.3.</w:t>
            </w:r>
            <w:r w:rsidRPr="001F2B61">
              <w:tab/>
              <w:t>Project environmental obligations and management requirements are analysed.</w:t>
            </w:r>
          </w:p>
          <w:p w:rsidR="00000000" w:rsidRPr="001F2B61" w:rsidP="001F2B61">
            <w:pPr>
              <w:pStyle w:val="List2"/>
            </w:pPr>
            <w:r w:rsidRPr="001F2B61">
              <w:t>1.4.</w:t>
            </w:r>
            <w:r w:rsidRPr="001F2B61">
              <w:tab/>
            </w:r>
            <w:r w:rsidRPr="001F2B61">
              <w:rPr>
                <w:rStyle w:val="BoldandItalics"/>
              </w:rPr>
              <w:t>Environmental management plan</w:t>
            </w:r>
            <w:r w:rsidRPr="001F2B61">
              <w:t xml:space="preserve"> is prepared on the basis of available information. </w:t>
            </w:r>
          </w:p>
          <w:p w:rsidR="00000000" w:rsidP="001F2B61">
            <w:pPr>
              <w:pStyle w:val="List2"/>
              <w:rPr>
                <w:lang w:val="en-NZ"/>
              </w:rPr>
            </w:pPr>
            <w:r w:rsidRPr="001F2B61">
              <w:t>1.5.</w:t>
            </w:r>
            <w:r w:rsidRPr="001F2B61">
              <w:tab/>
              <w:t>Senior manage</w:t>
            </w:r>
            <w:r w:rsidRPr="001F2B61">
              <w:t>ment advice concerning implementation of plan is sought as required.</w:t>
            </w:r>
          </w:p>
        </w:tc>
      </w:tr>
      <w:tr w:rsidTr="00E377B0">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1F2B61">
            <w:pPr>
              <w:pStyle w:val="List"/>
              <w:rPr>
                <w:lang w:val="en-NZ"/>
              </w:rPr>
            </w:pPr>
            <w:r w:rsidRPr="001F2B61">
              <w:t>2.</w:t>
            </w:r>
            <w:r w:rsidRPr="001F2B61">
              <w:tab/>
              <w:t>Manage implementation of environmental management plan.</w:t>
            </w:r>
          </w:p>
        </w:tc>
        <w:tc>
          <w:tcPr>
            <w:tcW w:w="5980" w:type="dxa"/>
            <w:tcBorders>
              <w:top w:val="nil"/>
              <w:left w:val="nil"/>
              <w:bottom w:val="nil"/>
              <w:right w:val="nil"/>
            </w:tcBorders>
            <w:tcMar>
              <w:top w:w="0" w:type="dxa"/>
              <w:left w:w="62" w:type="dxa"/>
              <w:bottom w:w="0" w:type="dxa"/>
              <w:right w:w="62" w:type="dxa"/>
            </w:tcMar>
          </w:tcPr>
          <w:p w:rsidR="00000000" w:rsidRPr="001F2B61" w:rsidP="001F2B61">
            <w:pPr>
              <w:pStyle w:val="List2"/>
            </w:pPr>
            <w:r w:rsidRPr="001F2B61">
              <w:t>2.1.</w:t>
            </w:r>
            <w:r w:rsidRPr="001F2B61">
              <w:tab/>
              <w:t>Staff and contractors are informed of their obligations in implementing the environmental planning process and are monitor</w:t>
            </w:r>
            <w:r w:rsidRPr="001F2B61">
              <w:t>ed for compliance.</w:t>
            </w:r>
          </w:p>
          <w:p w:rsidR="00000000" w:rsidRPr="001F2B61" w:rsidP="001F2B61">
            <w:pPr>
              <w:pStyle w:val="List2"/>
            </w:pPr>
            <w:r w:rsidRPr="001F2B61">
              <w:t>2.2.</w:t>
            </w:r>
            <w:r w:rsidRPr="001F2B61">
              <w:tab/>
            </w:r>
            <w:r w:rsidRPr="001F2B61">
              <w:rPr>
                <w:rStyle w:val="BoldandItalics"/>
              </w:rPr>
              <w:t>Environmental data gathering systems</w:t>
            </w:r>
            <w:r w:rsidRPr="001F2B61">
              <w:t xml:space="preserve"> are evaluated, changes are made as necessary, and system is managed for maximum efficiency and accuracy. </w:t>
            </w:r>
          </w:p>
          <w:p w:rsidR="00000000" w:rsidRPr="001F2B61" w:rsidP="001F2B61">
            <w:pPr>
              <w:pStyle w:val="List2"/>
            </w:pPr>
            <w:r w:rsidRPr="001F2B61">
              <w:t>2.3.</w:t>
            </w:r>
            <w:r w:rsidRPr="001F2B61">
              <w:tab/>
              <w:t>New projects are evaluated to determine their impact on existing environmental plann</w:t>
            </w:r>
            <w:r w:rsidRPr="001F2B61">
              <w:t>ing obligations.</w:t>
            </w:r>
          </w:p>
          <w:p w:rsidR="00000000" w:rsidRPr="001F2B61" w:rsidP="001F2B61">
            <w:pPr>
              <w:pStyle w:val="List2"/>
            </w:pPr>
            <w:r w:rsidRPr="001F2B61">
              <w:t>2.4.</w:t>
            </w:r>
            <w:r w:rsidRPr="001F2B61">
              <w:tab/>
              <w:t>Local authorities and regulatory bodies are contacted where the plan requires ongoing external monitoring or overseeing.</w:t>
            </w:r>
          </w:p>
          <w:p w:rsidR="00000000" w:rsidRPr="001F2B61" w:rsidP="001F2B61">
            <w:pPr>
              <w:pStyle w:val="List2"/>
            </w:pPr>
            <w:r w:rsidRPr="001F2B61">
              <w:t>2.5.</w:t>
            </w:r>
            <w:r w:rsidRPr="001F2B61">
              <w:tab/>
              <w:t>Information concerning updates to the environmental management plan is communicated to staff and stakeholder</w:t>
            </w:r>
            <w:r w:rsidRPr="001F2B61">
              <w:t>s.</w:t>
            </w:r>
          </w:p>
          <w:p w:rsidR="00000000" w:rsidP="001F2B61">
            <w:pPr>
              <w:pStyle w:val="List2"/>
              <w:rPr>
                <w:lang w:val="en-NZ"/>
              </w:rPr>
            </w:pPr>
            <w:r w:rsidRPr="001F2B61">
              <w:t>2.6.</w:t>
            </w:r>
            <w:r w:rsidRPr="001F2B61">
              <w:tab/>
              <w:t>Environmental management plan evaluation strategy is developed and managed to ensure that the organisation remains on track in the event of changing circumstances.</w:t>
            </w:r>
          </w:p>
        </w:tc>
      </w:tr>
      <w:tr w:rsidTr="00E377B0">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1F2B61">
            <w:pPr>
              <w:pStyle w:val="List"/>
              <w:rPr>
                <w:lang w:val="en-NZ"/>
              </w:rPr>
            </w:pPr>
            <w:r w:rsidRPr="001F2B61">
              <w:t>3.</w:t>
            </w:r>
            <w:r w:rsidRPr="001F2B61">
              <w:tab/>
              <w:t>Monitor environmental management plan to ensure that it meets organisational leg</w:t>
            </w:r>
            <w:r w:rsidRPr="001F2B61">
              <w:t>al obligations.</w:t>
            </w:r>
          </w:p>
        </w:tc>
        <w:tc>
          <w:tcPr>
            <w:tcW w:w="5980" w:type="dxa"/>
            <w:tcBorders>
              <w:top w:val="nil"/>
              <w:left w:val="nil"/>
              <w:bottom w:val="nil"/>
              <w:right w:val="nil"/>
            </w:tcBorders>
            <w:tcMar>
              <w:top w:w="0" w:type="dxa"/>
              <w:left w:w="62" w:type="dxa"/>
              <w:bottom w:w="0" w:type="dxa"/>
              <w:right w:w="62" w:type="dxa"/>
            </w:tcMar>
          </w:tcPr>
          <w:p w:rsidR="00000000" w:rsidRPr="001F2B61" w:rsidP="001F2B61">
            <w:pPr>
              <w:pStyle w:val="List2"/>
            </w:pPr>
            <w:r w:rsidRPr="001F2B61">
              <w:t>3.1.</w:t>
            </w:r>
            <w:r w:rsidRPr="001F2B61">
              <w:tab/>
              <w:t xml:space="preserve">Organisational </w:t>
            </w:r>
            <w:r w:rsidRPr="001F2B61">
              <w:rPr>
                <w:rStyle w:val="BoldandItalics"/>
              </w:rPr>
              <w:t>feedback systems</w:t>
            </w:r>
            <w:r w:rsidRPr="001F2B61">
              <w:t xml:space="preserve"> are implemented and managed to assist conformance and management of plan. </w:t>
            </w:r>
          </w:p>
          <w:p w:rsidR="00000000" w:rsidRPr="001F2B61" w:rsidP="001F2B61">
            <w:pPr>
              <w:pStyle w:val="List2"/>
            </w:pPr>
            <w:r w:rsidRPr="001F2B61">
              <w:t>3.2.</w:t>
            </w:r>
            <w:r w:rsidRPr="001F2B61">
              <w:tab/>
              <w:t>Regular feedback is obtained concerning the operations of the environmental management plan to assist the organisation to m</w:t>
            </w:r>
            <w:r w:rsidRPr="001F2B61">
              <w:t>eet its legal obligations.</w:t>
            </w:r>
          </w:p>
          <w:p w:rsidR="00000000" w:rsidRPr="001F2B61" w:rsidP="001F2B61">
            <w:pPr>
              <w:pStyle w:val="List2"/>
            </w:pPr>
            <w:r w:rsidRPr="001F2B61">
              <w:t>3.3.</w:t>
            </w:r>
            <w:r w:rsidRPr="001F2B61">
              <w:tab/>
              <w:t>Where necessary, legally required auditing practices to ensure probity and accountability towards legislative requirements are managed and maintained.</w:t>
            </w:r>
          </w:p>
          <w:p w:rsidR="00000000" w:rsidRPr="001F2B61" w:rsidP="001F2B61">
            <w:pPr>
              <w:pStyle w:val="List2"/>
            </w:pPr>
            <w:r w:rsidRPr="001F2B61">
              <w:t>3.4.</w:t>
            </w:r>
            <w:r w:rsidRPr="001F2B61">
              <w:tab/>
              <w:t>Contact with contractors is maintained and their compliance with env</w:t>
            </w:r>
            <w:r w:rsidRPr="001F2B61">
              <w:t>ironmental management requirements is monitored.</w:t>
            </w:r>
          </w:p>
          <w:p w:rsidR="00000000" w:rsidP="001F2B61">
            <w:pPr>
              <w:pStyle w:val="List2"/>
              <w:rPr>
                <w:lang w:val="en-NZ"/>
              </w:rPr>
            </w:pPr>
            <w:r w:rsidRPr="001F2B61">
              <w:t>3.5.</w:t>
            </w:r>
            <w:r w:rsidRPr="001F2B61">
              <w:tab/>
              <w:t>Emergency and remediation response strategies are implemented as necessary to assist compliance with the environmental management plan.</w:t>
            </w:r>
          </w:p>
        </w:tc>
      </w:tr>
      <w:tr w:rsidTr="00E377B0">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1F2B61">
            <w:pPr>
              <w:pStyle w:val="List"/>
              <w:rPr>
                <w:lang w:val="en-NZ"/>
              </w:rPr>
            </w:pPr>
            <w:r w:rsidRPr="001F2B61">
              <w:t>4.</w:t>
            </w:r>
            <w:r w:rsidRPr="001F2B61">
              <w:tab/>
            </w:r>
            <w:r w:rsidRPr="001F2B61">
              <w:t>Evaluate and recommend changes to environmental management plan.</w:t>
            </w:r>
          </w:p>
        </w:tc>
        <w:tc>
          <w:tcPr>
            <w:tcW w:w="5980" w:type="dxa"/>
            <w:tcBorders>
              <w:top w:val="nil"/>
              <w:left w:val="nil"/>
              <w:bottom w:val="nil"/>
              <w:right w:val="nil"/>
            </w:tcBorders>
            <w:tcMar>
              <w:top w:w="0" w:type="dxa"/>
              <w:left w:w="62" w:type="dxa"/>
              <w:bottom w:w="0" w:type="dxa"/>
              <w:right w:w="62" w:type="dxa"/>
            </w:tcMar>
          </w:tcPr>
          <w:p w:rsidR="00000000" w:rsidRPr="001F2B61" w:rsidP="001F2B61">
            <w:pPr>
              <w:pStyle w:val="List2"/>
            </w:pPr>
            <w:r w:rsidRPr="001F2B61">
              <w:t>4.1.</w:t>
            </w:r>
            <w:r w:rsidRPr="001F2B61">
              <w:tab/>
              <w:t>Environmental management plan is reviewed to identify areas that need improvement, and action is taken.</w:t>
            </w:r>
          </w:p>
          <w:p w:rsidR="00000000" w:rsidRPr="001F2B61" w:rsidP="001F2B61">
            <w:pPr>
              <w:pStyle w:val="List2"/>
            </w:pPr>
            <w:r w:rsidRPr="001F2B61">
              <w:t>4.2.</w:t>
            </w:r>
            <w:r w:rsidRPr="001F2B61">
              <w:tab/>
              <w:t xml:space="preserve">Measures are introduced to assist staff to suggest more efficient procedures </w:t>
            </w:r>
            <w:r w:rsidRPr="001F2B61">
              <w:t>and innovations to improve the performance of the environmental management plan.</w:t>
            </w:r>
          </w:p>
          <w:p w:rsidR="00000000" w:rsidRPr="001F2B61" w:rsidP="001F2B61">
            <w:pPr>
              <w:pStyle w:val="List2"/>
            </w:pPr>
            <w:r w:rsidRPr="001F2B61">
              <w:t>4.3.</w:t>
            </w:r>
            <w:r w:rsidRPr="001F2B61">
              <w:tab/>
              <w:t>Plans are redrafted to include improvements or address deficiencies found during the monitoring.</w:t>
            </w:r>
          </w:p>
          <w:p w:rsidR="00000000" w:rsidRPr="001F2B61" w:rsidP="001F2B61">
            <w:pPr>
              <w:pStyle w:val="List2"/>
            </w:pPr>
            <w:r w:rsidRPr="001F2B61">
              <w:t>4.4.</w:t>
            </w:r>
            <w:r w:rsidRPr="001F2B61">
              <w:tab/>
              <w:t>Revised plans are submitted for endorsement by senior management and</w:t>
            </w:r>
            <w:r w:rsidRPr="001F2B61">
              <w:t xml:space="preserve"> procedures are changed accordingly.</w:t>
            </w:r>
          </w:p>
        </w:tc>
      </w:tr>
    </w:tbl>
    <w:p w:rsidR="00E377B0" w:rsidP="001F2B61">
      <w:pPr>
        <w:pStyle w:val="BodyText"/>
      </w:pPr>
    </w:p>
    <w:p w:rsidR="00E377B0" w:rsidP="001F2B61">
      <w:pPr>
        <w:pStyle w:val="BodyText"/>
      </w:pPr>
    </w:p>
    <w:p w:rsidR="00000000" w:rsidRPr="001F2B61" w:rsidP="001F2B61">
      <w:pPr>
        <w:pStyle w:val="Heading1"/>
      </w:pPr>
      <w:bookmarkStart w:id="9" w:name="O_258120"/>
      <w:bookmarkEnd w:id="9"/>
      <w:r w:rsidRPr="001F2B61">
        <w:t>Required Skills and Knowledge</w:t>
      </w:r>
    </w:p>
    <w:tbl>
      <w:tblPr>
        <w:tblW w:w="0" w:type="auto"/>
        <w:tblLayout w:type="fixed"/>
        <w:tblCellMar>
          <w:left w:w="62" w:type="dxa"/>
          <w:right w:w="62" w:type="dxa"/>
        </w:tblCellMar>
        <w:tblLook w:val="0000"/>
      </w:tblPr>
      <w:tblGrid>
        <w:gridCol w:w="8522"/>
      </w:tblGrid>
      <w:tr w:rsidTr="00E377B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F2B61">
            <w:pPr>
              <w:pStyle w:val="BodyText"/>
              <w:rPr>
                <w:lang w:val="en-NZ"/>
              </w:rPr>
            </w:pPr>
            <w:r w:rsidRPr="001F2B61">
              <w:rPr>
                <w:rStyle w:val="SpecialBold"/>
              </w:rPr>
              <w:t>REQUIRED SKILLS AND KNOWLEDGE</w:t>
            </w:r>
          </w:p>
        </w:tc>
      </w:tr>
      <w:tr w:rsidTr="00E377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F2B61">
            <w:pPr>
              <w:pStyle w:val="BodyText"/>
              <w:rPr>
                <w:lang w:val="en-NZ"/>
              </w:rPr>
            </w:pPr>
            <w:r w:rsidRPr="001F2B61">
              <w:t>This section describes the skills and knowledge required for this unit.</w:t>
            </w:r>
          </w:p>
        </w:tc>
      </w:tr>
      <w:tr w:rsidTr="00E377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F2B61">
            <w:pPr>
              <w:pStyle w:val="BodyText"/>
              <w:rPr>
                <w:lang w:val="en-NZ"/>
              </w:rPr>
            </w:pPr>
            <w:r w:rsidRPr="001F2B61">
              <w:rPr>
                <w:rStyle w:val="SpecialBold"/>
              </w:rPr>
              <w:t>Required skills</w:t>
            </w:r>
          </w:p>
        </w:tc>
      </w:tr>
      <w:tr w:rsidTr="00E377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F2B61" w:rsidP="001F2B61">
            <w:pPr>
              <w:pStyle w:val="BodyText"/>
            </w:pPr>
            <w:r w:rsidRPr="001F2B61">
              <w:t>Required skills for this u</w:t>
            </w:r>
            <w:r w:rsidRPr="001F2B61">
              <w:t>nit are:</w:t>
            </w:r>
          </w:p>
          <w:p w:rsidR="00000000" w:rsidRPr="001F2B61" w:rsidP="001F2B61">
            <w:pPr>
              <w:pStyle w:val="ListBullet"/>
            </w:pPr>
            <w:r w:rsidRPr="001F2B61">
              <w:t>analytical skills, including the ability to assess variations in environmental management performance and identify reasons for those variations</w:t>
            </w:r>
          </w:p>
          <w:p w:rsidR="00000000" w:rsidRPr="001F2B61" w:rsidP="001F2B61">
            <w:pPr>
              <w:pStyle w:val="ListBullet"/>
            </w:pPr>
            <w:r w:rsidRPr="001F2B61">
              <w:t>communication skills to:</w:t>
            </w:r>
          </w:p>
          <w:p w:rsidR="00000000" w:rsidRPr="001F2B61" w:rsidP="001F2B61">
            <w:pPr>
              <w:pStyle w:val="ListBullet2"/>
            </w:pPr>
            <w:r w:rsidRPr="001F2B61">
              <w:t>enable clear and direct</w:t>
            </w:r>
            <w:r w:rsidRPr="001F2B61">
              <w:t xml:space="preserve"> communication, using questioning to identify and confirm requirements, share information, listen and understand</w:t>
            </w:r>
          </w:p>
          <w:p w:rsidR="00000000" w:rsidRPr="001F2B61" w:rsidP="001F2B61">
            <w:pPr>
              <w:pStyle w:val="ListBullet2"/>
            </w:pPr>
            <w:r w:rsidRPr="001F2B61">
              <w:t>liaise with subcontractors, staff and clients, as well as with local or regulatory authorities on matters relating to site conditions or approv</w:t>
            </w:r>
            <w:r w:rsidRPr="001F2B61">
              <w:t>als</w:t>
            </w:r>
          </w:p>
          <w:p w:rsidR="00000000" w:rsidRPr="001F2B61" w:rsidP="001F2B61">
            <w:pPr>
              <w:pStyle w:val="ListBullet2"/>
            </w:pPr>
            <w:r w:rsidRPr="001F2B61">
              <w:t>notify personnel of meetings</w:t>
            </w:r>
          </w:p>
          <w:p w:rsidR="00000000" w:rsidRPr="001F2B61" w:rsidP="001F2B61">
            <w:pPr>
              <w:pStyle w:val="ListBullet2"/>
            </w:pPr>
            <w:r w:rsidRPr="001F2B61">
              <w:t>read and interpret:</w:t>
            </w:r>
          </w:p>
          <w:p w:rsidR="00000000" w:rsidRPr="001F2B61" w:rsidP="001F2B61">
            <w:pPr>
              <w:pStyle w:val="ListBullet3"/>
            </w:pPr>
            <w:r w:rsidRPr="001F2B61">
              <w:t>documentation from a variety of sources</w:t>
            </w:r>
          </w:p>
          <w:p w:rsidR="00000000" w:rsidRPr="001F2B61" w:rsidP="001F2B61">
            <w:pPr>
              <w:pStyle w:val="ListBullet3"/>
            </w:pPr>
            <w:r w:rsidRPr="001F2B61">
              <w:t>plans, specifications and drawings</w:t>
            </w:r>
          </w:p>
          <w:p w:rsidR="00000000" w:rsidRPr="001F2B61" w:rsidP="001F2B61">
            <w:pPr>
              <w:pStyle w:val="ListBullet2"/>
            </w:pPr>
            <w:r w:rsidRPr="001F2B61">
              <w:t>use and interpret non-verbal communication</w:t>
            </w:r>
          </w:p>
          <w:p w:rsidR="00000000" w:rsidRPr="001F2B61" w:rsidP="001F2B61">
            <w:pPr>
              <w:pStyle w:val="ListBullet2"/>
            </w:pPr>
            <w:r w:rsidRPr="001F2B61">
              <w:t>use language and concepts appropriate to cultural differences</w:t>
            </w:r>
          </w:p>
          <w:p w:rsidR="00000000" w:rsidRPr="001F2B61" w:rsidP="001F2B61">
            <w:pPr>
              <w:pStyle w:val="ListBullet2"/>
            </w:pPr>
            <w:r w:rsidRPr="001F2B61">
              <w:t>written skills to:</w:t>
            </w:r>
          </w:p>
          <w:p w:rsidR="00000000" w:rsidRPr="001F2B61" w:rsidP="001F2B61">
            <w:pPr>
              <w:pStyle w:val="ListBullet3"/>
            </w:pPr>
            <w:r w:rsidRPr="001F2B61">
              <w:t>complete site communication requirements</w:t>
            </w:r>
          </w:p>
          <w:p w:rsidR="00000000" w:rsidRPr="001F2B61" w:rsidP="001F2B61">
            <w:pPr>
              <w:pStyle w:val="ListBullet3"/>
            </w:pPr>
            <w:r w:rsidRPr="001F2B61">
              <w:t>record and report relevant information</w:t>
            </w:r>
          </w:p>
          <w:p w:rsidR="00000000" w:rsidRPr="001F2B61" w:rsidP="001F2B61">
            <w:pPr>
              <w:pStyle w:val="ListBullet"/>
            </w:pPr>
            <w:r w:rsidRPr="001F2B61">
              <w:t>numeracy skills to apply calculations</w:t>
            </w:r>
          </w:p>
          <w:p w:rsidR="00000000" w:rsidRPr="001F2B61" w:rsidP="001F2B61">
            <w:pPr>
              <w:pStyle w:val="ListBullet"/>
            </w:pPr>
            <w:r w:rsidRPr="001F2B61">
              <w:t>evaluation skills to evaluate previous environmental management performance and identify strengths and weaknesses of the process</w:t>
            </w:r>
          </w:p>
          <w:p w:rsidR="00000000" w:rsidRPr="001F2B61" w:rsidP="001F2B61">
            <w:pPr>
              <w:pStyle w:val="ListBullet"/>
            </w:pPr>
            <w:r w:rsidRPr="001F2B61">
              <w:t>managemen</w:t>
            </w:r>
            <w:r w:rsidRPr="001F2B61">
              <w:t>t skills, including the ability to develop and implement environmental management plans that improve organisational compliance with environmental obligations and responsibilities</w:t>
            </w:r>
          </w:p>
          <w:p w:rsidR="00000000" w:rsidRPr="001F2B61" w:rsidP="001F2B61">
            <w:pPr>
              <w:pStyle w:val="ListBullet"/>
            </w:pPr>
            <w:r w:rsidRPr="001F2B61">
              <w:t>problem solving skills, including the ability to identify environmental manag</w:t>
            </w:r>
            <w:r w:rsidRPr="001F2B61">
              <w:t>ement issues and address these before they become contentious or dangerous</w:t>
            </w:r>
          </w:p>
          <w:p w:rsidR="00000000" w:rsidP="001F2B61">
            <w:pPr>
              <w:pStyle w:val="ListBullet"/>
              <w:rPr>
                <w:lang w:val="en-NZ"/>
              </w:rPr>
            </w:pPr>
            <w:r w:rsidRPr="001F2B61">
              <w:t>staff management skills to effectively manage personnel in the administration of organisational environmental management systems.</w:t>
            </w:r>
          </w:p>
        </w:tc>
      </w:tr>
      <w:tr w:rsidTr="00E377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F2B61">
            <w:pPr>
              <w:pStyle w:val="BodyText"/>
              <w:rPr>
                <w:lang w:val="en-NZ"/>
              </w:rPr>
            </w:pPr>
            <w:r w:rsidRPr="001F2B61">
              <w:rPr>
                <w:rStyle w:val="SpecialBold"/>
              </w:rPr>
              <w:t>Required knowledge</w:t>
            </w:r>
          </w:p>
        </w:tc>
      </w:tr>
      <w:tr w:rsidTr="00E377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F2B61" w:rsidP="001F2B61">
            <w:pPr>
              <w:pStyle w:val="BodyText"/>
            </w:pPr>
            <w:r w:rsidRPr="001F2B61">
              <w:t>Required knowledge for this unit is:</w:t>
            </w:r>
          </w:p>
          <w:p w:rsidR="00000000" w:rsidRPr="001F2B61" w:rsidP="001F2B61">
            <w:pPr>
              <w:pStyle w:val="ListBullet"/>
            </w:pPr>
            <w:r w:rsidRPr="001F2B61">
              <w:t>benchmarking and the establishment of environmental goals</w:t>
            </w:r>
          </w:p>
          <w:p w:rsidR="00000000" w:rsidRPr="001F2B61" w:rsidP="001F2B61">
            <w:pPr>
              <w:pStyle w:val="ListBullet"/>
            </w:pPr>
            <w:r w:rsidRPr="001F2B61">
              <w:t>current trends in environmental management and controls</w:t>
            </w:r>
          </w:p>
          <w:p w:rsidR="00000000" w:rsidRPr="001F2B61" w:rsidP="001F2B61">
            <w:pPr>
              <w:pStyle w:val="ListBullet"/>
            </w:pPr>
            <w:r w:rsidRPr="001F2B61">
              <w:t>environmental management practices and methodologies</w:t>
            </w:r>
          </w:p>
          <w:p w:rsidR="00000000" w:rsidRPr="001F2B61" w:rsidP="001F2B61">
            <w:pPr>
              <w:pStyle w:val="ListBullet"/>
            </w:pPr>
            <w:r w:rsidRPr="001F2B61">
              <w:t>legal and regulatory obligations implicit in environ</w:t>
            </w:r>
            <w:r w:rsidRPr="001F2B61">
              <w:t>mental requirements</w:t>
            </w:r>
          </w:p>
          <w:p w:rsidR="00000000" w:rsidRPr="001F2B61" w:rsidP="001F2B61">
            <w:pPr>
              <w:pStyle w:val="ListBullet"/>
            </w:pPr>
            <w:r w:rsidRPr="001F2B61">
              <w:t>penalties for various breaches of environmental obligations and conformance requirements</w:t>
            </w:r>
          </w:p>
          <w:p w:rsidR="00000000" w:rsidRPr="001F2B61" w:rsidP="001F2B61">
            <w:pPr>
              <w:pStyle w:val="ListBullet"/>
            </w:pPr>
            <w:r w:rsidRPr="001F2B61">
              <w:t>relevant licensing arrangements</w:t>
            </w:r>
          </w:p>
          <w:p w:rsidR="00000000" w:rsidRPr="001F2B61" w:rsidP="001F2B61">
            <w:pPr>
              <w:pStyle w:val="ListBullet"/>
            </w:pPr>
            <w:r w:rsidRPr="001F2B61">
              <w:t>statistical analysis methodologies.</w:t>
            </w:r>
          </w:p>
        </w:tc>
      </w:tr>
    </w:tbl>
    <w:p w:rsidR="00E377B0" w:rsidP="001F2B61">
      <w:pPr>
        <w:pStyle w:val="BodyText"/>
      </w:pPr>
    </w:p>
    <w:p w:rsidR="00E377B0" w:rsidP="001F2B61">
      <w:pPr>
        <w:pStyle w:val="BodyText"/>
      </w:pPr>
    </w:p>
    <w:p w:rsidR="00000000" w:rsidRPr="001F2B61" w:rsidP="001F2B61">
      <w:pPr>
        <w:pStyle w:val="AllowPageBreak"/>
      </w:pPr>
    </w:p>
    <w:p w:rsidR="00000000" w:rsidRPr="001F2B61" w:rsidP="001F2B61">
      <w:pPr>
        <w:pStyle w:val="Heading1"/>
      </w:pPr>
      <w:bookmarkStart w:id="10" w:name="O_242154"/>
      <w:bookmarkEnd w:id="10"/>
      <w:r w:rsidRPr="001F2B61">
        <w:t>Evidence Guide</w:t>
      </w:r>
    </w:p>
    <w:tbl>
      <w:tblPr>
        <w:tblW w:w="0" w:type="auto"/>
        <w:tblLayout w:type="fixed"/>
        <w:tblCellMar>
          <w:left w:w="62" w:type="dxa"/>
          <w:right w:w="62" w:type="dxa"/>
        </w:tblCellMar>
        <w:tblLook w:val="0000"/>
      </w:tblPr>
      <w:tblGrid>
        <w:gridCol w:w="3500"/>
        <w:gridCol w:w="5022"/>
      </w:tblGrid>
      <w:tr w:rsidTr="00E377B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F2B61">
            <w:pPr>
              <w:pStyle w:val="BodyText"/>
              <w:rPr>
                <w:lang w:val="en-NZ"/>
              </w:rPr>
            </w:pPr>
            <w:r w:rsidRPr="001F2B61">
              <w:rPr>
                <w:rStyle w:val="SpecialBold"/>
              </w:rPr>
              <w:t>EVIDENCE GUIDE</w:t>
            </w:r>
          </w:p>
        </w:tc>
      </w:tr>
      <w:tr w:rsidTr="00E377B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F2B61">
            <w:pPr>
              <w:pStyle w:val="BodyText"/>
              <w:rPr>
                <w:lang w:val="en-NZ"/>
              </w:rPr>
            </w:pPr>
            <w:r w:rsidRPr="001F2B61">
              <w:t>The evidence guide provides advice on assessment and must be read in conjunction with the performance criteria, required skills and knowledge, range statement and the Assessment Guidelines for the Training Package.</w:t>
            </w:r>
          </w:p>
        </w:tc>
      </w:tr>
      <w:tr w:rsidTr="00E377B0">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1F2B61">
            <w:pPr>
              <w:pStyle w:val="BodyText"/>
              <w:rPr>
                <w:lang w:val="en-NZ"/>
              </w:rPr>
            </w:pPr>
            <w:r w:rsidRPr="001F2B61">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1F2B61" w:rsidP="001F2B61">
            <w:pPr>
              <w:pStyle w:val="BodyText"/>
            </w:pPr>
            <w:r w:rsidRPr="001F2B61">
              <w:t>This unit of competency could be assessed by effective management of building or construction environmental management practices and processes in medium rise building or construction projects.</w:t>
            </w:r>
          </w:p>
          <w:p w:rsidR="00000000" w:rsidP="001F2B61">
            <w:pPr>
              <w:pStyle w:val="BodyText"/>
              <w:rPr>
                <w:lang w:val="en-NZ"/>
              </w:rPr>
            </w:pPr>
            <w:r w:rsidRPr="001F2B61">
              <w:t>This unit of competency can be assessed in the workplace or a c</w:t>
            </w:r>
            <w:r w:rsidRPr="001F2B61">
              <w:t xml:space="preserve">lose simulation of the workplace environment, provided that simulated or project-based assessment techniques fully replicate construction workplace conditions, materials, activities, responsibilities and procedures. </w:t>
            </w:r>
          </w:p>
        </w:tc>
      </w:tr>
      <w:tr w:rsidTr="00E377B0">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1F2B61">
            <w:pPr>
              <w:pStyle w:val="BodyText"/>
              <w:rPr>
                <w:lang w:val="en-NZ"/>
              </w:rPr>
            </w:pPr>
            <w:r w:rsidRPr="001F2B61">
              <w:rPr>
                <w:rStyle w:val="SpecialBold"/>
              </w:rPr>
              <w:t>Critical aspects for assessment and ev</w:t>
            </w:r>
            <w:r w:rsidRPr="001F2B61">
              <w:rPr>
                <w:rStyle w:val="SpecialBold"/>
              </w:rPr>
              <w:t>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1F2B61" w:rsidP="001F2B61">
            <w:pPr>
              <w:pStyle w:val="BodyText"/>
            </w:pPr>
            <w:r w:rsidRPr="001F2B61">
              <w:t>A person who demonstrates competency in this unit must be able to provide evidence of the ability to:</w:t>
            </w:r>
          </w:p>
          <w:p w:rsidR="00000000" w:rsidRPr="001F2B61" w:rsidP="001F2B61">
            <w:pPr>
              <w:pStyle w:val="ListBullet"/>
            </w:pPr>
            <w:r w:rsidRPr="001F2B61">
              <w:t>develop effective environmental management action plans and strategies</w:t>
            </w:r>
          </w:p>
          <w:p w:rsidR="00000000" w:rsidRPr="001F2B61" w:rsidP="001F2B61">
            <w:pPr>
              <w:pStyle w:val="ListBullet"/>
            </w:pPr>
            <w:r w:rsidRPr="001F2B61">
              <w:t>determine the extent of effe</w:t>
            </w:r>
            <w:r w:rsidRPr="001F2B61">
              <w:t>ctive environmental management advice provided to the organisation</w:t>
            </w:r>
          </w:p>
          <w:p w:rsidR="00000000" w:rsidRPr="001F2B61" w:rsidP="001F2B61">
            <w:pPr>
              <w:pStyle w:val="ListBullet"/>
            </w:pPr>
            <w:r w:rsidRPr="001F2B61">
              <w:t>assess the effectiveness and efficiency of the environmental management recording and reporting systems and preparation of documentation to organisational standards</w:t>
            </w:r>
          </w:p>
          <w:p w:rsidR="00000000" w:rsidRPr="001F2B61" w:rsidP="001F2B61">
            <w:pPr>
              <w:pStyle w:val="ListBullet"/>
            </w:pPr>
            <w:r w:rsidRPr="001F2B61">
              <w:t>assess variations in env</w:t>
            </w:r>
            <w:r w:rsidRPr="001F2B61">
              <w:t>ironmental management performance</w:t>
            </w:r>
          </w:p>
          <w:p w:rsidR="00000000" w:rsidRPr="001F2B61" w:rsidP="001F2B61">
            <w:pPr>
              <w:pStyle w:val="ListBullet"/>
            </w:pPr>
            <w:r w:rsidRPr="001F2B61">
              <w:t>implement an effective process to manage improvements to organisational environmental management practices and to reduce the risk of non-conformance</w:t>
            </w:r>
          </w:p>
          <w:p w:rsidR="00000000" w:rsidRPr="001F2B61" w:rsidP="001F2B61">
            <w:pPr>
              <w:pStyle w:val="ListBullet"/>
            </w:pPr>
            <w:r w:rsidRPr="001F2B61">
              <w:t>comply with relevant legislative and regulatory requirements</w:t>
            </w:r>
          </w:p>
          <w:p w:rsidR="00000000" w:rsidP="001F2B61">
            <w:pPr>
              <w:pStyle w:val="ListBullet"/>
              <w:rPr>
                <w:lang w:val="en-NZ"/>
              </w:rPr>
            </w:pPr>
            <w:r w:rsidRPr="001F2B61">
              <w:t>research rel</w:t>
            </w:r>
            <w:r w:rsidRPr="001F2B61">
              <w:t>evant current trends in environmental management and controls.</w:t>
            </w:r>
          </w:p>
        </w:tc>
      </w:tr>
      <w:tr w:rsidTr="00E377B0">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1F2B61">
            <w:pPr>
              <w:pStyle w:val="BodyText"/>
              <w:rPr>
                <w:lang w:val="en-NZ"/>
              </w:rPr>
            </w:pPr>
            <w:r w:rsidRPr="001F2B61">
              <w:rPr>
                <w:rStyle w:val="SpecialBold"/>
              </w:rPr>
              <w:t>Context of and specific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1F2B61" w:rsidP="001F2B61">
            <w:pPr>
              <w:pStyle w:val="BodyText"/>
            </w:pPr>
            <w:r w:rsidRPr="001F2B61">
              <w:t>This competency is to be assessed using standard and authorised work practices, safety requirements and environmental constraints.</w:t>
            </w:r>
          </w:p>
          <w:p w:rsidR="00000000" w:rsidRPr="001F2B61" w:rsidP="001F2B61">
            <w:pPr>
              <w:pStyle w:val="BodyText"/>
            </w:pPr>
            <w:r w:rsidRPr="001F2B61">
              <w:t>Assessment of essential underpinning knowledge will usually be conducted in an off-site context.</w:t>
            </w:r>
          </w:p>
          <w:p w:rsidR="00000000" w:rsidRPr="001F2B61" w:rsidP="001F2B61">
            <w:pPr>
              <w:pStyle w:val="BodyText"/>
            </w:pPr>
            <w:r w:rsidRPr="001F2B61">
              <w:t>Assessment is to comply with relevant regulatory or Australian standards' requirements.</w:t>
            </w:r>
          </w:p>
          <w:p w:rsidR="00000000" w:rsidRPr="001F2B61" w:rsidP="001F2B61">
            <w:pPr>
              <w:pStyle w:val="BodyText"/>
            </w:pPr>
            <w:r w:rsidRPr="001F2B61">
              <w:t>Resource implications for assessment include:</w:t>
            </w:r>
          </w:p>
          <w:p w:rsidR="00000000" w:rsidRPr="001F2B61" w:rsidP="001F2B61">
            <w:pPr>
              <w:pStyle w:val="ListBullet"/>
            </w:pPr>
            <w:r w:rsidRPr="001F2B61">
              <w:t>documentation that should</w:t>
            </w:r>
            <w:r w:rsidRPr="001F2B61">
              <w:t xml:space="preserve"> normally be available in a building or construction office</w:t>
            </w:r>
          </w:p>
          <w:p w:rsidR="00000000" w:rsidRPr="001F2B61" w:rsidP="001F2B61">
            <w:pPr>
              <w:pStyle w:val="ListBullet"/>
            </w:pPr>
            <w:r w:rsidRPr="001F2B61">
              <w:t>relevant codes, standards and regulations</w:t>
            </w:r>
          </w:p>
          <w:p w:rsidR="00000000" w:rsidRPr="001F2B61" w:rsidP="001F2B61">
            <w:pPr>
              <w:pStyle w:val="ListBullet"/>
            </w:pPr>
            <w:r w:rsidRPr="001F2B61">
              <w:t>office equipment, including calculators, photocopiers and telephone systems</w:t>
            </w:r>
          </w:p>
          <w:p w:rsidR="00000000" w:rsidRPr="001F2B61" w:rsidP="001F2B61">
            <w:pPr>
              <w:pStyle w:val="ListBullet"/>
            </w:pPr>
            <w:r w:rsidRPr="001F2B61">
              <w:t>computers with appropriate software to view 2-D CAD drawings, run costing prog</w:t>
            </w:r>
            <w:r w:rsidRPr="001F2B61">
              <w:t>rams and print copies</w:t>
            </w:r>
          </w:p>
          <w:p w:rsidR="00000000" w:rsidRPr="001F2B61" w:rsidP="001F2B61">
            <w:pPr>
              <w:pStyle w:val="ListBullet"/>
            </w:pPr>
            <w:r w:rsidRPr="001F2B61">
              <w:t>a technical reference library with current publications on measurement, design, building construction and manufacturers' product literature</w:t>
            </w:r>
          </w:p>
          <w:p w:rsidR="00000000" w:rsidRPr="001F2B61" w:rsidP="001F2B61">
            <w:pPr>
              <w:pStyle w:val="ListBullet"/>
            </w:pPr>
            <w:r w:rsidRPr="001F2B61">
              <w:t>copies of appropriate awards and workplace agreements</w:t>
            </w:r>
          </w:p>
          <w:p w:rsidR="00000000" w:rsidRPr="001F2B61" w:rsidP="001F2B61">
            <w:pPr>
              <w:pStyle w:val="ListBullet"/>
            </w:pPr>
            <w:r w:rsidRPr="001F2B61">
              <w:t xml:space="preserve">a suitable work area appropriate to the </w:t>
            </w:r>
            <w:r w:rsidRPr="001F2B61">
              <w:t>construction process.</w:t>
            </w:r>
          </w:p>
          <w:p w:rsidR="00000000" w:rsidP="001F2B61">
            <w:pPr>
              <w:pStyle w:val="BodyText"/>
              <w:rPr>
                <w:lang w:val="en-NZ"/>
              </w:rPr>
            </w:pPr>
            <w:r w:rsidRPr="001F2B61">
              <w:t>Reasonable adjustments for people with disabilities must be made to assessment processes where required. This could include access to modified equipment and other physical resources, and the provision of appropriate assessment support</w:t>
            </w:r>
            <w:r w:rsidRPr="001F2B61">
              <w:t xml:space="preserve">. </w:t>
            </w:r>
          </w:p>
        </w:tc>
      </w:tr>
      <w:tr w:rsidTr="00E377B0">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1F2B61">
            <w:pPr>
              <w:pStyle w:val="BodyText"/>
              <w:rPr>
                <w:lang w:val="en-NZ"/>
              </w:rPr>
            </w:pPr>
            <w:r w:rsidRPr="001F2B61">
              <w:rPr>
                <w:rStyle w:val="SpecialBold"/>
              </w:rPr>
              <w:t>Method of assessment</w:t>
            </w:r>
          </w:p>
        </w:tc>
        <w:tc>
          <w:tcPr>
            <w:tcW w:w="5022" w:type="dxa"/>
            <w:tcBorders>
              <w:top w:val="nil"/>
              <w:left w:val="nil"/>
              <w:bottom w:val="nil"/>
              <w:right w:val="nil"/>
            </w:tcBorders>
            <w:tcMar>
              <w:top w:w="0" w:type="dxa"/>
              <w:left w:w="62" w:type="dxa"/>
              <w:bottom w:w="0" w:type="dxa"/>
              <w:right w:w="62" w:type="dxa"/>
            </w:tcMar>
          </w:tcPr>
          <w:p w:rsidR="00000000" w:rsidRPr="001F2B61" w:rsidP="001F2B61">
            <w:pPr>
              <w:pStyle w:val="BodyText"/>
            </w:pPr>
            <w:r w:rsidRPr="001F2B61">
              <w:t>Assessment methods must:</w:t>
            </w:r>
          </w:p>
          <w:p w:rsidR="00000000" w:rsidRPr="001F2B61" w:rsidP="001F2B61">
            <w:pPr>
              <w:pStyle w:val="ListBullet"/>
            </w:pPr>
            <w:r w:rsidRPr="001F2B61">
              <w:t>satisfy the endorsed Assessment Guidelines of the Construction, Plumbing and Services Training Package</w:t>
            </w:r>
          </w:p>
          <w:p w:rsidR="00000000" w:rsidRPr="001F2B61" w:rsidP="001F2B61">
            <w:pPr>
              <w:pStyle w:val="ListBullet"/>
            </w:pPr>
            <w:r w:rsidRPr="001F2B61">
              <w:t>include direct observation of tasks in real or simulated work conditions, with questioning to confirm t</w:t>
            </w:r>
            <w:r w:rsidRPr="001F2B61">
              <w:t>he ability to consistently identify and correctly interpret the essential underpinning knowledge required for practical application</w:t>
            </w:r>
          </w:p>
          <w:p w:rsidR="00000000" w:rsidRPr="001F2B61" w:rsidP="001F2B61">
            <w:pPr>
              <w:pStyle w:val="ListBullet"/>
            </w:pPr>
            <w:r w:rsidRPr="001F2B61">
              <w:t>reinforce the integration of employability skills with workplace tasks and job roles</w:t>
            </w:r>
          </w:p>
          <w:p w:rsidR="00000000" w:rsidRPr="001F2B61" w:rsidP="001F2B61">
            <w:pPr>
              <w:pStyle w:val="ListBullet"/>
            </w:pPr>
            <w:r w:rsidRPr="001F2B61">
              <w:t>confirm that competency is verified and able to be transferred to other circumstances and environments.</w:t>
            </w:r>
          </w:p>
          <w:p w:rsidR="00000000" w:rsidRPr="001F2B61" w:rsidP="001F2B61">
            <w:pPr>
              <w:pStyle w:val="BodyText"/>
            </w:pPr>
            <w:r w:rsidRPr="001F2B61">
              <w:t>Validity and sufficiency of evidence requires that:</w:t>
            </w:r>
          </w:p>
          <w:p w:rsidR="00000000" w:rsidRPr="001F2B61" w:rsidP="001F2B61">
            <w:pPr>
              <w:pStyle w:val="ListBullet"/>
            </w:pPr>
            <w:r w:rsidRPr="001F2B61">
              <w:t>competency will need to be demonstrated over a period of time reflecting the scope of the role and t</w:t>
            </w:r>
            <w:r w:rsidRPr="001F2B61">
              <w:t>he practical requirements of the workplace</w:t>
            </w:r>
          </w:p>
          <w:p w:rsidR="00000000" w:rsidRPr="001F2B61" w:rsidP="001F2B61">
            <w:pPr>
              <w:pStyle w:val="ListBullet"/>
            </w:pPr>
            <w:r w:rsidRPr="001F2B61">
              <w:t xml:space="preserve">where the assessment is part of a structured learning experience the evidence collected must relate to a number of performances assessed at different points in time and separated by further learning and practice, </w:t>
            </w:r>
            <w:r w:rsidRPr="001F2B61">
              <w:t>with a decision on competency only taken at the point when the assessor has complete confidence in the person's demonstrated ability and applied knowledge</w:t>
            </w:r>
          </w:p>
          <w:p w:rsidR="00000000" w:rsidRPr="001F2B61" w:rsidP="001F2B61">
            <w:pPr>
              <w:pStyle w:val="ListBullet"/>
            </w:pPr>
            <w:r w:rsidRPr="001F2B61">
              <w:t>all assessment that is part of a structured learning experience must include a combination of direct,</w:t>
            </w:r>
            <w:r w:rsidRPr="001F2B61">
              <w:t xml:space="preserve"> indirect and supplementary evidence.</w:t>
            </w:r>
          </w:p>
          <w:p w:rsidR="00000000" w:rsidRPr="001F2B61" w:rsidP="001F2B61">
            <w:pPr>
              <w:pStyle w:val="BodyText"/>
            </w:pPr>
            <w:r w:rsidRPr="001F2B61">
              <w:t>Assessment processes and techniques should as far as is practical take into account the language, literacy and numeracy capacity of the candidate in relation to the competency being assessed.</w:t>
            </w:r>
          </w:p>
          <w:p w:rsidR="00000000" w:rsidRPr="001F2B61" w:rsidP="001F2B61">
            <w:pPr>
              <w:pStyle w:val="BodyText"/>
            </w:pPr>
            <w:r w:rsidRPr="001F2B61">
              <w:t xml:space="preserve">Supplementary evidence of </w:t>
            </w:r>
            <w:r w:rsidRPr="001F2B61">
              <w:t xml:space="preserve">competency may be obtained from relevant authenticated documentation from third parties, such as existing supervisors, team leaders or specialist training staff. </w:t>
            </w:r>
          </w:p>
        </w:tc>
      </w:tr>
    </w:tbl>
    <w:p w:rsidR="00E377B0" w:rsidP="001F2B61">
      <w:pPr>
        <w:pStyle w:val="BodyText"/>
      </w:pPr>
    </w:p>
    <w:p w:rsidR="00E377B0" w:rsidP="001F2B61">
      <w:pPr>
        <w:pStyle w:val="BodyText"/>
      </w:pPr>
    </w:p>
    <w:p w:rsidR="00000000" w:rsidRPr="001F2B61" w:rsidP="001F2B61">
      <w:pPr>
        <w:pStyle w:val="Heading1"/>
      </w:pPr>
      <w:bookmarkStart w:id="11" w:name="O_250137"/>
      <w:bookmarkEnd w:id="11"/>
      <w:r w:rsidRPr="001F2B61">
        <w:t>Range Statement</w:t>
      </w:r>
    </w:p>
    <w:tbl>
      <w:tblPr>
        <w:tblW w:w="0" w:type="auto"/>
        <w:tblLayout w:type="fixed"/>
        <w:tblCellMar>
          <w:left w:w="62" w:type="dxa"/>
          <w:right w:w="62" w:type="dxa"/>
        </w:tblCellMar>
        <w:tblLook w:val="0000"/>
      </w:tblPr>
      <w:tblGrid>
        <w:gridCol w:w="3525"/>
        <w:gridCol w:w="4997"/>
      </w:tblGrid>
      <w:tr w:rsidTr="00E377B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F2B61">
            <w:pPr>
              <w:pStyle w:val="BodyText"/>
              <w:rPr>
                <w:lang w:val="en-NZ"/>
              </w:rPr>
            </w:pPr>
            <w:r w:rsidRPr="001F2B61">
              <w:rPr>
                <w:rStyle w:val="SpecialBold"/>
              </w:rPr>
              <w:t>RANGE STATEMENT</w:t>
            </w:r>
          </w:p>
        </w:tc>
      </w:tr>
      <w:tr w:rsidTr="00E377B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F2B61">
            <w:pPr>
              <w:pStyle w:val="BodyText"/>
              <w:rPr>
                <w:lang w:val="en-NZ"/>
              </w:rPr>
            </w:pPr>
            <w:r w:rsidRPr="001F2B61">
              <w:t>The range statement relates to the unit of competency as a whole. It allows for different work environments and situations that may affect performance. Bold italicised wording, if used in the performance criteria, is detailed below. Essential operating con</w:t>
            </w:r>
            <w:r w:rsidRPr="001F2B61">
              <w:t>ditions that may be present with training and assessment (depending on the work situation, needs of the candidate, accessibility of the item, and local industry and regional contexts) may also be included.</w:t>
            </w:r>
          </w:p>
        </w:tc>
      </w:tr>
      <w:tr w:rsidTr="00E377B0">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1F2B61">
            <w:pPr>
              <w:pStyle w:val="BodyText"/>
              <w:rPr>
                <w:lang w:val="en-NZ"/>
              </w:rPr>
            </w:pPr>
            <w:r w:rsidRPr="001F2B61">
              <w:rPr>
                <w:rStyle w:val="BoldandItalics"/>
              </w:rPr>
              <w:t>Best practice and benchmarking methods</w:t>
            </w:r>
            <w:r w:rsidRPr="001F2B61">
              <w:t xml:space="preserve"> include: </w:t>
            </w:r>
          </w:p>
        </w:tc>
        <w:tc>
          <w:tcPr>
            <w:tcW w:w="4997" w:type="dxa"/>
            <w:tcBorders>
              <w:top w:val="nil"/>
              <w:left w:val="nil"/>
              <w:bottom w:val="nil"/>
              <w:right w:val="nil"/>
            </w:tcBorders>
            <w:tcMar>
              <w:top w:w="0" w:type="dxa"/>
              <w:left w:w="62" w:type="dxa"/>
              <w:bottom w:w="0" w:type="dxa"/>
              <w:right w:w="62" w:type="dxa"/>
            </w:tcMar>
          </w:tcPr>
          <w:p w:rsidR="00000000" w:rsidRPr="001F2B61" w:rsidP="001F2B61">
            <w:pPr>
              <w:pStyle w:val="ListBullet"/>
            </w:pPr>
            <w:r w:rsidRPr="001F2B61">
              <w:t>comparisons of current, previously established and external environmental management plans</w:t>
            </w:r>
          </w:p>
          <w:p w:rsidR="00000000" w:rsidRPr="001F2B61" w:rsidP="001F2B61">
            <w:pPr>
              <w:pStyle w:val="ListBullet"/>
            </w:pPr>
            <w:r w:rsidRPr="001F2B61">
              <w:t>costs associated with environmental conformance</w:t>
            </w:r>
          </w:p>
          <w:p w:rsidR="00000000" w:rsidRPr="001F2B61" w:rsidP="001F2B61">
            <w:pPr>
              <w:pStyle w:val="ListBullet"/>
            </w:pPr>
            <w:r w:rsidRPr="001F2B61">
              <w:t>formally or informally prepared performance indicators against environmental management objectives</w:t>
            </w:r>
          </w:p>
          <w:p w:rsidR="00000000" w:rsidRPr="001F2B61" w:rsidP="001F2B61">
            <w:pPr>
              <w:pStyle w:val="ListBullet"/>
            </w:pPr>
            <w:r w:rsidRPr="001F2B61">
              <w:t>performance measu</w:t>
            </w:r>
            <w:r w:rsidRPr="001F2B61">
              <w:t>rements against industry, local authority, regulatory or world standards</w:t>
            </w:r>
          </w:p>
          <w:p w:rsidR="00000000" w:rsidRPr="001F2B61" w:rsidP="001F2B61">
            <w:pPr>
              <w:pStyle w:val="ListBullet"/>
            </w:pPr>
            <w:r w:rsidRPr="001F2B61">
              <w:t>specific environmental targets, including emissions, noise, dust, waste disposal, storm and ground water disposal, waste segregation and hazardous materials</w:t>
            </w:r>
          </w:p>
          <w:p w:rsidR="00000000" w:rsidRPr="001F2B61" w:rsidP="001F2B61">
            <w:pPr>
              <w:pStyle w:val="ListBullet"/>
            </w:pPr>
            <w:r w:rsidRPr="001F2B61">
              <w:t>statistical record-keeping</w:t>
            </w:r>
            <w:r w:rsidRPr="001F2B61">
              <w:t>, using at start, ongoing and at conclusion measurements</w:t>
            </w:r>
          </w:p>
          <w:p w:rsidR="00000000" w:rsidP="001F2B61">
            <w:pPr>
              <w:pStyle w:val="ListBullet"/>
              <w:rPr>
                <w:lang w:val="en-NZ"/>
              </w:rPr>
            </w:pPr>
            <w:r w:rsidRPr="001F2B61">
              <w:t>strategic comparisons of resources in and residuals out.</w:t>
            </w:r>
          </w:p>
        </w:tc>
      </w:tr>
      <w:tr w:rsidTr="00E377B0">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1F2B61">
            <w:pPr>
              <w:pStyle w:val="BodyText"/>
              <w:rPr>
                <w:lang w:val="en-NZ"/>
              </w:rPr>
            </w:pPr>
            <w:r w:rsidRPr="001F2B61">
              <w:rPr>
                <w:rStyle w:val="BoldandItalics"/>
              </w:rPr>
              <w:t>Environmental management plan</w:t>
            </w:r>
            <w:r w:rsidRPr="001F2B61">
              <w:t xml:space="preserve"> includes: </w:t>
            </w:r>
          </w:p>
        </w:tc>
        <w:tc>
          <w:tcPr>
            <w:tcW w:w="4997" w:type="dxa"/>
            <w:tcBorders>
              <w:top w:val="nil"/>
              <w:left w:val="nil"/>
              <w:bottom w:val="nil"/>
              <w:right w:val="nil"/>
            </w:tcBorders>
            <w:tcMar>
              <w:top w:w="0" w:type="dxa"/>
              <w:left w:w="62" w:type="dxa"/>
              <w:bottom w:w="0" w:type="dxa"/>
              <w:right w:w="62" w:type="dxa"/>
            </w:tcMar>
          </w:tcPr>
          <w:p w:rsidR="00000000" w:rsidRPr="001F2B61" w:rsidP="001F2B61">
            <w:pPr>
              <w:pStyle w:val="ListBullet"/>
            </w:pPr>
            <w:r w:rsidRPr="001F2B61">
              <w:t>environmental prohibitions or restrictions to be applied within specific projects</w:t>
            </w:r>
          </w:p>
          <w:p w:rsidR="00000000" w:rsidRPr="001F2B61" w:rsidP="001F2B61">
            <w:pPr>
              <w:pStyle w:val="ListBullet"/>
            </w:pPr>
            <w:r w:rsidRPr="001F2B61">
              <w:t>formally or informally gathered information concerning environmental issues and requirements</w:t>
            </w:r>
          </w:p>
          <w:p w:rsidR="00000000" w:rsidRPr="001F2B61" w:rsidP="001F2B61">
            <w:pPr>
              <w:pStyle w:val="ListBullet"/>
            </w:pPr>
            <w:r w:rsidRPr="001F2B61">
              <w:t>key people to be consulted or included in decision making</w:t>
            </w:r>
          </w:p>
          <w:p w:rsidR="00000000" w:rsidRPr="001F2B61" w:rsidP="001F2B61">
            <w:pPr>
              <w:pStyle w:val="ListBullet"/>
            </w:pPr>
            <w:r w:rsidRPr="001F2B61">
              <w:t>specific forms of activity to be pursued or which are subject to monitoring or evaluation</w:t>
            </w:r>
          </w:p>
          <w:p w:rsidR="00000000" w:rsidP="001F2B61">
            <w:pPr>
              <w:pStyle w:val="ListBullet"/>
              <w:rPr>
                <w:lang w:val="en-NZ"/>
              </w:rPr>
            </w:pPr>
            <w:r w:rsidRPr="001F2B61">
              <w:t xml:space="preserve">timeframes and </w:t>
            </w:r>
            <w:r w:rsidRPr="001F2B61">
              <w:t>key environmental benchmarks to be achieved.</w:t>
            </w:r>
          </w:p>
        </w:tc>
      </w:tr>
      <w:tr w:rsidTr="00E377B0">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1F2B61">
            <w:pPr>
              <w:pStyle w:val="BodyText"/>
              <w:rPr>
                <w:lang w:val="en-NZ"/>
              </w:rPr>
            </w:pPr>
            <w:r w:rsidRPr="001F2B61">
              <w:rPr>
                <w:rStyle w:val="BoldandItalics"/>
              </w:rPr>
              <w:t>Environmental data gathering systems</w:t>
            </w:r>
            <w:r w:rsidRPr="001F2B61">
              <w:t xml:space="preserve"> include: </w:t>
            </w:r>
          </w:p>
        </w:tc>
        <w:tc>
          <w:tcPr>
            <w:tcW w:w="4997" w:type="dxa"/>
            <w:tcBorders>
              <w:top w:val="nil"/>
              <w:left w:val="nil"/>
              <w:bottom w:val="nil"/>
              <w:right w:val="nil"/>
            </w:tcBorders>
            <w:tcMar>
              <w:top w:w="0" w:type="dxa"/>
              <w:left w:w="62" w:type="dxa"/>
              <w:bottom w:w="0" w:type="dxa"/>
              <w:right w:w="62" w:type="dxa"/>
            </w:tcMar>
          </w:tcPr>
          <w:p w:rsidR="00000000" w:rsidRPr="001F2B61" w:rsidP="001F2B61">
            <w:pPr>
              <w:pStyle w:val="ListBullet"/>
            </w:pPr>
            <w:r w:rsidRPr="001F2B61">
              <w:t>conformance reporting on achievement of milestones or performance targets</w:t>
            </w:r>
          </w:p>
          <w:p w:rsidR="00000000" w:rsidRPr="001F2B61" w:rsidP="001F2B61">
            <w:pPr>
              <w:pStyle w:val="ListBullet"/>
            </w:pPr>
            <w:r w:rsidRPr="001F2B61">
              <w:t>formal and informal reports from employees and contractors</w:t>
            </w:r>
          </w:p>
          <w:p w:rsidR="00000000" w:rsidRPr="001F2B61" w:rsidP="001F2B61">
            <w:pPr>
              <w:pStyle w:val="ListBullet"/>
            </w:pPr>
            <w:r w:rsidRPr="001F2B61">
              <w:t>scheduled environmental manage</w:t>
            </w:r>
            <w:r w:rsidRPr="001F2B61">
              <w:t>ment meetings and briefings</w:t>
            </w:r>
          </w:p>
          <w:p w:rsidR="00000000" w:rsidP="001F2B61">
            <w:pPr>
              <w:pStyle w:val="ListBullet"/>
              <w:rPr>
                <w:lang w:val="en-NZ"/>
              </w:rPr>
            </w:pPr>
            <w:r w:rsidRPr="001F2B61">
              <w:t>statistical and analytical data in support of environmental management objectives.</w:t>
            </w:r>
          </w:p>
        </w:tc>
      </w:tr>
      <w:tr w:rsidTr="00E377B0">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1F2B61">
            <w:pPr>
              <w:pStyle w:val="BodyText"/>
              <w:rPr>
                <w:lang w:val="en-NZ"/>
              </w:rPr>
            </w:pPr>
            <w:r w:rsidRPr="001F2B61">
              <w:rPr>
                <w:rStyle w:val="BoldandItalics"/>
              </w:rPr>
              <w:t>Feedback systems</w:t>
            </w:r>
            <w:r w:rsidRPr="001F2B61">
              <w:t xml:space="preserve"> include: </w:t>
            </w:r>
          </w:p>
        </w:tc>
        <w:tc>
          <w:tcPr>
            <w:tcW w:w="4997" w:type="dxa"/>
            <w:tcBorders>
              <w:top w:val="nil"/>
              <w:left w:val="nil"/>
              <w:bottom w:val="nil"/>
              <w:right w:val="nil"/>
            </w:tcBorders>
            <w:tcMar>
              <w:top w:w="0" w:type="dxa"/>
              <w:left w:w="62" w:type="dxa"/>
              <w:bottom w:w="0" w:type="dxa"/>
              <w:right w:w="62" w:type="dxa"/>
            </w:tcMar>
          </w:tcPr>
          <w:p w:rsidR="00000000" w:rsidRPr="001F2B61" w:rsidP="001F2B61">
            <w:pPr>
              <w:pStyle w:val="ListBullet"/>
            </w:pPr>
            <w:r w:rsidRPr="001F2B61">
              <w:t>feedback from regulatory authorities</w:t>
            </w:r>
          </w:p>
          <w:p w:rsidR="00000000" w:rsidRPr="001F2B61" w:rsidP="001F2B61">
            <w:pPr>
              <w:pStyle w:val="ListBullet"/>
            </w:pPr>
            <w:r w:rsidRPr="001F2B61">
              <w:t>formal and informal information gathering from employees and contractors</w:t>
            </w:r>
          </w:p>
          <w:p w:rsidR="00000000" w:rsidRPr="001F2B61" w:rsidP="001F2B61">
            <w:pPr>
              <w:pStyle w:val="ListBullet"/>
            </w:pPr>
            <w:r w:rsidRPr="001F2B61">
              <w:t>specifi</w:t>
            </w:r>
            <w:r w:rsidRPr="001F2B61">
              <w:t>cally documented processes using formal reporting arrangements</w:t>
            </w:r>
          </w:p>
          <w:p w:rsidR="00000000" w:rsidRPr="001F2B61" w:rsidP="001F2B61">
            <w:pPr>
              <w:pStyle w:val="ListBullet"/>
            </w:pPr>
            <w:r w:rsidRPr="001F2B61">
              <w:t>spot checks on aspects of the environmental management process.</w:t>
            </w:r>
          </w:p>
        </w:tc>
      </w:tr>
    </w:tbl>
    <w:p w:rsidR="00E377B0" w:rsidP="001F2B61">
      <w:pPr>
        <w:pStyle w:val="BodyText"/>
      </w:pPr>
    </w:p>
    <w:p w:rsidR="00E377B0" w:rsidP="001F2B61">
      <w:pPr>
        <w:pStyle w:val="BodyText"/>
      </w:pPr>
    </w:p>
    <w:p w:rsidR="00000000" w:rsidRPr="001F2B61" w:rsidP="001F2B61">
      <w:pPr>
        <w:pStyle w:val="Heading1"/>
      </w:pPr>
      <w:bookmarkStart w:id="12" w:name="O_197065"/>
      <w:bookmarkEnd w:id="12"/>
      <w:r w:rsidRPr="001F2B61">
        <w:t>Unit Sector(s)</w:t>
      </w:r>
    </w:p>
    <w:tbl>
      <w:tblPr>
        <w:tblW w:w="0" w:type="auto"/>
        <w:tblLayout w:type="fixed"/>
        <w:tblCellMar>
          <w:left w:w="62" w:type="dxa"/>
          <w:right w:w="62" w:type="dxa"/>
        </w:tblCellMar>
        <w:tblLook w:val="0000"/>
      </w:tblPr>
      <w:tblGrid>
        <w:gridCol w:w="2542"/>
        <w:gridCol w:w="5980"/>
      </w:tblGrid>
      <w:tr w:rsidTr="00E377B0">
        <w:tblPrEx>
          <w:tblW w:w="0" w:type="auto"/>
          <w:tblLayout w:type="fixed"/>
          <w:tblCellMar>
            <w:left w:w="62" w:type="dxa"/>
            <w:right w:w="62" w:type="dxa"/>
          </w:tblCellMar>
          <w:tblLook w:val="0000"/>
        </w:tblPrEx>
        <w:trPr>
          <w:tblHeader/>
        </w:trPr>
        <w:tc>
          <w:tcPr>
            <w:tcW w:w="2542" w:type="dxa"/>
            <w:tcBorders>
              <w:top w:val="nil"/>
              <w:left w:val="nil"/>
              <w:bottom w:val="nil"/>
              <w:right w:val="nil"/>
            </w:tcBorders>
            <w:tcMar>
              <w:top w:w="0" w:type="dxa"/>
              <w:left w:w="62" w:type="dxa"/>
              <w:bottom w:w="0" w:type="dxa"/>
              <w:right w:w="62" w:type="dxa"/>
            </w:tcMar>
          </w:tcPr>
          <w:p w:rsidR="00000000" w:rsidP="001F2B61">
            <w:pPr>
              <w:pStyle w:val="BodyText"/>
              <w:rPr>
                <w:lang w:val="en-NZ"/>
              </w:rPr>
            </w:pPr>
            <w:r w:rsidRPr="001F2B61">
              <w:rPr>
                <w:rStyle w:val="SpecialBold"/>
              </w:rPr>
              <w:t>Unit sector</w:t>
            </w:r>
          </w:p>
        </w:tc>
        <w:tc>
          <w:tcPr>
            <w:tcW w:w="5980" w:type="dxa"/>
            <w:tcBorders>
              <w:top w:val="nil"/>
              <w:left w:val="nil"/>
              <w:bottom w:val="nil"/>
              <w:right w:val="nil"/>
            </w:tcBorders>
            <w:tcMar>
              <w:top w:w="0" w:type="dxa"/>
              <w:left w:w="62" w:type="dxa"/>
              <w:bottom w:w="0" w:type="dxa"/>
              <w:right w:w="62" w:type="dxa"/>
            </w:tcMar>
          </w:tcPr>
          <w:p w:rsidR="00000000" w:rsidRPr="001F2B61" w:rsidP="001F2B61">
            <w:pPr>
              <w:pStyle w:val="BodyText"/>
            </w:pPr>
            <w:r w:rsidRPr="001F2B61">
              <w:t>Construction</w:t>
            </w:r>
          </w:p>
        </w:tc>
      </w:tr>
    </w:tbl>
    <w:p w:rsidR="00E377B0" w:rsidP="001F2B61">
      <w:pPr>
        <w:pStyle w:val="BodyText"/>
      </w:pPr>
    </w:p>
    <w:p w:rsidR="00E377B0" w:rsidP="001F2B61">
      <w:pPr>
        <w:pStyle w:val="BodyText"/>
      </w:pPr>
    </w:p>
    <w:p w:rsidR="00000000" w:rsidRPr="001F2B61" w:rsidP="001F2B61">
      <w:pPr>
        <w:pStyle w:val="Heading1"/>
      </w:pPr>
      <w:bookmarkStart w:id="13" w:name="O_197062"/>
      <w:bookmarkEnd w:id="13"/>
      <w:r w:rsidRPr="001F2B61">
        <w:t>Co-requisite units</w:t>
      </w:r>
    </w:p>
    <w:tbl>
      <w:tblPr>
        <w:tblW w:w="0" w:type="auto"/>
        <w:tblLayout w:type="fixed"/>
        <w:tblCellMar>
          <w:left w:w="62" w:type="dxa"/>
          <w:right w:w="62" w:type="dxa"/>
        </w:tblCellMar>
        <w:tblLook w:val="0000"/>
      </w:tblPr>
      <w:tblGrid>
        <w:gridCol w:w="2560"/>
        <w:gridCol w:w="5962"/>
      </w:tblGrid>
      <w:tr w:rsidTr="00E377B0">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P="001F2B61">
            <w:pPr>
              <w:pStyle w:val="BodyText"/>
              <w:rPr>
                <w:lang w:val="en-NZ"/>
              </w:rPr>
            </w:pPr>
            <w:r w:rsidRPr="001F2B61">
              <w:rPr>
                <w:rStyle w:val="SpecialBold"/>
              </w:rPr>
              <w:t>Co-requisite units</w:t>
            </w:r>
          </w:p>
        </w:tc>
        <w:tc>
          <w:tcPr>
            <w:tcW w:w="5962" w:type="dxa"/>
            <w:tcBorders>
              <w:top w:val="nil"/>
              <w:left w:val="nil"/>
              <w:bottom w:val="nil"/>
              <w:right w:val="nil"/>
            </w:tcBorders>
            <w:tcMar>
              <w:top w:w="0" w:type="dxa"/>
              <w:left w:w="62" w:type="dxa"/>
              <w:bottom w:w="0" w:type="dxa"/>
              <w:right w:w="62" w:type="dxa"/>
            </w:tcMar>
          </w:tcPr>
          <w:p w:rsidR="00000000" w:rsidRPr="001F2B61" w:rsidP="001F2B61">
            <w:pPr>
              <w:pStyle w:val="BodyText"/>
            </w:pPr>
            <w:r w:rsidRPr="001F2B61">
              <w:t>Nil</w:t>
            </w:r>
          </w:p>
        </w:tc>
      </w:tr>
    </w:tbl>
    <w:p w:rsidR="00E377B0" w:rsidP="001F2B61">
      <w:pPr>
        <w:pStyle w:val="BodyText"/>
      </w:pPr>
    </w:p>
    <w:p w:rsidR="00E377B0" w:rsidP="001F2B61">
      <w:pPr>
        <w:pStyle w:val="BodyText"/>
      </w:pPr>
    </w:p>
    <w:p w:rsidR="00000000" w:rsidRPr="001F2B61" w:rsidP="001F2B61">
      <w:pPr>
        <w:pStyle w:val="Heading1"/>
      </w:pPr>
      <w:bookmarkStart w:id="14" w:name="O_197064"/>
      <w:bookmarkEnd w:id="14"/>
      <w:r w:rsidRPr="001F2B61">
        <w:t>Functional area</w:t>
      </w:r>
    </w:p>
    <w:tbl>
      <w:tblPr>
        <w:tblW w:w="0" w:type="auto"/>
        <w:tblLayout w:type="fixed"/>
        <w:tblCellMar>
          <w:left w:w="62" w:type="dxa"/>
          <w:right w:w="62" w:type="dxa"/>
        </w:tblCellMar>
        <w:tblLook w:val="0000"/>
      </w:tblPr>
      <w:tblGrid>
        <w:gridCol w:w="2678"/>
        <w:gridCol w:w="5844"/>
      </w:tblGrid>
      <w:tr w:rsidTr="00E377B0">
        <w:tblPrEx>
          <w:tblW w:w="0" w:type="auto"/>
          <w:tblLayout w:type="fixed"/>
          <w:tblCellMar>
            <w:left w:w="62" w:type="dxa"/>
            <w:right w:w="62" w:type="dxa"/>
          </w:tblCellMar>
          <w:tblLook w:val="0000"/>
        </w:tblPrEx>
        <w:trPr>
          <w:tblHeader/>
        </w:trPr>
        <w:tc>
          <w:tcPr>
            <w:tcW w:w="2678" w:type="dxa"/>
            <w:tcBorders>
              <w:top w:val="nil"/>
              <w:left w:val="nil"/>
              <w:bottom w:val="nil"/>
              <w:right w:val="nil"/>
            </w:tcBorders>
            <w:tcMar>
              <w:top w:w="0" w:type="dxa"/>
              <w:left w:w="62" w:type="dxa"/>
              <w:bottom w:w="0" w:type="dxa"/>
              <w:right w:w="62" w:type="dxa"/>
            </w:tcMar>
          </w:tcPr>
          <w:p w:rsidR="00000000" w:rsidP="001F2B61">
            <w:pPr>
              <w:pStyle w:val="BodyText"/>
              <w:rPr>
                <w:lang w:val="en-NZ"/>
              </w:rPr>
            </w:pPr>
            <w:r w:rsidRPr="001F2B61">
              <w:rPr>
                <w:rStyle w:val="SpecialBold"/>
              </w:rPr>
              <w:t>Functional area</w:t>
            </w:r>
          </w:p>
        </w:tc>
        <w:tc>
          <w:tcPr>
            <w:tcW w:w="5844" w:type="dxa"/>
            <w:tcBorders>
              <w:top w:val="nil"/>
              <w:left w:val="nil"/>
              <w:bottom w:val="nil"/>
              <w:right w:val="nil"/>
            </w:tcBorders>
            <w:tcMar>
              <w:top w:w="0" w:type="dxa"/>
              <w:left w:w="62" w:type="dxa"/>
              <w:bottom w:w="0" w:type="dxa"/>
              <w:right w:w="62" w:type="dxa"/>
            </w:tcMar>
          </w:tcPr>
          <w:p w:rsidR="00000000" w:rsidRPr="001F2B61" w:rsidP="001F2B61">
            <w:pPr>
              <w:pStyle w:val="BodyText"/>
            </w:pPr>
          </w:p>
        </w:tc>
      </w:tr>
    </w:tbl>
    <w:p w:rsidR="00E377B0" w:rsidP="001F2B61">
      <w:pPr>
        <w:pStyle w:val="BodyText"/>
      </w:pPr>
    </w:p>
    <w:p w:rsidR="00E377B0" w:rsidP="001F2B61">
      <w:pPr>
        <w:pStyle w:val="BodyText"/>
      </w:pPr>
    </w:p>
    <w:p w:rsidR="00000000" w:rsidRPr="001F2B61" w:rsidP="001F2B61"/>
    <w:sectPr w:rsidSect="001F2B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B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77B0" w:rsidP="00E377B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B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7B0" w:rsidP="001F2B6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377B0" w:rsidP="001F2B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377B0" w:rsidP="001F2B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B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B61" w:rsidRPr="00E377B0" w:rsidP="00E377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B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7B0" w:rsidRPr="002D2AF8" w:rsidP="001F2B61">
    <w:pPr>
      <w:pStyle w:val="Header"/>
      <w:framePr w:wrap="around"/>
    </w:pPr>
    <w:r>
      <w:fldChar w:fldCharType="begin"/>
    </w:r>
    <w:r>
      <w:instrText xml:space="preserve"> TITLE   \* MERGEFORMAT </w:instrText>
    </w:r>
    <w:r>
      <w:fldChar w:fldCharType="separate"/>
    </w:r>
    <w:r>
      <w:t>CPCCBC5011A Manage environmental management practices and processes in building and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377B0" w:rsidP="001F2B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ACFE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328C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00FF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B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2B61"/>
    <w:pPr>
      <w:spacing w:before="360" w:after="60"/>
      <w:outlineLvl w:val="0"/>
    </w:pPr>
    <w:rPr>
      <w:sz w:val="32"/>
    </w:rPr>
  </w:style>
  <w:style w:type="paragraph" w:styleId="Heading2">
    <w:name w:val="heading 2"/>
    <w:basedOn w:val="HeadingBase"/>
    <w:next w:val="BodyText"/>
    <w:link w:val="Heading2Char"/>
    <w:qFormat/>
    <w:rsid w:val="001F2B61"/>
    <w:pPr>
      <w:keepLines/>
      <w:spacing w:before="240" w:after="120"/>
      <w:outlineLvl w:val="1"/>
    </w:pPr>
    <w:rPr>
      <w:sz w:val="28"/>
      <w:szCs w:val="40"/>
    </w:rPr>
  </w:style>
  <w:style w:type="paragraph" w:styleId="Heading3">
    <w:name w:val="heading 3"/>
    <w:basedOn w:val="HeadingBase"/>
    <w:next w:val="BodyText"/>
    <w:link w:val="Heading3Char"/>
    <w:qFormat/>
    <w:rsid w:val="001F2B61"/>
    <w:pPr>
      <w:spacing w:before="180" w:after="120"/>
      <w:outlineLvl w:val="2"/>
    </w:pPr>
    <w:rPr>
      <w:spacing w:val="-10"/>
      <w:kern w:val="32"/>
    </w:rPr>
  </w:style>
  <w:style w:type="paragraph" w:styleId="Heading4">
    <w:name w:val="heading 4"/>
    <w:basedOn w:val="HeadingBase"/>
    <w:next w:val="BodyText"/>
    <w:link w:val="Heading4Char"/>
    <w:qFormat/>
    <w:rsid w:val="001F2B61"/>
    <w:pPr>
      <w:spacing w:before="160" w:after="120"/>
      <w:outlineLvl w:val="3"/>
    </w:pPr>
    <w:rPr>
      <w:sz w:val="22"/>
    </w:rPr>
  </w:style>
  <w:style w:type="paragraph" w:styleId="Heading5">
    <w:name w:val="heading 5"/>
    <w:basedOn w:val="HeadingBase"/>
    <w:next w:val="Normal"/>
    <w:link w:val="Heading5Char"/>
    <w:qFormat/>
    <w:rsid w:val="001F2B61"/>
    <w:pPr>
      <w:spacing w:before="80"/>
      <w:outlineLvl w:val="4"/>
    </w:pPr>
    <w:rPr>
      <w:color w:val="918585"/>
      <w:sz w:val="20"/>
    </w:rPr>
  </w:style>
  <w:style w:type="paragraph" w:styleId="Heading6">
    <w:name w:val="heading 6"/>
    <w:basedOn w:val="HeadingBase"/>
    <w:next w:val="Normal"/>
    <w:link w:val="Heading6Char"/>
    <w:qFormat/>
    <w:rsid w:val="001F2B61"/>
    <w:pPr>
      <w:spacing w:before="60"/>
      <w:outlineLvl w:val="5"/>
    </w:pPr>
    <w:rPr>
      <w:color w:val="918585"/>
      <w:sz w:val="20"/>
    </w:rPr>
  </w:style>
  <w:style w:type="paragraph" w:styleId="Heading7">
    <w:name w:val="heading 7"/>
    <w:basedOn w:val="Normal"/>
    <w:next w:val="Normal"/>
    <w:link w:val="Heading7Char"/>
    <w:qFormat/>
    <w:rsid w:val="001F2B61"/>
    <w:pPr>
      <w:ind w:left="720"/>
      <w:outlineLvl w:val="6"/>
    </w:pPr>
    <w:rPr>
      <w:i/>
    </w:rPr>
  </w:style>
  <w:style w:type="paragraph" w:styleId="Heading8">
    <w:name w:val="heading 8"/>
    <w:basedOn w:val="Normal"/>
    <w:next w:val="Normal"/>
    <w:link w:val="Heading8Char"/>
    <w:qFormat/>
    <w:rsid w:val="001F2B61"/>
    <w:pPr>
      <w:ind w:left="720"/>
      <w:outlineLvl w:val="7"/>
    </w:pPr>
    <w:rPr>
      <w:i/>
    </w:rPr>
  </w:style>
  <w:style w:type="paragraph" w:styleId="Heading9">
    <w:name w:val="heading 9"/>
    <w:basedOn w:val="Normal"/>
    <w:next w:val="Normal"/>
    <w:link w:val="Heading9Char"/>
    <w:qFormat/>
    <w:rsid w:val="001F2B61"/>
    <w:pPr>
      <w:ind w:left="720"/>
      <w:outlineLvl w:val="8"/>
    </w:pPr>
    <w:rPr>
      <w:i/>
    </w:rPr>
  </w:style>
  <w:style w:type="character" w:default="1" w:styleId="DefaultParagraphFont">
    <w:name w:val="Default Paragraph Font"/>
    <w:uiPriority w:val="1"/>
    <w:unhideWhenUsed/>
    <w:rsid w:val="001F2B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2B61"/>
  </w:style>
  <w:style w:type="character" w:customStyle="1" w:styleId="Heading1Char">
    <w:name w:val="Heading 1 Char"/>
    <w:basedOn w:val="DefaultParagraphFont"/>
    <w:link w:val="Heading1"/>
    <w:rsid w:val="001F2B61"/>
    <w:rPr>
      <w:rFonts w:ascii="Times New Roman" w:eastAsia="Times New Roman" w:hAnsi="Times New Roman" w:cs="Times New Roman"/>
      <w:b/>
      <w:sz w:val="32"/>
      <w:szCs w:val="20"/>
      <w:lang w:eastAsia="en-US"/>
    </w:rPr>
  </w:style>
  <w:style w:type="paragraph" w:styleId="BodyText">
    <w:name w:val="Body Text"/>
    <w:basedOn w:val="Normal"/>
    <w:link w:val="BodyTextChar"/>
    <w:rsid w:val="001F2B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2B61"/>
    <w:rPr>
      <w:rFonts w:ascii="Times New Roman" w:eastAsia="Times New Roman" w:hAnsi="Times New Roman" w:cs="Times New Roman"/>
      <w:sz w:val="24"/>
      <w:lang w:eastAsia="en-US"/>
    </w:rPr>
  </w:style>
  <w:style w:type="paragraph" w:styleId="Footer">
    <w:name w:val="footer"/>
    <w:basedOn w:val="Normal"/>
    <w:link w:val="FooterChar"/>
    <w:rsid w:val="001F2B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2B61"/>
    <w:rPr>
      <w:rFonts w:ascii="Times New Roman" w:eastAsia="Times New Roman" w:hAnsi="Times New Roman" w:cs="Times New Roman"/>
      <w:sz w:val="16"/>
      <w:lang w:eastAsia="en-US"/>
    </w:rPr>
  </w:style>
  <w:style w:type="paragraph" w:styleId="List">
    <w:name w:val="List"/>
    <w:basedOn w:val="BodyText"/>
    <w:next w:val="BodyText"/>
    <w:rsid w:val="001F2B61"/>
    <w:pPr>
      <w:tabs>
        <w:tab w:val="left" w:pos="340"/>
      </w:tabs>
      <w:spacing w:before="60" w:after="60"/>
      <w:ind w:left="340" w:hanging="340"/>
    </w:pPr>
  </w:style>
  <w:style w:type="paragraph" w:styleId="ListBullet">
    <w:name w:val="List Bullet"/>
    <w:basedOn w:val="List"/>
    <w:rsid w:val="001F2B61"/>
    <w:pPr>
      <w:numPr>
        <w:numId w:val="14"/>
      </w:numPr>
      <w:tabs>
        <w:tab w:val="clear" w:pos="340"/>
      </w:tabs>
      <w:spacing w:before="40" w:after="40"/>
    </w:pPr>
  </w:style>
  <w:style w:type="character" w:customStyle="1" w:styleId="SpecialBold">
    <w:name w:val="Special Bold"/>
    <w:basedOn w:val="DefaultParagraphFont"/>
    <w:rsid w:val="001F2B61"/>
    <w:rPr>
      <w:b/>
      <w:spacing w:val="0"/>
    </w:rPr>
  </w:style>
  <w:style w:type="paragraph" w:styleId="ListBullet2">
    <w:name w:val="List Bullet 2"/>
    <w:basedOn w:val="List2"/>
    <w:rsid w:val="001F2B61"/>
    <w:pPr>
      <w:numPr>
        <w:numId w:val="15"/>
      </w:numPr>
      <w:tabs>
        <w:tab w:val="clear" w:pos="680"/>
      </w:tabs>
    </w:pPr>
  </w:style>
  <w:style w:type="paragraph" w:customStyle="1" w:styleId="SuperHeading">
    <w:name w:val="SuperHeading"/>
    <w:basedOn w:val="Normal"/>
    <w:rsid w:val="001F2B61"/>
    <w:pPr>
      <w:spacing w:before="240" w:after="120"/>
      <w:outlineLvl w:val="0"/>
    </w:pPr>
    <w:rPr>
      <w:rFonts w:ascii="Times New Roman" w:hAnsi="Times New Roman"/>
      <w:b/>
      <w:sz w:val="28"/>
    </w:rPr>
  </w:style>
  <w:style w:type="paragraph" w:customStyle="1" w:styleId="AllowPageBreak">
    <w:name w:val="AllowPageBreak"/>
    <w:rsid w:val="001F2B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2B61"/>
    <w:pPr>
      <w:tabs>
        <w:tab w:val="left" w:pos="680"/>
      </w:tabs>
      <w:spacing w:before="60" w:after="60"/>
      <w:ind w:left="680" w:hanging="340"/>
    </w:pPr>
  </w:style>
  <w:style w:type="paragraph" w:styleId="ListBullet3">
    <w:name w:val="List Bullet 3"/>
    <w:basedOn w:val="List3"/>
    <w:rsid w:val="001F2B61"/>
    <w:pPr>
      <w:numPr>
        <w:numId w:val="3"/>
      </w:numPr>
      <w:tabs>
        <w:tab w:val="clear" w:pos="1021"/>
      </w:tabs>
      <w:ind w:left="1037" w:hanging="357"/>
    </w:pPr>
  </w:style>
  <w:style w:type="character" w:customStyle="1" w:styleId="BoldandItalics">
    <w:name w:val="Bold and Italics"/>
    <w:qFormat/>
    <w:rsid w:val="001F2B61"/>
    <w:rPr>
      <w:b/>
      <w:i/>
      <w:u w:val="none"/>
    </w:rPr>
  </w:style>
  <w:style w:type="character" w:customStyle="1" w:styleId="Heading2Char">
    <w:name w:val="Heading 2 Char"/>
    <w:basedOn w:val="DefaultParagraphFont"/>
    <w:link w:val="Heading2"/>
    <w:rsid w:val="001F2B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2B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2B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2B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2B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2B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2B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2B61"/>
    <w:rPr>
      <w:rFonts w:ascii="Courier New" w:eastAsia="Times New Roman" w:hAnsi="Courier New" w:cs="Times New Roman"/>
      <w:i/>
      <w:szCs w:val="20"/>
      <w:lang w:eastAsia="en-US"/>
    </w:rPr>
  </w:style>
  <w:style w:type="paragraph" w:customStyle="1" w:styleId="HeadingBase">
    <w:name w:val="Heading Base"/>
    <w:rsid w:val="001F2B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2B61"/>
    <w:pPr>
      <w:tabs>
        <w:tab w:val="right" w:leader="dot" w:pos="9072"/>
      </w:tabs>
      <w:ind w:left="567"/>
    </w:pPr>
    <w:rPr>
      <w:szCs w:val="22"/>
    </w:rPr>
  </w:style>
  <w:style w:type="paragraph" w:customStyle="1" w:styleId="TOCBase">
    <w:name w:val="TOC Base"/>
    <w:rsid w:val="001F2B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2B61"/>
    <w:pPr>
      <w:tabs>
        <w:tab w:val="right" w:leader="dot" w:pos="9072"/>
      </w:tabs>
      <w:spacing w:before="40" w:after="40"/>
      <w:ind w:left="284"/>
    </w:pPr>
    <w:rPr>
      <w:rFonts w:ascii="Times New Roman" w:hAnsi="Times New Roman"/>
    </w:rPr>
  </w:style>
  <w:style w:type="paragraph" w:styleId="TOC1">
    <w:name w:val="toc 1"/>
    <w:basedOn w:val="TOCBase"/>
    <w:next w:val="Normal"/>
    <w:rsid w:val="001F2B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2B61"/>
    <w:pPr>
      <w:spacing w:before="5040"/>
      <w:jc w:val="center"/>
    </w:pPr>
    <w:rPr>
      <w:sz w:val="48"/>
      <w:szCs w:val="72"/>
      <w:lang w:val="en-US"/>
    </w:rPr>
  </w:style>
  <w:style w:type="character" w:customStyle="1" w:styleId="TitleChar">
    <w:name w:val="Title Char"/>
    <w:basedOn w:val="DefaultParagraphFont"/>
    <w:link w:val="Title"/>
    <w:rsid w:val="001F2B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2B61"/>
    <w:pPr>
      <w:tabs>
        <w:tab w:val="left" w:pos="3600"/>
        <w:tab w:val="left" w:pos="3958"/>
      </w:tabs>
    </w:pPr>
  </w:style>
  <w:style w:type="paragraph" w:customStyle="1" w:styleId="Note">
    <w:name w:val="Note"/>
    <w:basedOn w:val="BodyText"/>
    <w:rsid w:val="001F2B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2B61"/>
    <w:pPr>
      <w:framePr w:wrap="auto" w:hAnchor="text" w:y="6049"/>
    </w:pPr>
    <w:rPr>
      <w:color w:val="000000"/>
      <w:sz w:val="40"/>
    </w:rPr>
  </w:style>
  <w:style w:type="paragraph" w:customStyle="1" w:styleId="TOCTitle">
    <w:name w:val="TOCTitle"/>
    <w:basedOn w:val="Heading1"/>
    <w:rsid w:val="001F2B61"/>
    <w:pPr>
      <w:spacing w:after="240"/>
      <w:jc w:val="center"/>
      <w:outlineLvl w:val="9"/>
    </w:pPr>
    <w:rPr>
      <w:caps/>
    </w:rPr>
  </w:style>
  <w:style w:type="paragraph" w:customStyle="1" w:styleId="Version">
    <w:name w:val="Version"/>
    <w:rsid w:val="001F2B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2B61"/>
    <w:pPr>
      <w:keepNext w:val="0"/>
      <w:tabs>
        <w:tab w:val="right" w:pos="4176"/>
      </w:tabs>
      <w:ind w:left="198" w:hanging="198"/>
    </w:pPr>
    <w:rPr>
      <w:rFonts w:ascii="Garamond" w:hAnsi="Garamond"/>
    </w:rPr>
  </w:style>
  <w:style w:type="paragraph" w:styleId="IndexHeading">
    <w:name w:val="index heading"/>
    <w:basedOn w:val="Normal"/>
    <w:next w:val="Index1"/>
    <w:semiHidden/>
    <w:rsid w:val="001F2B61"/>
    <w:pPr>
      <w:spacing w:before="120" w:after="120"/>
    </w:pPr>
    <w:rPr>
      <w:rFonts w:ascii="Arial" w:hAnsi="Arial"/>
      <w:b/>
      <w:color w:val="918585"/>
      <w:sz w:val="24"/>
    </w:rPr>
  </w:style>
  <w:style w:type="paragraph" w:styleId="Header">
    <w:name w:val="header"/>
    <w:basedOn w:val="Normal"/>
    <w:link w:val="HeaderChar"/>
    <w:rsid w:val="001F2B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2B61"/>
    <w:rPr>
      <w:rFonts w:ascii="Times New Roman" w:eastAsia="Times New Roman" w:hAnsi="Times New Roman" w:cs="Times New Roman"/>
      <w:sz w:val="16"/>
      <w:szCs w:val="20"/>
      <w:lang w:val="en-GB" w:eastAsia="en-US"/>
    </w:rPr>
  </w:style>
  <w:style w:type="paragraph" w:customStyle="1" w:styleId="Chapter">
    <w:name w:val="Chapter"/>
    <w:basedOn w:val="Normal"/>
    <w:rsid w:val="001F2B61"/>
    <w:pPr>
      <w:spacing w:before="240"/>
    </w:pPr>
    <w:rPr>
      <w:rFonts w:ascii="Times New Roman" w:hAnsi="Times New Roman"/>
      <w:smallCaps/>
      <w:spacing w:val="80"/>
      <w:sz w:val="28"/>
    </w:rPr>
  </w:style>
  <w:style w:type="paragraph" w:customStyle="1" w:styleId="InChapter">
    <w:name w:val="InChapter"/>
    <w:basedOn w:val="Heading3"/>
    <w:rsid w:val="001F2B61"/>
    <w:pPr>
      <w:spacing w:after="240"/>
      <w:outlineLvl w:val="9"/>
    </w:pPr>
    <w:rPr>
      <w:noProof/>
    </w:rPr>
  </w:style>
  <w:style w:type="paragraph" w:styleId="Index2">
    <w:name w:val="index 2"/>
    <w:basedOn w:val="Normal"/>
    <w:next w:val="Normal"/>
    <w:semiHidden/>
    <w:rsid w:val="001F2B61"/>
    <w:pPr>
      <w:tabs>
        <w:tab w:val="right" w:pos="4176"/>
      </w:tabs>
      <w:ind w:left="568" w:hanging="284"/>
    </w:pPr>
    <w:rPr>
      <w:rFonts w:ascii="Garamond" w:hAnsi="Garamond"/>
    </w:rPr>
  </w:style>
  <w:style w:type="paragraph" w:customStyle="1" w:styleId="Byline">
    <w:name w:val="Byline"/>
    <w:rsid w:val="001F2B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2B61"/>
    <w:pPr>
      <w:tabs>
        <w:tab w:val="clear" w:pos="3600"/>
        <w:tab w:val="clear" w:pos="3958"/>
      </w:tabs>
      <w:jc w:val="right"/>
    </w:pPr>
  </w:style>
  <w:style w:type="character" w:styleId="Emphasis">
    <w:name w:val="Emphasis"/>
    <w:basedOn w:val="DefaultParagraphFont"/>
    <w:qFormat/>
    <w:rsid w:val="001F2B61"/>
    <w:rPr>
      <w:i/>
    </w:rPr>
  </w:style>
  <w:style w:type="paragraph" w:styleId="Caption">
    <w:name w:val="caption"/>
    <w:basedOn w:val="BodyText"/>
    <w:next w:val="Normal"/>
    <w:qFormat/>
    <w:rsid w:val="001F2B61"/>
    <w:pPr>
      <w:framePr w:w="2268" w:hSpace="181" w:vSpace="181" w:wrap="around" w:vAnchor="text" w:hAnchor="page" w:x="1135" w:y="285" w:anchorLock="1"/>
    </w:pPr>
    <w:rPr>
      <w:i/>
    </w:rPr>
  </w:style>
  <w:style w:type="paragraph" w:customStyle="1" w:styleId="MiniTOCTitle">
    <w:name w:val="MiniTOCTitle"/>
    <w:basedOn w:val="Heading4"/>
    <w:rsid w:val="001F2B61"/>
    <w:pPr>
      <w:spacing w:before="240"/>
      <w:outlineLvl w:val="9"/>
    </w:pPr>
    <w:rPr>
      <w:noProof/>
      <w:sz w:val="24"/>
    </w:rPr>
  </w:style>
  <w:style w:type="paragraph" w:customStyle="1" w:styleId="MiniTOCItem">
    <w:name w:val="MiniTOCItem"/>
    <w:basedOn w:val="ListBullet"/>
    <w:rsid w:val="001F2B61"/>
    <w:pPr>
      <w:numPr>
        <w:numId w:val="0"/>
      </w:numPr>
      <w:tabs>
        <w:tab w:val="right" w:leader="dot" w:pos="6521"/>
      </w:tabs>
      <w:spacing w:before="0" w:after="0"/>
    </w:pPr>
  </w:style>
  <w:style w:type="paragraph" w:customStyle="1" w:styleId="TOFTitle">
    <w:name w:val="TOFTitle"/>
    <w:basedOn w:val="TOCTitle"/>
    <w:rsid w:val="001F2B61"/>
  </w:style>
  <w:style w:type="paragraph" w:styleId="TableofFigures">
    <w:name w:val="table of figures"/>
    <w:basedOn w:val="Normal"/>
    <w:next w:val="Normal"/>
    <w:semiHidden/>
    <w:rsid w:val="001F2B61"/>
    <w:pPr>
      <w:tabs>
        <w:tab w:val="right" w:leader="dot" w:pos="9072"/>
      </w:tabs>
      <w:ind w:left="970" w:hanging="403"/>
    </w:pPr>
    <w:rPr>
      <w:rFonts w:ascii="Times New Roman" w:hAnsi="Times New Roman"/>
      <w:b/>
    </w:rPr>
  </w:style>
  <w:style w:type="paragraph" w:styleId="ListNumber">
    <w:name w:val="List Number"/>
    <w:basedOn w:val="List"/>
    <w:rsid w:val="001F2B61"/>
    <w:pPr>
      <w:numPr>
        <w:numId w:val="12"/>
      </w:numPr>
    </w:pPr>
  </w:style>
  <w:style w:type="character" w:customStyle="1" w:styleId="WingdingSymbols">
    <w:name w:val="Wingding Symbols"/>
    <w:rsid w:val="001F2B61"/>
    <w:rPr>
      <w:rFonts w:ascii="Wingdings" w:hAnsi="Wingdings"/>
    </w:rPr>
  </w:style>
  <w:style w:type="paragraph" w:customStyle="1" w:styleId="TableHeading">
    <w:name w:val="Table Heading"/>
    <w:basedOn w:val="HeadingBase"/>
    <w:rsid w:val="001F2B61"/>
    <w:pPr>
      <w:keepLines/>
      <w:pBdr>
        <w:bottom w:val="single" w:sz="6" w:space="1" w:color="918585"/>
      </w:pBdr>
      <w:spacing w:before="240"/>
    </w:pPr>
  </w:style>
  <w:style w:type="character" w:customStyle="1" w:styleId="HotSpot">
    <w:name w:val="HotSpot"/>
    <w:rsid w:val="001F2B61"/>
    <w:rPr>
      <w:color w:val="0033CC"/>
      <w:u w:val="none"/>
    </w:rPr>
  </w:style>
  <w:style w:type="paragraph" w:customStyle="1" w:styleId="BodyTextRight">
    <w:name w:val="Body Text Right"/>
    <w:basedOn w:val="BodyText"/>
    <w:rsid w:val="001F2B61"/>
    <w:pPr>
      <w:spacing w:before="0" w:after="0"/>
      <w:jc w:val="right"/>
    </w:pPr>
  </w:style>
  <w:style w:type="paragraph" w:styleId="Index3">
    <w:name w:val="index 3"/>
    <w:basedOn w:val="ListNumber2"/>
    <w:next w:val="Normal"/>
    <w:semiHidden/>
    <w:rsid w:val="001F2B61"/>
    <w:pPr>
      <w:numPr>
        <w:numId w:val="0"/>
      </w:numPr>
      <w:tabs>
        <w:tab w:val="right" w:leader="dot" w:pos="4176"/>
      </w:tabs>
    </w:pPr>
  </w:style>
  <w:style w:type="paragraph" w:styleId="ListNumber2">
    <w:name w:val="List Number 2"/>
    <w:basedOn w:val="List2"/>
    <w:rsid w:val="001F2B61"/>
    <w:pPr>
      <w:numPr>
        <w:numId w:val="11"/>
      </w:numPr>
      <w:tabs>
        <w:tab w:val="clear" w:pos="1060"/>
      </w:tabs>
    </w:pPr>
  </w:style>
  <w:style w:type="paragraph" w:customStyle="1" w:styleId="MarginNote">
    <w:name w:val="Margin Note"/>
    <w:basedOn w:val="BodyText"/>
    <w:rsid w:val="001F2B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2B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2B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2B61"/>
    <w:rPr>
      <w:sz w:val="32"/>
    </w:rPr>
  </w:style>
  <w:style w:type="paragraph" w:customStyle="1" w:styleId="HeadingProcedure">
    <w:name w:val="Heading Procedure"/>
    <w:basedOn w:val="HeadingBase"/>
    <w:next w:val="Normal"/>
    <w:rsid w:val="001F2B61"/>
    <w:pPr>
      <w:tabs>
        <w:tab w:val="left" w:pos="0"/>
      </w:tabs>
      <w:spacing w:before="120" w:after="60"/>
    </w:pPr>
    <w:rPr>
      <w:i/>
      <w:color w:val="918585"/>
      <w:sz w:val="22"/>
    </w:rPr>
  </w:style>
  <w:style w:type="paragraph" w:customStyle="1" w:styleId="TableBodyText">
    <w:name w:val="Table Body Text"/>
    <w:basedOn w:val="BodyText"/>
    <w:rsid w:val="001F2B61"/>
    <w:pPr>
      <w:spacing w:before="60" w:after="60"/>
    </w:pPr>
  </w:style>
  <w:style w:type="paragraph" w:styleId="ListContinue">
    <w:name w:val="List Continue"/>
    <w:basedOn w:val="List"/>
    <w:rsid w:val="001F2B61"/>
    <w:pPr>
      <w:ind w:firstLine="0"/>
    </w:pPr>
  </w:style>
  <w:style w:type="paragraph" w:customStyle="1" w:styleId="ListNote">
    <w:name w:val="List Note"/>
    <w:basedOn w:val="List"/>
    <w:rsid w:val="001F2B61"/>
    <w:pPr>
      <w:pBdr>
        <w:top w:val="single" w:sz="6" w:space="2" w:color="918585"/>
        <w:bottom w:val="single" w:sz="6" w:space="2" w:color="918585"/>
      </w:pBdr>
      <w:tabs>
        <w:tab w:val="left" w:pos="1021"/>
      </w:tabs>
      <w:ind w:firstLine="0"/>
    </w:pPr>
  </w:style>
  <w:style w:type="paragraph" w:customStyle="1" w:styleId="Warning">
    <w:name w:val="Warning"/>
    <w:basedOn w:val="BodyText"/>
    <w:rsid w:val="001F2B61"/>
    <w:pPr>
      <w:shd w:val="clear" w:color="auto" w:fill="D9D9D9"/>
      <w:tabs>
        <w:tab w:val="left" w:pos="992"/>
      </w:tabs>
      <w:ind w:left="119" w:right="119"/>
    </w:pPr>
    <w:rPr>
      <w:sz w:val="20"/>
    </w:rPr>
  </w:style>
  <w:style w:type="paragraph" w:customStyle="1" w:styleId="MarginIcons">
    <w:name w:val="Margin Icons"/>
    <w:basedOn w:val="BodyText"/>
    <w:rsid w:val="001F2B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2B61"/>
    <w:rPr>
      <w:rFonts w:ascii="Courier New" w:hAnsi="Courier New"/>
    </w:rPr>
  </w:style>
  <w:style w:type="paragraph" w:customStyle="1" w:styleId="NoteBullet">
    <w:name w:val="Note Bullet"/>
    <w:basedOn w:val="Note"/>
    <w:rsid w:val="001F2B61"/>
    <w:pPr>
      <w:tabs>
        <w:tab w:val="clear" w:pos="680"/>
      </w:tabs>
      <w:spacing w:before="60" w:after="60"/>
    </w:pPr>
  </w:style>
  <w:style w:type="paragraph" w:customStyle="1" w:styleId="SubHeading2">
    <w:name w:val="SubHeading2"/>
    <w:basedOn w:val="HeadingBase"/>
    <w:rsid w:val="001F2B61"/>
    <w:pPr>
      <w:spacing w:before="240" w:after="60"/>
    </w:pPr>
    <w:rPr>
      <w:sz w:val="20"/>
    </w:rPr>
  </w:style>
  <w:style w:type="paragraph" w:customStyle="1" w:styleId="SubHeading1">
    <w:name w:val="SubHeading1"/>
    <w:basedOn w:val="HeadingBase"/>
    <w:rsid w:val="001F2B61"/>
    <w:pPr>
      <w:spacing w:before="240" w:after="60"/>
    </w:pPr>
    <w:rPr>
      <w:color w:val="918585"/>
      <w:sz w:val="22"/>
    </w:rPr>
  </w:style>
  <w:style w:type="paragraph" w:customStyle="1" w:styleId="SideHeading">
    <w:name w:val="Side Heading"/>
    <w:basedOn w:val="HeadingBase"/>
    <w:rsid w:val="001F2B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2B61"/>
    <w:pPr>
      <w:numPr>
        <w:numId w:val="13"/>
      </w:numPr>
    </w:pPr>
  </w:style>
  <w:style w:type="paragraph" w:styleId="PlainText">
    <w:name w:val="Plain Text"/>
    <w:basedOn w:val="Normal"/>
    <w:link w:val="PlainTextChar"/>
    <w:rsid w:val="001F2B61"/>
    <w:rPr>
      <w:sz w:val="20"/>
    </w:rPr>
  </w:style>
  <w:style w:type="character" w:customStyle="1" w:styleId="PlainTextChar">
    <w:name w:val="Plain Text Char"/>
    <w:basedOn w:val="DefaultParagraphFont"/>
    <w:link w:val="PlainText"/>
    <w:rsid w:val="001F2B61"/>
    <w:rPr>
      <w:rFonts w:ascii="Courier New" w:eastAsia="Times New Roman" w:hAnsi="Courier New" w:cs="Times New Roman"/>
      <w:sz w:val="20"/>
      <w:szCs w:val="20"/>
      <w:lang w:eastAsia="en-US"/>
    </w:rPr>
  </w:style>
  <w:style w:type="character" w:customStyle="1" w:styleId="MenuOption">
    <w:name w:val="Menu Option"/>
    <w:basedOn w:val="DefaultParagraphFont"/>
    <w:rsid w:val="001F2B61"/>
    <w:rPr>
      <w:b/>
      <w:smallCaps/>
    </w:rPr>
  </w:style>
  <w:style w:type="paragraph" w:customStyle="1" w:styleId="TableListNumber">
    <w:name w:val="Table List Number"/>
    <w:basedOn w:val="ListNumber"/>
    <w:rsid w:val="001F2B61"/>
    <w:pPr>
      <w:numPr>
        <w:numId w:val="0"/>
      </w:numPr>
    </w:pPr>
  </w:style>
  <w:style w:type="paragraph" w:styleId="TOC4">
    <w:name w:val="toc 4"/>
    <w:basedOn w:val="TOCBase"/>
    <w:next w:val="Normal"/>
    <w:semiHidden/>
    <w:rsid w:val="001F2B61"/>
    <w:pPr>
      <w:tabs>
        <w:tab w:val="right" w:leader="dot" w:pos="9071"/>
      </w:tabs>
      <w:ind w:left="1701"/>
    </w:pPr>
  </w:style>
  <w:style w:type="paragraph" w:customStyle="1" w:styleId="ListAlpha">
    <w:name w:val="List Alpha"/>
    <w:basedOn w:val="List"/>
    <w:rsid w:val="001F2B61"/>
    <w:pPr>
      <w:numPr>
        <w:numId w:val="10"/>
      </w:numPr>
    </w:pPr>
  </w:style>
  <w:style w:type="paragraph" w:customStyle="1" w:styleId="ListAlpha2">
    <w:name w:val="List Alpha 2"/>
    <w:basedOn w:val="List2"/>
    <w:rsid w:val="001F2B61"/>
    <w:pPr>
      <w:numPr>
        <w:numId w:val="9"/>
      </w:numPr>
    </w:pPr>
  </w:style>
  <w:style w:type="paragraph" w:styleId="List3">
    <w:name w:val="List 3"/>
    <w:basedOn w:val="BodyText"/>
    <w:rsid w:val="001F2B61"/>
    <w:pPr>
      <w:tabs>
        <w:tab w:val="left" w:pos="1021"/>
      </w:tabs>
      <w:spacing w:before="60" w:after="60"/>
      <w:ind w:left="1020" w:hanging="340"/>
    </w:pPr>
  </w:style>
  <w:style w:type="paragraph" w:styleId="List4">
    <w:name w:val="List 4"/>
    <w:basedOn w:val="BodyText"/>
    <w:rsid w:val="001F2B61"/>
    <w:pPr>
      <w:tabs>
        <w:tab w:val="left" w:pos="1361"/>
      </w:tabs>
      <w:spacing w:before="60" w:after="60"/>
      <w:ind w:left="1361" w:hanging="340"/>
    </w:pPr>
  </w:style>
  <w:style w:type="paragraph" w:styleId="List5">
    <w:name w:val="List 5"/>
    <w:basedOn w:val="BodyText"/>
    <w:rsid w:val="001F2B61"/>
    <w:pPr>
      <w:tabs>
        <w:tab w:val="left" w:pos="1701"/>
      </w:tabs>
      <w:spacing w:before="60" w:after="60"/>
      <w:ind w:left="1701" w:hanging="340"/>
    </w:pPr>
  </w:style>
  <w:style w:type="paragraph" w:styleId="ListBullet4">
    <w:name w:val="List Bullet 4"/>
    <w:basedOn w:val="List4"/>
    <w:rsid w:val="001F2B61"/>
    <w:pPr>
      <w:numPr>
        <w:numId w:val="4"/>
      </w:numPr>
    </w:pPr>
  </w:style>
  <w:style w:type="paragraph" w:styleId="ListBullet5">
    <w:name w:val="List Bullet 5"/>
    <w:basedOn w:val="List5"/>
    <w:rsid w:val="001F2B61"/>
    <w:pPr>
      <w:numPr>
        <w:numId w:val="5"/>
      </w:numPr>
    </w:pPr>
  </w:style>
  <w:style w:type="paragraph" w:styleId="ListContinue2">
    <w:name w:val="List Continue 2"/>
    <w:basedOn w:val="List2"/>
    <w:rsid w:val="001F2B61"/>
    <w:pPr>
      <w:ind w:firstLine="0"/>
    </w:pPr>
  </w:style>
  <w:style w:type="paragraph" w:styleId="ListContinue3">
    <w:name w:val="List Continue 3"/>
    <w:basedOn w:val="List3"/>
    <w:rsid w:val="001F2B61"/>
    <w:pPr>
      <w:ind w:left="1021" w:firstLine="0"/>
    </w:pPr>
  </w:style>
  <w:style w:type="paragraph" w:styleId="ListContinue4">
    <w:name w:val="List Continue 4"/>
    <w:basedOn w:val="List4"/>
    <w:rsid w:val="001F2B61"/>
    <w:pPr>
      <w:ind w:firstLine="0"/>
    </w:pPr>
  </w:style>
  <w:style w:type="paragraph" w:styleId="ListContinue5">
    <w:name w:val="List Continue 5"/>
    <w:basedOn w:val="List5"/>
    <w:rsid w:val="001F2B61"/>
    <w:pPr>
      <w:ind w:firstLine="0"/>
    </w:pPr>
  </w:style>
  <w:style w:type="paragraph" w:styleId="ListNumber3">
    <w:name w:val="List Number 3"/>
    <w:basedOn w:val="List3"/>
    <w:rsid w:val="001F2B61"/>
    <w:pPr>
      <w:numPr>
        <w:numId w:val="6"/>
      </w:numPr>
    </w:pPr>
  </w:style>
  <w:style w:type="paragraph" w:styleId="ListNumber4">
    <w:name w:val="List Number 4"/>
    <w:basedOn w:val="List4"/>
    <w:rsid w:val="001F2B61"/>
    <w:pPr>
      <w:numPr>
        <w:numId w:val="7"/>
      </w:numPr>
    </w:pPr>
  </w:style>
  <w:style w:type="paragraph" w:styleId="ListNumber5">
    <w:name w:val="List Number 5"/>
    <w:basedOn w:val="List5"/>
    <w:rsid w:val="001F2B61"/>
    <w:pPr>
      <w:numPr>
        <w:numId w:val="8"/>
      </w:numPr>
    </w:pPr>
  </w:style>
  <w:style w:type="paragraph" w:styleId="BlockText">
    <w:name w:val="Block Text"/>
    <w:basedOn w:val="Normal"/>
    <w:rsid w:val="001F2B61"/>
    <w:pPr>
      <w:spacing w:after="120"/>
      <w:ind w:left="1440" w:right="1440"/>
    </w:pPr>
  </w:style>
  <w:style w:type="character" w:customStyle="1" w:styleId="Subscript">
    <w:name w:val="Subscript"/>
    <w:basedOn w:val="DefaultParagraphFont"/>
    <w:rsid w:val="001F2B61"/>
    <w:rPr>
      <w:sz w:val="16"/>
      <w:vertAlign w:val="subscript"/>
    </w:rPr>
  </w:style>
  <w:style w:type="character" w:customStyle="1" w:styleId="Superscript">
    <w:name w:val="Superscript"/>
    <w:basedOn w:val="DefaultParagraphFont"/>
    <w:rsid w:val="001F2B61"/>
    <w:rPr>
      <w:sz w:val="16"/>
      <w:vertAlign w:val="superscript"/>
    </w:rPr>
  </w:style>
  <w:style w:type="character" w:customStyle="1" w:styleId="Symbols">
    <w:name w:val="Symbols"/>
    <w:basedOn w:val="DefaultParagraphFont"/>
    <w:rsid w:val="001F2B61"/>
    <w:rPr>
      <w:rFonts w:ascii="Symbol" w:hAnsi="Symbol"/>
    </w:rPr>
  </w:style>
  <w:style w:type="character" w:customStyle="1" w:styleId="MenuOptions">
    <w:name w:val="Menu Options"/>
    <w:basedOn w:val="DefaultParagraphFont"/>
    <w:rsid w:val="001F2B61"/>
    <w:rPr>
      <w:rFonts w:ascii="Arial Narrow" w:hAnsi="Arial Narrow"/>
      <w:smallCaps/>
    </w:rPr>
  </w:style>
  <w:style w:type="character" w:customStyle="1" w:styleId="Buttons">
    <w:name w:val="Buttons"/>
    <w:basedOn w:val="DefaultParagraphFont"/>
    <w:rsid w:val="001F2B61"/>
    <w:rPr>
      <w:b/>
    </w:rPr>
  </w:style>
  <w:style w:type="character" w:customStyle="1" w:styleId="Underlined">
    <w:name w:val="Underlined"/>
    <w:basedOn w:val="DefaultParagraphFont"/>
    <w:rsid w:val="001F2B61"/>
    <w:rPr>
      <w:u w:val="single"/>
    </w:rPr>
  </w:style>
  <w:style w:type="paragraph" w:customStyle="1" w:styleId="TableBodyTextRight">
    <w:name w:val="Table Body Text Right"/>
    <w:basedOn w:val="TableBodyText"/>
    <w:rsid w:val="001F2B61"/>
    <w:pPr>
      <w:widowControl w:val="0"/>
      <w:autoSpaceDE w:val="0"/>
      <w:autoSpaceDN w:val="0"/>
      <w:adjustRightInd w:val="0"/>
      <w:jc w:val="right"/>
    </w:pPr>
    <w:rPr>
      <w:rFonts w:cs="Arial"/>
      <w:szCs w:val="18"/>
    </w:rPr>
  </w:style>
  <w:style w:type="paragraph" w:customStyle="1" w:styleId="CopyrightText">
    <w:name w:val="Copyright Text"/>
    <w:basedOn w:val="BodyText"/>
    <w:rsid w:val="001F2B61"/>
    <w:rPr>
      <w:sz w:val="18"/>
    </w:rPr>
  </w:style>
  <w:style w:type="paragraph" w:customStyle="1" w:styleId="BodySmallRight">
    <w:name w:val="Body Small Right"/>
    <w:basedOn w:val="BodyTextRight"/>
    <w:rsid w:val="001F2B61"/>
    <w:rPr>
      <w:sz w:val="18"/>
      <w:szCs w:val="18"/>
    </w:rPr>
  </w:style>
  <w:style w:type="paragraph" w:customStyle="1" w:styleId="MarginEdition">
    <w:name w:val="Margin Edition"/>
    <w:basedOn w:val="MarginNote"/>
    <w:rsid w:val="001F2B61"/>
    <w:pPr>
      <w:spacing w:before="0" w:after="0"/>
    </w:pPr>
    <w:rPr>
      <w:rFonts w:ascii="Times New Roman" w:hAnsi="Times New Roman"/>
      <w:color w:val="999999"/>
    </w:rPr>
  </w:style>
  <w:style w:type="paragraph" w:customStyle="1" w:styleId="Spacer">
    <w:name w:val="Spacer"/>
    <w:basedOn w:val="Normal"/>
    <w:rsid w:val="001F2B61"/>
    <w:rPr>
      <w:sz w:val="2"/>
      <w:szCs w:val="2"/>
    </w:rPr>
  </w:style>
  <w:style w:type="character" w:customStyle="1" w:styleId="Small">
    <w:name w:val="Small"/>
    <w:basedOn w:val="DefaultParagraphFont"/>
    <w:rsid w:val="001F2B61"/>
    <w:rPr>
      <w:sz w:val="16"/>
    </w:rPr>
  </w:style>
  <w:style w:type="paragraph" w:customStyle="1" w:styleId="WideTable">
    <w:name w:val="Wide Table"/>
    <w:basedOn w:val="Normal"/>
    <w:rsid w:val="001F2B61"/>
    <w:pPr>
      <w:ind w:left="-1418"/>
    </w:pPr>
    <w:rPr>
      <w:sz w:val="2"/>
      <w:szCs w:val="2"/>
    </w:rPr>
  </w:style>
  <w:style w:type="character" w:styleId="PageNumber">
    <w:name w:val="page number"/>
    <w:basedOn w:val="DefaultParagraphFont"/>
    <w:rsid w:val="001F2B61"/>
  </w:style>
  <w:style w:type="paragraph" w:styleId="Quote">
    <w:name w:val="Quote"/>
    <w:basedOn w:val="Heading1"/>
    <w:link w:val="QuoteChar"/>
    <w:qFormat/>
    <w:rsid w:val="001F2B61"/>
    <w:rPr>
      <w:b w:val="0"/>
      <w:sz w:val="72"/>
      <w:szCs w:val="72"/>
      <w:lang w:val="en-NZ"/>
    </w:rPr>
  </w:style>
  <w:style w:type="character" w:customStyle="1" w:styleId="QuoteChar">
    <w:name w:val="Quote Char"/>
    <w:basedOn w:val="DefaultParagraphFont"/>
    <w:link w:val="Quote"/>
    <w:rsid w:val="001F2B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2B61"/>
    <w:pPr>
      <w:pageBreakBefore/>
    </w:pPr>
  </w:style>
  <w:style w:type="paragraph" w:customStyle="1" w:styleId="Border">
    <w:name w:val="Border"/>
    <w:basedOn w:val="Normal"/>
    <w:qFormat/>
    <w:rsid w:val="001F2B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2B61"/>
    <w:rPr>
      <w:b/>
      <w:bCs/>
      <w:i/>
      <w:iCs/>
      <w:color w:val="auto"/>
    </w:rPr>
  </w:style>
  <w:style w:type="paragraph" w:styleId="IntenseQuote">
    <w:name w:val="Intense Quote"/>
    <w:basedOn w:val="Normal"/>
    <w:next w:val="Normal"/>
    <w:link w:val="IntenseQuoteChar"/>
    <w:uiPriority w:val="30"/>
    <w:qFormat/>
    <w:rsid w:val="001F2B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2B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2B61"/>
    <w:rPr>
      <w:smallCaps/>
      <w:color w:val="auto"/>
      <w:u w:val="single"/>
    </w:rPr>
  </w:style>
  <w:style w:type="character" w:styleId="IntenseReference">
    <w:name w:val="Intense Reference"/>
    <w:basedOn w:val="DefaultParagraphFont"/>
    <w:uiPriority w:val="32"/>
    <w:qFormat/>
    <w:rsid w:val="001F2B61"/>
    <w:rPr>
      <w:b/>
      <w:bCs/>
      <w:smallCaps/>
      <w:color w:val="auto"/>
      <w:spacing w:val="5"/>
      <w:u w:val="single"/>
    </w:rPr>
  </w:style>
  <w:style w:type="paragraph" w:customStyle="1" w:styleId="2ColumnHeading">
    <w:name w:val="2Column Heading"/>
    <w:basedOn w:val="BodyText"/>
    <w:qFormat/>
    <w:rsid w:val="001F2B61"/>
    <w:pPr>
      <w:spacing w:after="60"/>
      <w:ind w:left="-2268"/>
    </w:pPr>
    <w:rPr>
      <w:b/>
    </w:rPr>
  </w:style>
  <w:style w:type="paragraph" w:customStyle="1" w:styleId="Heading1TOC">
    <w:name w:val="Heading1 TOC"/>
    <w:basedOn w:val="Normal"/>
    <w:qFormat/>
    <w:rsid w:val="001F2B61"/>
    <w:pPr>
      <w:spacing w:before="240" w:after="120"/>
    </w:pPr>
    <w:rPr>
      <w:rFonts w:ascii="Times New Roman" w:hAnsi="Times New Roman"/>
      <w:b/>
      <w:sz w:val="32"/>
    </w:rPr>
  </w:style>
  <w:style w:type="paragraph" w:customStyle="1" w:styleId="Heading2TOC">
    <w:name w:val="Heading2 TOC"/>
    <w:basedOn w:val="Normal"/>
    <w:qFormat/>
    <w:rsid w:val="001F2B61"/>
    <w:pPr>
      <w:spacing w:before="240" w:after="60"/>
    </w:pPr>
    <w:rPr>
      <w:rFonts w:ascii="Times New Roman" w:hAnsi="Times New Roman"/>
      <w:b/>
      <w:sz w:val="28"/>
    </w:rPr>
  </w:style>
  <w:style w:type="character" w:customStyle="1" w:styleId="Underline">
    <w:name w:val="Underline"/>
    <w:basedOn w:val="DefaultParagraphFont"/>
    <w:qFormat/>
    <w:rsid w:val="001F2B61"/>
    <w:rPr>
      <w:u w:val="single"/>
    </w:rPr>
  </w:style>
  <w:style w:type="paragraph" w:styleId="BalloonText">
    <w:name w:val="Balloon Text"/>
    <w:basedOn w:val="Normal"/>
    <w:link w:val="BalloonTextChar"/>
    <w:rsid w:val="001F2B61"/>
    <w:rPr>
      <w:rFonts w:ascii="Tahoma" w:hAnsi="Tahoma" w:cs="Tahoma"/>
      <w:sz w:val="16"/>
      <w:szCs w:val="16"/>
    </w:rPr>
  </w:style>
  <w:style w:type="character" w:customStyle="1" w:styleId="BalloonTextChar">
    <w:name w:val="Balloon Text Char"/>
    <w:basedOn w:val="DefaultParagraphFont"/>
    <w:link w:val="BalloonText"/>
    <w:rsid w:val="001F2B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2B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2B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2B61"/>
    <w:rPr>
      <w:b/>
      <w:color w:val="660033"/>
      <w:spacing w:val="0"/>
    </w:rPr>
  </w:style>
  <w:style w:type="paragraph" w:customStyle="1" w:styleId="Nameditemlist">
    <w:name w:val="Named item list"/>
    <w:basedOn w:val="BodyText"/>
    <w:qFormat/>
    <w:rsid w:val="001F2B6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1730</Words>
  <Characters>11523</Characters>
  <Application>Microsoft Office Word</Application>
  <DocSecurity>0</DocSecurity>
  <Lines>376</Lines>
  <Paragraphs>157</Paragraphs>
  <ScaleCrop>false</ScaleCrop>
  <Company>Author-it Software Corporation Ltd.</Company>
  <LinksUpToDate>false</LinksUpToDate>
  <CharactersWithSpaces>13174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CPCCBC5011A Manage environmental management practices and processes in building and construction</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2012-10-05T13:24:00Z</dcterms:created>
  <dcterms:modified xsi:type="dcterms:W3CDTF">2012-10-05T13:24:00Z</dcterms:modified>
</cp:coreProperties>
</file>