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44F0" w:rsidP="00DA44F0">
      <w:pPr>
        <w:pStyle w:val="Title"/>
      </w:pPr>
      <w:r>
        <w:fldChar w:fldCharType="begin"/>
      </w:r>
      <w:r>
        <w:instrText xml:space="preserve"> TITLE   \* MERGEFORMAT </w:instrText>
      </w:r>
      <w:r>
        <w:fldChar w:fldCharType="separate"/>
      </w:r>
      <w:r>
        <w:t>CPCCBC4041A Undertake preparations for refractory work</w:t>
      </w:r>
      <w:r>
        <w:fldChar w:fldCharType="end"/>
      </w:r>
    </w:p>
    <w:p w:rsidR="00DA44F0" w:rsidP="00DA44F0">
      <w:pPr>
        <w:pStyle w:val="Version"/>
        <w:sectPr w:rsidSect="004C50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50ED" w:rsidP="004C50ED">
      <w:pPr>
        <w:pStyle w:val="SuperHeading"/>
      </w:pPr>
      <w:r w:rsidRPr="004C50ED">
        <w:t>CPCCBC4041A Undertake preparations for refractory work</w:t>
      </w:r>
    </w:p>
    <w:p w:rsidR="00000000" w:rsidRPr="004C50ED" w:rsidP="004C50ED">
      <w:pPr>
        <w:pStyle w:val="Heading1"/>
      </w:pPr>
      <w:bookmarkStart w:id="1" w:name="O_269438"/>
      <w:bookmarkEnd w:id="1"/>
      <w:r w:rsidRPr="004C50ED">
        <w:t>Modification History</w:t>
      </w:r>
    </w:p>
    <w:p w:rsidR="00000000" w:rsidRPr="004C50ED" w:rsidP="004C50ED">
      <w:pPr>
        <w:pStyle w:val="BodyText"/>
      </w:pPr>
      <w:r w:rsidRPr="004C50ED">
        <w:t>Not Applicable</w:t>
      </w:r>
    </w:p>
    <w:p w:rsidR="00000000" w:rsidRPr="004C50ED" w:rsidP="004C50ED">
      <w:pPr>
        <w:pStyle w:val="AllowPageBreak"/>
      </w:pPr>
    </w:p>
    <w:p w:rsidR="00000000" w:rsidRPr="004C50ED" w:rsidP="004C50ED">
      <w:pPr>
        <w:pStyle w:val="Heading1"/>
      </w:pPr>
      <w:bookmarkStart w:id="2" w:name="O_196926"/>
      <w:bookmarkEnd w:id="2"/>
      <w:r w:rsidRPr="004C50ED">
        <w:t>Unit Descriptor</w:t>
      </w:r>
    </w:p>
    <w:tbl>
      <w:tblPr>
        <w:tblW w:w="0" w:type="auto"/>
        <w:tblLayout w:type="fixed"/>
        <w:tblCellMar>
          <w:left w:w="62" w:type="dxa"/>
          <w:right w:w="62" w:type="dxa"/>
        </w:tblCellMar>
        <w:tblLook w:val="0000"/>
      </w:tblPr>
      <w:tblGrid>
        <w:gridCol w:w="2638"/>
        <w:gridCol w:w="5884"/>
      </w:tblGrid>
      <w:tr w:rsidTr="00DA44F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4C50ED">
            <w:pPr>
              <w:pStyle w:val="BodyText"/>
              <w:rPr>
                <w:lang w:val="en-NZ"/>
              </w:rPr>
            </w:pPr>
            <w:r w:rsidRPr="004C50ED">
              <w:rPr>
                <w:rStyle w:val="SpecialBold"/>
              </w:rPr>
              <w:t>Unit descriptor</w:t>
            </w:r>
          </w:p>
        </w:tc>
        <w:tc>
          <w:tcPr>
            <w:tcW w:w="5884" w:type="dxa"/>
            <w:tcBorders>
              <w:top w:val="nil"/>
              <w:left w:val="nil"/>
              <w:bottom w:val="nil"/>
              <w:right w:val="nil"/>
            </w:tcBorders>
            <w:tcMar>
              <w:top w:w="0" w:type="dxa"/>
              <w:left w:w="62" w:type="dxa"/>
              <w:bottom w:w="0" w:type="dxa"/>
              <w:right w:w="62" w:type="dxa"/>
            </w:tcMar>
          </w:tcPr>
          <w:p w:rsidR="00000000" w:rsidRPr="004C50ED" w:rsidP="004C50ED">
            <w:pPr>
              <w:pStyle w:val="BodyText"/>
            </w:pPr>
            <w:r w:rsidRPr="004C50ED">
              <w:t>This unit of competency specifies the outcomes required to undertake basic preparations prior to</w:t>
            </w:r>
            <w:r w:rsidRPr="004C50ED">
              <w:t xml:space="preserve"> the commencement of work using refractory bricks and materials. It covers reading and interpreting plans and specifications, ensuring the use of quality materials as specified by engineers, and implementing relevant safety precautions prior to commencemen</w:t>
            </w:r>
            <w:r w:rsidRPr="004C50ED">
              <w:t>t of work.</w:t>
            </w:r>
          </w:p>
        </w:tc>
      </w:tr>
    </w:tbl>
    <w:p w:rsidR="00DA44F0" w:rsidP="004C50ED">
      <w:pPr>
        <w:pStyle w:val="BodyText"/>
      </w:pPr>
    </w:p>
    <w:p w:rsidR="00DA44F0" w:rsidP="004C50ED">
      <w:pPr>
        <w:pStyle w:val="BodyText"/>
      </w:pPr>
    </w:p>
    <w:p w:rsidR="00000000" w:rsidRPr="004C50ED" w:rsidP="004C50ED">
      <w:pPr>
        <w:pStyle w:val="Heading1"/>
      </w:pPr>
      <w:bookmarkStart w:id="3" w:name="O_196930"/>
      <w:bookmarkEnd w:id="3"/>
      <w:r w:rsidRPr="004C50ED">
        <w:t>Application of the Unit</w:t>
      </w:r>
    </w:p>
    <w:tbl>
      <w:tblPr>
        <w:tblW w:w="0" w:type="auto"/>
        <w:tblLayout w:type="fixed"/>
        <w:tblCellMar>
          <w:left w:w="62" w:type="dxa"/>
          <w:right w:w="62" w:type="dxa"/>
        </w:tblCellMar>
        <w:tblLook w:val="0000"/>
      </w:tblPr>
      <w:tblGrid>
        <w:gridCol w:w="2729"/>
        <w:gridCol w:w="5793"/>
      </w:tblGrid>
      <w:tr w:rsidTr="00DA44F0">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4C50ED">
            <w:pPr>
              <w:pStyle w:val="BodyText"/>
              <w:rPr>
                <w:lang w:val="en-NZ"/>
              </w:rPr>
            </w:pPr>
            <w:r w:rsidRPr="004C50ED">
              <w:rPr>
                <w:rStyle w:val="SpecialBold"/>
              </w:rPr>
              <w:t>Application of the unit</w:t>
            </w:r>
          </w:p>
        </w:tc>
        <w:tc>
          <w:tcPr>
            <w:tcW w:w="5793" w:type="dxa"/>
            <w:tcBorders>
              <w:top w:val="nil"/>
              <w:left w:val="nil"/>
              <w:bottom w:val="nil"/>
              <w:right w:val="nil"/>
            </w:tcBorders>
            <w:tcMar>
              <w:top w:w="0" w:type="dxa"/>
              <w:left w:w="62" w:type="dxa"/>
              <w:bottom w:w="0" w:type="dxa"/>
              <w:right w:w="62" w:type="dxa"/>
            </w:tcMar>
          </w:tcPr>
          <w:p w:rsidR="00000000" w:rsidRPr="004C50ED" w:rsidP="004C50ED">
            <w:pPr>
              <w:pStyle w:val="BodyText"/>
            </w:pPr>
            <w:r w:rsidRPr="004C50ED">
              <w:t xml:space="preserve">This unit of competency supports specialist and advanced tradespersons working in refractory bricklaying. It may be applied in the construction </w:t>
            </w:r>
            <w:r w:rsidRPr="004C50ED">
              <w:t xml:space="preserve">or repair of various fire resistant structures, including boilers, kilns and industrial furnaces. </w:t>
            </w:r>
          </w:p>
        </w:tc>
      </w:tr>
    </w:tbl>
    <w:p w:rsidR="00DA44F0" w:rsidP="004C50ED">
      <w:pPr>
        <w:pStyle w:val="BodyText"/>
      </w:pPr>
    </w:p>
    <w:p w:rsidR="00DA44F0" w:rsidP="004C50ED">
      <w:pPr>
        <w:pStyle w:val="BodyText"/>
      </w:pPr>
    </w:p>
    <w:p w:rsidR="00000000" w:rsidRPr="004C50ED" w:rsidP="004C50ED">
      <w:pPr>
        <w:pStyle w:val="Heading1"/>
      </w:pPr>
      <w:bookmarkStart w:id="4" w:name="O_277698"/>
      <w:bookmarkEnd w:id="4"/>
      <w:r w:rsidRPr="004C50ED">
        <w:t>Licensing/Regulatory Information</w:t>
      </w:r>
    </w:p>
    <w:p w:rsidR="00000000" w:rsidRPr="004C50ED" w:rsidP="004C50ED">
      <w:pPr>
        <w:pStyle w:val="BodyText"/>
      </w:pPr>
      <w:r w:rsidRPr="004C50ED">
        <w:t>Not Applicable</w:t>
      </w:r>
    </w:p>
    <w:p w:rsidR="00000000" w:rsidRPr="004C50ED" w:rsidP="004C50ED">
      <w:pPr>
        <w:pStyle w:val="AllowPageBreak"/>
      </w:pPr>
    </w:p>
    <w:p w:rsidR="00000000" w:rsidRPr="004C50ED" w:rsidP="004C50ED">
      <w:pPr>
        <w:pStyle w:val="Heading1"/>
      </w:pPr>
      <w:bookmarkStart w:id="5" w:name="O_196928"/>
      <w:bookmarkEnd w:id="5"/>
      <w:r w:rsidRPr="004C50ED">
        <w:t>Pre-Requisites</w:t>
      </w:r>
    </w:p>
    <w:tbl>
      <w:tblPr>
        <w:tblW w:w="0" w:type="auto"/>
        <w:tblLayout w:type="fixed"/>
        <w:tblCellMar>
          <w:left w:w="62" w:type="dxa"/>
          <w:right w:w="62" w:type="dxa"/>
        </w:tblCellMar>
        <w:tblLook w:val="0000"/>
      </w:tblPr>
      <w:tblGrid>
        <w:gridCol w:w="2740"/>
        <w:gridCol w:w="5782"/>
      </w:tblGrid>
      <w:tr w:rsidTr="00DA44F0">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4C50ED">
            <w:pPr>
              <w:pStyle w:val="BodyText"/>
              <w:rPr>
                <w:lang w:val="en-NZ"/>
              </w:rPr>
            </w:pPr>
            <w:r w:rsidRPr="004C50ED">
              <w:rPr>
                <w:rStyle w:val="SpecialBold"/>
              </w:rPr>
              <w:t>Prerequisite units</w:t>
            </w:r>
          </w:p>
        </w:tc>
        <w:tc>
          <w:tcPr>
            <w:tcW w:w="5782" w:type="dxa"/>
            <w:tcBorders>
              <w:top w:val="nil"/>
              <w:left w:val="nil"/>
              <w:bottom w:val="nil"/>
              <w:right w:val="nil"/>
            </w:tcBorders>
            <w:tcMar>
              <w:top w:w="0" w:type="dxa"/>
              <w:left w:w="62" w:type="dxa"/>
              <w:bottom w:w="0" w:type="dxa"/>
              <w:right w:w="62" w:type="dxa"/>
            </w:tcMar>
          </w:tcPr>
          <w:p w:rsidR="00000000" w:rsidRPr="004C50ED" w:rsidP="004C50ED">
            <w:pPr>
              <w:pStyle w:val="BodyText"/>
            </w:pPr>
            <w:r w:rsidRPr="004C50ED">
              <w:t>Nil</w:t>
            </w:r>
          </w:p>
        </w:tc>
      </w:tr>
    </w:tbl>
    <w:p w:rsidR="00DA44F0" w:rsidP="004C50ED">
      <w:pPr>
        <w:pStyle w:val="BodyText"/>
      </w:pPr>
    </w:p>
    <w:p w:rsidR="00DA44F0" w:rsidP="004C50ED">
      <w:pPr>
        <w:pStyle w:val="BodyText"/>
      </w:pPr>
    </w:p>
    <w:p w:rsidR="00000000" w:rsidRPr="004C50ED" w:rsidP="004C50ED">
      <w:pPr>
        <w:pStyle w:val="Heading1"/>
      </w:pPr>
      <w:bookmarkStart w:id="6" w:name="O_196927"/>
      <w:bookmarkEnd w:id="6"/>
      <w:r w:rsidRPr="004C50ED">
        <w:t>Employability Skills Information</w:t>
      </w:r>
    </w:p>
    <w:tbl>
      <w:tblPr>
        <w:tblW w:w="0" w:type="auto"/>
        <w:tblLayout w:type="fixed"/>
        <w:tblCellMar>
          <w:left w:w="62" w:type="dxa"/>
          <w:right w:w="62" w:type="dxa"/>
        </w:tblCellMar>
        <w:tblLook w:val="0000"/>
      </w:tblPr>
      <w:tblGrid>
        <w:gridCol w:w="2773"/>
        <w:gridCol w:w="5749"/>
      </w:tblGrid>
      <w:tr w:rsidTr="00DA44F0">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4C50ED">
            <w:pPr>
              <w:pStyle w:val="BodyText"/>
              <w:rPr>
                <w:lang w:val="en-NZ"/>
              </w:rPr>
            </w:pPr>
            <w:r w:rsidRPr="004C50ED">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4C50ED" w:rsidP="004C50ED">
            <w:pPr>
              <w:pStyle w:val="BodyText"/>
            </w:pPr>
            <w:r w:rsidRPr="004C50ED">
              <w:t>This unit contains employability skills.</w:t>
            </w:r>
          </w:p>
        </w:tc>
      </w:tr>
    </w:tbl>
    <w:p w:rsidR="00DA44F0" w:rsidP="004C50ED">
      <w:pPr>
        <w:pStyle w:val="BodyText"/>
      </w:pPr>
    </w:p>
    <w:p w:rsidR="00DA44F0" w:rsidP="004C50ED">
      <w:pPr>
        <w:pStyle w:val="BodyText"/>
      </w:pPr>
    </w:p>
    <w:p w:rsidR="00000000" w:rsidRPr="004C50ED" w:rsidP="004C50ED">
      <w:pPr>
        <w:pStyle w:val="Heading1"/>
      </w:pPr>
      <w:bookmarkStart w:id="7" w:name="O_287484"/>
      <w:bookmarkEnd w:id="7"/>
      <w:r w:rsidRPr="004C50ED">
        <w:t>Elements and Performance Criteria Pre-Content</w:t>
      </w:r>
    </w:p>
    <w:tbl>
      <w:tblPr>
        <w:tblW w:w="0" w:type="auto"/>
        <w:tblLayout w:type="fixed"/>
        <w:tblCellMar>
          <w:left w:w="62" w:type="dxa"/>
          <w:right w:w="62" w:type="dxa"/>
        </w:tblCellMar>
        <w:tblLook w:val="0000"/>
      </w:tblPr>
      <w:tblGrid>
        <w:gridCol w:w="2582"/>
        <w:gridCol w:w="5940"/>
      </w:tblGrid>
      <w:tr w:rsidTr="00DA44F0">
        <w:tblPrEx>
          <w:tblW w:w="0" w:type="auto"/>
          <w:tblLayout w:type="fixed"/>
          <w:tblCellMar>
            <w:left w:w="62" w:type="dxa"/>
            <w:right w:w="62" w:type="dxa"/>
          </w:tblCellMar>
          <w:tblLook w:val="0000"/>
        </w:tblPrEx>
        <w:tc>
          <w:tcPr>
            <w:tcW w:w="2582" w:type="dxa"/>
            <w:tcBorders>
              <w:top w:val="single" w:sz="6" w:space="0" w:color="auto"/>
              <w:left w:val="nil"/>
              <w:bottom w:val="nil"/>
              <w:right w:val="nil"/>
            </w:tcBorders>
            <w:tcMar>
              <w:top w:w="0" w:type="dxa"/>
              <w:left w:w="62" w:type="dxa"/>
              <w:bottom w:w="0" w:type="dxa"/>
              <w:right w:w="62" w:type="dxa"/>
            </w:tcMar>
          </w:tcPr>
          <w:p w:rsidR="00000000" w:rsidP="004C50ED">
            <w:pPr>
              <w:pStyle w:val="BodyText"/>
              <w:rPr>
                <w:lang w:val="en-NZ"/>
              </w:rPr>
            </w:pPr>
            <w:r w:rsidRPr="004C50ED">
              <w:t>Elements describe the essential outcomes of a unit of competency.</w:t>
            </w:r>
          </w:p>
        </w:tc>
        <w:tc>
          <w:tcPr>
            <w:tcW w:w="5940" w:type="dxa"/>
            <w:tcBorders>
              <w:top w:val="single" w:sz="6" w:space="0" w:color="auto"/>
              <w:left w:val="nil"/>
              <w:bottom w:val="nil"/>
              <w:right w:val="nil"/>
            </w:tcBorders>
            <w:tcMar>
              <w:top w:w="0" w:type="dxa"/>
              <w:left w:w="62" w:type="dxa"/>
              <w:bottom w:w="0" w:type="dxa"/>
              <w:right w:w="62" w:type="dxa"/>
            </w:tcMar>
          </w:tcPr>
          <w:p w:rsidR="00000000" w:rsidRPr="004C50ED" w:rsidP="004C50ED">
            <w:pPr>
              <w:pStyle w:val="BodyText"/>
            </w:pPr>
            <w:r w:rsidRPr="004C50ED">
              <w:t>Performance criteria describe</w:t>
            </w:r>
            <w:r w:rsidRPr="004C50ED">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4C50ED">
              <w:t>the evidence guide.</w:t>
            </w:r>
          </w:p>
        </w:tc>
      </w:tr>
    </w:tbl>
    <w:p w:rsidR="00000000" w:rsidRPr="004C50ED" w:rsidP="004C50ED">
      <w:pPr>
        <w:pStyle w:val="BodyText"/>
      </w:pPr>
    </w:p>
    <w:p w:rsidR="00000000" w:rsidRPr="004C50ED" w:rsidP="004C50ED">
      <w:pPr>
        <w:pStyle w:val="AllowPageBreak"/>
      </w:pPr>
    </w:p>
    <w:p w:rsidR="00000000" w:rsidRPr="004C50ED" w:rsidP="004C50ED">
      <w:pPr>
        <w:pStyle w:val="Heading1"/>
      </w:pPr>
      <w:bookmarkStart w:id="8" w:name="O_234151"/>
      <w:bookmarkEnd w:id="8"/>
      <w:r w:rsidRPr="004C50ED">
        <w:t>Elements and Performance Criteria</w:t>
      </w:r>
    </w:p>
    <w:tbl>
      <w:tblPr>
        <w:tblW w:w="0" w:type="auto"/>
        <w:tblLayout w:type="fixed"/>
        <w:tblCellMar>
          <w:left w:w="62" w:type="dxa"/>
          <w:right w:w="62" w:type="dxa"/>
        </w:tblCellMar>
        <w:tblLook w:val="0000"/>
      </w:tblPr>
      <w:tblGrid>
        <w:gridCol w:w="2582"/>
        <w:gridCol w:w="5940"/>
      </w:tblGrid>
      <w:tr w:rsidTr="00DA44F0">
        <w:tblPrEx>
          <w:tblW w:w="0" w:type="auto"/>
          <w:tblLayout w:type="fixed"/>
          <w:tblCellMar>
            <w:left w:w="62" w:type="dxa"/>
            <w:right w:w="62" w:type="dxa"/>
          </w:tblCellMar>
          <w:tblLook w:val="0000"/>
        </w:tblPrEx>
        <w:trPr>
          <w:tblHeader/>
        </w:trPr>
        <w:tc>
          <w:tcPr>
            <w:tcW w:w="2582" w:type="dxa"/>
            <w:tcBorders>
              <w:top w:val="nil"/>
              <w:left w:val="nil"/>
              <w:bottom w:val="single" w:sz="6" w:space="0" w:color="auto"/>
              <w:right w:val="nil"/>
            </w:tcBorders>
            <w:tcMar>
              <w:top w:w="0" w:type="dxa"/>
              <w:left w:w="62" w:type="dxa"/>
              <w:bottom w:w="0" w:type="dxa"/>
              <w:right w:w="62" w:type="dxa"/>
            </w:tcMar>
          </w:tcPr>
          <w:p w:rsidR="00000000" w:rsidRPr="004C50ED" w:rsidP="004C50ED">
            <w:pPr>
              <w:pStyle w:val="BodyText"/>
            </w:pPr>
            <w:r w:rsidRPr="004C50ED">
              <w:rPr>
                <w:rStyle w:val="SpecialBold"/>
              </w:rPr>
              <w:t>ELEMENT</w:t>
            </w:r>
          </w:p>
        </w:tc>
        <w:tc>
          <w:tcPr>
            <w:tcW w:w="5940" w:type="dxa"/>
            <w:tcBorders>
              <w:top w:val="nil"/>
              <w:left w:val="nil"/>
              <w:bottom w:val="single" w:sz="6" w:space="0" w:color="auto"/>
              <w:right w:val="nil"/>
            </w:tcBorders>
            <w:tcMar>
              <w:top w:w="0" w:type="dxa"/>
              <w:left w:w="62" w:type="dxa"/>
              <w:bottom w:w="0" w:type="dxa"/>
              <w:right w:w="62" w:type="dxa"/>
            </w:tcMar>
          </w:tcPr>
          <w:p w:rsidR="00000000" w:rsidP="004C50ED">
            <w:pPr>
              <w:pStyle w:val="BodyText"/>
              <w:rPr>
                <w:lang w:val="en-NZ"/>
              </w:rPr>
            </w:pPr>
            <w:r w:rsidRPr="004C50ED">
              <w:rPr>
                <w:rStyle w:val="SpecialBold"/>
              </w:rPr>
              <w:t>PERFORMANCE CRITERIA</w:t>
            </w:r>
          </w:p>
        </w:tc>
      </w:tr>
      <w:tr w:rsidTr="00DA44F0">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4C50ED">
            <w:pPr>
              <w:pStyle w:val="List"/>
              <w:rPr>
                <w:lang w:val="en-NZ"/>
              </w:rPr>
            </w:pPr>
            <w:r w:rsidRPr="004C50ED">
              <w:t>1.</w:t>
            </w:r>
            <w:r w:rsidRPr="004C50ED">
              <w:tab/>
              <w:t>Interpret refractory plans and specifications.</w:t>
            </w:r>
          </w:p>
        </w:tc>
        <w:tc>
          <w:tcPr>
            <w:tcW w:w="5940" w:type="dxa"/>
            <w:tcBorders>
              <w:top w:val="nil"/>
              <w:left w:val="nil"/>
              <w:bottom w:val="nil"/>
              <w:right w:val="nil"/>
            </w:tcBorders>
            <w:tcMar>
              <w:top w:w="0" w:type="dxa"/>
              <w:left w:w="62" w:type="dxa"/>
              <w:bottom w:w="0" w:type="dxa"/>
              <w:right w:w="62" w:type="dxa"/>
            </w:tcMar>
          </w:tcPr>
          <w:p w:rsidR="00000000" w:rsidRPr="004C50ED" w:rsidP="004C50ED">
            <w:pPr>
              <w:pStyle w:val="List2"/>
            </w:pPr>
            <w:r w:rsidRPr="004C50ED">
              <w:t>1.1.</w:t>
            </w:r>
            <w:r w:rsidRPr="004C50ED">
              <w:tab/>
            </w:r>
            <w:r w:rsidRPr="004C50ED">
              <w:rPr>
                <w:rStyle w:val="BoldandItalics"/>
              </w:rPr>
              <w:t>General and detailed refractory plans</w:t>
            </w:r>
            <w:r w:rsidRPr="004C50ED">
              <w:t xml:space="preserve"> are accessed </w:t>
            </w:r>
            <w:r w:rsidRPr="004C50ED">
              <w:t xml:space="preserve">and analysed to determine nature of work to be undertaken. </w:t>
            </w:r>
          </w:p>
          <w:p w:rsidR="00000000" w:rsidRPr="004C50ED" w:rsidP="004C50ED">
            <w:pPr>
              <w:pStyle w:val="List2"/>
            </w:pPr>
            <w:r w:rsidRPr="004C50ED">
              <w:t>1.2.</w:t>
            </w:r>
            <w:r w:rsidRPr="004C50ED">
              <w:tab/>
              <w:t xml:space="preserve">Standard </w:t>
            </w:r>
            <w:r w:rsidRPr="004C50ED">
              <w:rPr>
                <w:rStyle w:val="BoldandItalics"/>
              </w:rPr>
              <w:t>signs and symbols</w:t>
            </w:r>
            <w:r w:rsidRPr="004C50ED">
              <w:t xml:space="preserve"> are noted, interpreted and implemented. </w:t>
            </w:r>
          </w:p>
          <w:p w:rsidR="00000000" w:rsidRPr="004C50ED" w:rsidP="004C50ED">
            <w:pPr>
              <w:pStyle w:val="List2"/>
            </w:pPr>
            <w:r w:rsidRPr="004C50ED">
              <w:t>1.3.</w:t>
            </w:r>
            <w:r w:rsidRPr="004C50ED">
              <w:tab/>
            </w:r>
            <w:r w:rsidRPr="004C50ED">
              <w:rPr>
                <w:rStyle w:val="BoldandItalics"/>
              </w:rPr>
              <w:t>Notes</w:t>
            </w:r>
            <w:r w:rsidRPr="004C50ED">
              <w:t xml:space="preserve"> to the plan are observed and complied with in accordance with design requirements. </w:t>
            </w:r>
          </w:p>
          <w:p w:rsidR="00000000" w:rsidP="004C50ED">
            <w:pPr>
              <w:pStyle w:val="List2"/>
              <w:rPr>
                <w:lang w:val="en-NZ"/>
              </w:rPr>
            </w:pPr>
            <w:r w:rsidRPr="004C50ED">
              <w:t>1.4.</w:t>
            </w:r>
            <w:r w:rsidRPr="004C50ED">
              <w:tab/>
              <w:t xml:space="preserve">Specified </w:t>
            </w:r>
            <w:r w:rsidRPr="004C50ED">
              <w:rPr>
                <w:rStyle w:val="BoldandItalics"/>
              </w:rPr>
              <w:t>materials</w:t>
            </w:r>
            <w:r w:rsidRPr="004C50ED">
              <w:t xml:space="preserve"> required are identified from the plans and obtained in accordance with organisational procedures. </w:t>
            </w:r>
          </w:p>
        </w:tc>
      </w:tr>
      <w:tr w:rsidTr="00DA44F0">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4C50ED">
            <w:pPr>
              <w:pStyle w:val="List"/>
              <w:rPr>
                <w:lang w:val="en-NZ"/>
              </w:rPr>
            </w:pPr>
            <w:r w:rsidRPr="004C50ED">
              <w:t>2.</w:t>
            </w:r>
            <w:r w:rsidRPr="004C50ED">
              <w:tab/>
              <w:t>Implement safety requirements.</w:t>
            </w:r>
          </w:p>
        </w:tc>
        <w:tc>
          <w:tcPr>
            <w:tcW w:w="5940" w:type="dxa"/>
            <w:tcBorders>
              <w:top w:val="nil"/>
              <w:left w:val="nil"/>
              <w:bottom w:val="nil"/>
              <w:right w:val="nil"/>
            </w:tcBorders>
            <w:tcMar>
              <w:top w:w="0" w:type="dxa"/>
              <w:left w:w="62" w:type="dxa"/>
              <w:bottom w:w="0" w:type="dxa"/>
              <w:right w:w="62" w:type="dxa"/>
            </w:tcMar>
          </w:tcPr>
          <w:p w:rsidR="00000000" w:rsidRPr="004C50ED" w:rsidP="004C50ED">
            <w:pPr>
              <w:pStyle w:val="List2"/>
            </w:pPr>
            <w:r w:rsidRPr="004C50ED">
              <w:t>2.1.</w:t>
            </w:r>
            <w:r w:rsidRPr="004C50ED">
              <w:tab/>
              <w:t xml:space="preserve">Material safety data sheets (MSDS) are accessed and relevant </w:t>
            </w:r>
            <w:r w:rsidRPr="004C50ED">
              <w:rPr>
                <w:rStyle w:val="BoldandItalics"/>
              </w:rPr>
              <w:t>safety precautions</w:t>
            </w:r>
            <w:r w:rsidRPr="004C50ED">
              <w:t xml:space="preserve"> implemented. </w:t>
            </w:r>
          </w:p>
          <w:p w:rsidR="00000000" w:rsidP="004C50ED">
            <w:pPr>
              <w:pStyle w:val="List2"/>
              <w:rPr>
                <w:lang w:val="en-NZ"/>
              </w:rPr>
            </w:pPr>
            <w:r w:rsidRPr="004C50ED">
              <w:t>2.2.</w:t>
            </w:r>
            <w:r w:rsidRPr="004C50ED">
              <w:tab/>
              <w:t xml:space="preserve">Organisational </w:t>
            </w:r>
            <w:r w:rsidRPr="004C50ED">
              <w:rPr>
                <w:rStyle w:val="BoldandItalics"/>
              </w:rPr>
              <w:t>OH</w:t>
            </w:r>
            <w:r w:rsidRPr="004C50ED">
              <w:rPr>
                <w:rStyle w:val="BoldandItalics"/>
              </w:rPr>
              <w:t>S requirements</w:t>
            </w:r>
            <w:r w:rsidRPr="004C50ED">
              <w:t xml:space="preserve"> are implemented and maintained. </w:t>
            </w:r>
          </w:p>
        </w:tc>
      </w:tr>
      <w:tr w:rsidTr="00DA44F0">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4C50ED">
            <w:pPr>
              <w:pStyle w:val="List"/>
              <w:rPr>
                <w:lang w:val="en-NZ"/>
              </w:rPr>
            </w:pPr>
            <w:r w:rsidRPr="004C50ED">
              <w:t>3.</w:t>
            </w:r>
            <w:r w:rsidRPr="004C50ED">
              <w:tab/>
              <w:t>Prepare refractory materials and equipment.</w:t>
            </w:r>
          </w:p>
        </w:tc>
        <w:tc>
          <w:tcPr>
            <w:tcW w:w="5940" w:type="dxa"/>
            <w:tcBorders>
              <w:top w:val="nil"/>
              <w:left w:val="nil"/>
              <w:bottom w:val="nil"/>
              <w:right w:val="nil"/>
            </w:tcBorders>
            <w:tcMar>
              <w:top w:w="0" w:type="dxa"/>
              <w:left w:w="62" w:type="dxa"/>
              <w:bottom w:w="0" w:type="dxa"/>
              <w:right w:w="62" w:type="dxa"/>
            </w:tcMar>
          </w:tcPr>
          <w:p w:rsidR="00000000" w:rsidRPr="004C50ED" w:rsidP="004C50ED">
            <w:pPr>
              <w:pStyle w:val="List2"/>
            </w:pPr>
            <w:r w:rsidRPr="004C50ED">
              <w:t>3.1.</w:t>
            </w:r>
            <w:r w:rsidRPr="004C50ED">
              <w:tab/>
              <w:t>Test certificates of materials are checked to ensure materials meet required job specifications as detailed in refractory plans.</w:t>
            </w:r>
          </w:p>
          <w:p w:rsidR="00000000" w:rsidRPr="004C50ED" w:rsidP="004C50ED">
            <w:pPr>
              <w:pStyle w:val="List2"/>
            </w:pPr>
            <w:r w:rsidRPr="004C50ED">
              <w:t>3.2.</w:t>
            </w:r>
            <w:r w:rsidRPr="004C50ED">
              <w:tab/>
            </w:r>
            <w:r w:rsidRPr="004C50ED">
              <w:rPr>
                <w:rStyle w:val="BoldandItalics"/>
              </w:rPr>
              <w:t>Tools and equipment</w:t>
            </w:r>
            <w:r w:rsidRPr="004C50ED">
              <w:t xml:space="preserve"> a</w:t>
            </w:r>
            <w:r w:rsidRPr="004C50ED">
              <w:t xml:space="preserve">re selected and checked for serviceability. </w:t>
            </w:r>
          </w:p>
          <w:p w:rsidR="00000000" w:rsidRPr="004C50ED" w:rsidP="004C50ED">
            <w:pPr>
              <w:pStyle w:val="List2"/>
            </w:pPr>
            <w:r w:rsidRPr="004C50ED">
              <w:t>3.3.</w:t>
            </w:r>
            <w:r w:rsidRPr="004C50ED">
              <w:tab/>
              <w:t>Mortar is prepared and mixed to design requirements.</w:t>
            </w:r>
          </w:p>
        </w:tc>
      </w:tr>
    </w:tbl>
    <w:p w:rsidR="00DA44F0" w:rsidP="004C50ED">
      <w:pPr>
        <w:pStyle w:val="BodyText"/>
      </w:pPr>
    </w:p>
    <w:p w:rsidR="00DA44F0" w:rsidP="004C50ED">
      <w:pPr>
        <w:pStyle w:val="BodyText"/>
      </w:pPr>
    </w:p>
    <w:p w:rsidR="00000000" w:rsidRPr="004C50ED" w:rsidP="004C50ED">
      <w:pPr>
        <w:pStyle w:val="Heading1"/>
      </w:pPr>
      <w:bookmarkStart w:id="9" w:name="O_258101"/>
      <w:bookmarkEnd w:id="9"/>
      <w:r w:rsidRPr="004C50ED">
        <w:t>Required Skills and Knowledge</w:t>
      </w:r>
    </w:p>
    <w:tbl>
      <w:tblPr>
        <w:tblW w:w="0" w:type="auto"/>
        <w:tblLayout w:type="fixed"/>
        <w:tblCellMar>
          <w:left w:w="62" w:type="dxa"/>
          <w:right w:w="62" w:type="dxa"/>
        </w:tblCellMar>
        <w:tblLook w:val="0000"/>
      </w:tblPr>
      <w:tblGrid>
        <w:gridCol w:w="8522"/>
      </w:tblGrid>
      <w:tr w:rsidTr="00DA44F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C50ED">
            <w:pPr>
              <w:pStyle w:val="BodyText"/>
              <w:rPr>
                <w:lang w:val="en-NZ"/>
              </w:rPr>
            </w:pPr>
            <w:r w:rsidRPr="004C50ED">
              <w:rPr>
                <w:rStyle w:val="SpecialBold"/>
              </w:rPr>
              <w:t>REQUIRED SKILLS AND KNOWLEDGE</w:t>
            </w:r>
          </w:p>
        </w:tc>
      </w:tr>
      <w:tr w:rsidTr="00DA44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C50ED">
            <w:pPr>
              <w:pStyle w:val="BodyText"/>
              <w:rPr>
                <w:lang w:val="en-NZ"/>
              </w:rPr>
            </w:pPr>
            <w:r w:rsidRPr="004C50ED">
              <w:t>This section describes the skills and knowledge required for this unit.</w:t>
            </w:r>
          </w:p>
        </w:tc>
      </w:tr>
      <w:tr w:rsidTr="00DA44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C50ED">
            <w:pPr>
              <w:pStyle w:val="BodyText"/>
              <w:rPr>
                <w:lang w:val="en-NZ"/>
              </w:rPr>
            </w:pPr>
            <w:r w:rsidRPr="004C50ED">
              <w:rPr>
                <w:rStyle w:val="SpecialBold"/>
              </w:rPr>
              <w:t>Required skills</w:t>
            </w:r>
          </w:p>
        </w:tc>
      </w:tr>
      <w:tr w:rsidTr="00DA44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C50ED" w:rsidP="004C50ED">
            <w:pPr>
              <w:pStyle w:val="BodyText"/>
            </w:pPr>
            <w:r w:rsidRPr="004C50ED">
              <w:t>Required skills for this unit are:</w:t>
            </w:r>
          </w:p>
          <w:p w:rsidR="00000000" w:rsidRPr="004C50ED" w:rsidP="004C50ED">
            <w:pPr>
              <w:pStyle w:val="ListBullet"/>
            </w:pPr>
            <w:r w:rsidRPr="004C50ED">
              <w:t>communication skills to:</w:t>
            </w:r>
          </w:p>
          <w:p w:rsidR="00000000" w:rsidRPr="004C50ED" w:rsidP="004C50ED">
            <w:pPr>
              <w:pStyle w:val="ListBullet2"/>
            </w:pPr>
            <w:r w:rsidRPr="004C50ED">
              <w:t xml:space="preserve">enable clear and direct communication, using questioning to identify and confirm requirements, </w:t>
            </w:r>
            <w:r w:rsidRPr="004C50ED">
              <w:t>share information, listen and understand</w:t>
            </w:r>
          </w:p>
          <w:p w:rsidR="00000000" w:rsidRPr="004C50ED" w:rsidP="004C50ED">
            <w:pPr>
              <w:pStyle w:val="ListBullet2"/>
            </w:pPr>
            <w:r w:rsidRPr="004C50ED">
              <w:t>read and interpret:</w:t>
            </w:r>
          </w:p>
          <w:p w:rsidR="00000000" w:rsidRPr="004C50ED" w:rsidP="004C50ED">
            <w:pPr>
              <w:pStyle w:val="ListBullet3"/>
            </w:pPr>
            <w:r w:rsidRPr="004C50ED">
              <w:t>MSDS</w:t>
            </w:r>
          </w:p>
          <w:p w:rsidR="00000000" w:rsidRPr="004C50ED" w:rsidP="004C50ED">
            <w:pPr>
              <w:pStyle w:val="ListBullet3"/>
            </w:pPr>
            <w:r w:rsidRPr="004C50ED">
              <w:t>refractory plans and specifications</w:t>
            </w:r>
          </w:p>
          <w:p w:rsidR="00000000" w:rsidRPr="004C50ED" w:rsidP="004C50ED">
            <w:pPr>
              <w:pStyle w:val="ListBullet3"/>
            </w:pPr>
            <w:r w:rsidRPr="004C50ED">
              <w:t>test certificates</w:t>
            </w:r>
          </w:p>
          <w:p w:rsidR="00000000" w:rsidRPr="004C50ED" w:rsidP="004C50ED">
            <w:pPr>
              <w:pStyle w:val="ListBullet3"/>
            </w:pPr>
            <w:r w:rsidRPr="004C50ED">
              <w:t>other relevant documentation</w:t>
            </w:r>
          </w:p>
          <w:p w:rsidR="00000000" w:rsidRPr="004C50ED" w:rsidP="004C50ED">
            <w:pPr>
              <w:pStyle w:val="ListBullet2"/>
            </w:pPr>
            <w:r w:rsidRPr="004C50ED">
              <w:t>use and interpret non-verbal communication</w:t>
            </w:r>
          </w:p>
          <w:p w:rsidR="00000000" w:rsidRPr="004C50ED" w:rsidP="004C50ED">
            <w:pPr>
              <w:pStyle w:val="ListBullet2"/>
            </w:pPr>
            <w:r w:rsidRPr="004C50ED">
              <w:t>use language and concepts appropriate to cultural differences</w:t>
            </w:r>
          </w:p>
          <w:p w:rsidR="00000000" w:rsidRPr="004C50ED" w:rsidP="004C50ED">
            <w:pPr>
              <w:pStyle w:val="ListBullet"/>
            </w:pPr>
            <w:r w:rsidRPr="004C50ED">
              <w:t>numeracy skills to interpret mathematical information, calculate material quantities and measure accurately</w:t>
            </w:r>
          </w:p>
          <w:p w:rsidR="00000000" w:rsidRPr="004C50ED" w:rsidP="004C50ED">
            <w:pPr>
              <w:pStyle w:val="ListBullet"/>
            </w:pPr>
            <w:r w:rsidRPr="004C50ED">
              <w:t>organisational skills, including the ability to plan for and set out work</w:t>
            </w:r>
          </w:p>
          <w:p w:rsidR="00000000" w:rsidRPr="004C50ED" w:rsidP="004C50ED">
            <w:pPr>
              <w:pStyle w:val="ListBullet"/>
            </w:pPr>
            <w:r w:rsidRPr="004C50ED">
              <w:t>teamwork skills and the ability to work with others to ensure coordination and cooperation between self and others</w:t>
            </w:r>
          </w:p>
          <w:p w:rsidR="00000000" w:rsidP="004C50ED">
            <w:pPr>
              <w:pStyle w:val="ListBullet"/>
              <w:rPr>
                <w:lang w:val="en-NZ"/>
              </w:rPr>
            </w:pPr>
            <w:r w:rsidRPr="004C50ED">
              <w:t>technical skills to ensure ability to select and use relevant plant, tools and equipment.</w:t>
            </w:r>
          </w:p>
        </w:tc>
      </w:tr>
      <w:tr w:rsidTr="00DA44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C50ED">
            <w:pPr>
              <w:pStyle w:val="BodyText"/>
              <w:rPr>
                <w:lang w:val="en-NZ"/>
              </w:rPr>
            </w:pPr>
            <w:r w:rsidRPr="004C50ED">
              <w:rPr>
                <w:rStyle w:val="SpecialBold"/>
              </w:rPr>
              <w:t>Required knowledge</w:t>
            </w:r>
          </w:p>
        </w:tc>
      </w:tr>
      <w:tr w:rsidTr="00DA44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C50ED" w:rsidP="004C50ED">
            <w:pPr>
              <w:pStyle w:val="BodyText"/>
            </w:pPr>
            <w:r w:rsidRPr="004C50ED">
              <w:t>Required knowledge for this un</w:t>
            </w:r>
            <w:r w:rsidRPr="004C50ED">
              <w:t>it is:</w:t>
            </w:r>
          </w:p>
          <w:p w:rsidR="00000000" w:rsidRPr="004C50ED" w:rsidP="004C50ED">
            <w:pPr>
              <w:pStyle w:val="ListBullet"/>
            </w:pPr>
            <w:r w:rsidRPr="004C50ED">
              <w:t>Building Code of Australia (BCA) and other Australian standards relevant to the nature of work and materials being used</w:t>
            </w:r>
          </w:p>
          <w:p w:rsidR="00000000" w:rsidRPr="004C50ED" w:rsidP="004C50ED">
            <w:pPr>
              <w:pStyle w:val="ListBullet"/>
            </w:pPr>
            <w:r w:rsidRPr="004C50ED">
              <w:t>characteristics and applications of different materials used in refractory brickwork</w:t>
            </w:r>
          </w:p>
          <w:p w:rsidR="00000000" w:rsidRPr="004C50ED" w:rsidP="004C50ED">
            <w:pPr>
              <w:pStyle w:val="ListBullet"/>
            </w:pPr>
            <w:r w:rsidRPr="004C50ED">
              <w:t>methods and processes relating to the use o</w:t>
            </w:r>
            <w:r w:rsidRPr="004C50ED">
              <w:t>f refractory bricks and insulation materials for the construction of fire resistant structures</w:t>
            </w:r>
          </w:p>
          <w:p w:rsidR="00000000" w:rsidRPr="004C50ED" w:rsidP="004C50ED">
            <w:pPr>
              <w:pStyle w:val="ListBullet"/>
            </w:pPr>
            <w:r w:rsidRPr="004C50ED">
              <w:t>organisational procedures for the acquisition of materials</w:t>
            </w:r>
          </w:p>
          <w:p w:rsidR="00000000" w:rsidRPr="004C50ED" w:rsidP="004C50ED">
            <w:pPr>
              <w:pStyle w:val="ListBullet"/>
            </w:pPr>
            <w:r w:rsidRPr="004C50ED">
              <w:t>workplace and equipment safety requirements, including relevant statutory regulations, codes and stand</w:t>
            </w:r>
            <w:r w:rsidRPr="004C50ED">
              <w:t>ards.</w:t>
            </w:r>
          </w:p>
        </w:tc>
      </w:tr>
    </w:tbl>
    <w:p w:rsidR="00DA44F0" w:rsidP="004C50ED">
      <w:pPr>
        <w:pStyle w:val="BodyText"/>
      </w:pPr>
    </w:p>
    <w:p w:rsidR="00DA44F0" w:rsidP="004C50ED">
      <w:pPr>
        <w:pStyle w:val="BodyText"/>
      </w:pPr>
    </w:p>
    <w:p w:rsidR="00000000" w:rsidRPr="004C50ED" w:rsidP="004C50ED">
      <w:pPr>
        <w:pStyle w:val="Heading1"/>
      </w:pPr>
      <w:bookmarkStart w:id="10" w:name="O_242135"/>
      <w:bookmarkEnd w:id="10"/>
      <w:r w:rsidRPr="004C50ED">
        <w:t>Evidence Guide</w:t>
      </w:r>
    </w:p>
    <w:tbl>
      <w:tblPr>
        <w:tblW w:w="0" w:type="auto"/>
        <w:tblLayout w:type="fixed"/>
        <w:tblCellMar>
          <w:left w:w="62" w:type="dxa"/>
          <w:right w:w="62" w:type="dxa"/>
        </w:tblCellMar>
        <w:tblLook w:val="0000"/>
      </w:tblPr>
      <w:tblGrid>
        <w:gridCol w:w="3508"/>
        <w:gridCol w:w="5014"/>
      </w:tblGrid>
      <w:tr w:rsidTr="00DA44F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C50ED">
            <w:pPr>
              <w:pStyle w:val="BodyText"/>
              <w:rPr>
                <w:lang w:val="en-NZ"/>
              </w:rPr>
            </w:pPr>
            <w:r w:rsidRPr="004C50ED">
              <w:rPr>
                <w:rStyle w:val="SpecialBold"/>
              </w:rPr>
              <w:t>EVIDENCE GUIDE</w:t>
            </w:r>
          </w:p>
        </w:tc>
      </w:tr>
      <w:tr w:rsidTr="00DA44F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C50ED">
            <w:pPr>
              <w:pStyle w:val="BodyText"/>
              <w:rPr>
                <w:lang w:val="en-NZ"/>
              </w:rPr>
            </w:pPr>
            <w:r w:rsidRPr="004C50ED">
              <w:t xml:space="preserve">The evidence guide provides advice on assessment and must be read in conjunction with the performance criteria, required skills and knowledge, </w:t>
            </w:r>
            <w:r w:rsidRPr="004C50ED">
              <w:t>range statement and the Assessment Guidelines for the Training Package.</w:t>
            </w:r>
          </w:p>
        </w:tc>
      </w:tr>
      <w:tr w:rsidTr="00DA44F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C50ED">
            <w:pPr>
              <w:pStyle w:val="BodyText"/>
              <w:rPr>
                <w:lang w:val="en-NZ"/>
              </w:rPr>
            </w:pPr>
            <w:r w:rsidRPr="004C50ED">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RPr="004C50ED" w:rsidP="004C50ED">
            <w:pPr>
              <w:pStyle w:val="BodyText"/>
            </w:pPr>
            <w:r w:rsidRPr="004C50ED">
              <w:t xml:space="preserve">This unit of competency could be assessed by carrying out relevant preparations for refractory work. It should include analysis and interpretation </w:t>
            </w:r>
            <w:r w:rsidRPr="004C50ED">
              <w:t>of the plans and specifications, demonstrated understanding of all aspects detailed in the plans, implementation of safety precautions and correct selection of relevant materials and equipment.</w:t>
            </w:r>
          </w:p>
          <w:p w:rsidR="00000000" w:rsidP="004C50ED">
            <w:pPr>
              <w:pStyle w:val="BodyText"/>
              <w:rPr>
                <w:lang w:val="en-NZ"/>
              </w:rPr>
            </w:pPr>
            <w:r w:rsidRPr="004C50ED">
              <w:t xml:space="preserve">This unit of competency can be assessed in the workplace or a </w:t>
            </w:r>
            <w:r w:rsidRPr="004C50ED">
              <w:t xml:space="preserve">close simulation of the workplace environment, provided that simulated or project-based assessment techniques fully replicate construction workplace conditions, materials, activities, responsibilities and procedures. </w:t>
            </w:r>
          </w:p>
        </w:tc>
      </w:tr>
      <w:tr w:rsidTr="00DA44F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C50ED">
            <w:pPr>
              <w:pStyle w:val="BodyText"/>
              <w:rPr>
                <w:lang w:val="en-NZ"/>
              </w:rPr>
            </w:pPr>
            <w:r w:rsidRPr="004C50ED">
              <w:rPr>
                <w:rStyle w:val="SpecialBold"/>
              </w:rPr>
              <w:t>Critical aspects for assessment and e</w:t>
            </w:r>
            <w:r w:rsidRPr="004C50ED">
              <w:rPr>
                <w:rStyle w:val="SpecialBold"/>
              </w:rPr>
              <w:t>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4C50ED" w:rsidP="004C50ED">
            <w:pPr>
              <w:pStyle w:val="BodyText"/>
            </w:pPr>
            <w:r w:rsidRPr="004C50ED">
              <w:t>A person who demonstrates competency in this unit must be able to provide evidence of the ability to:</w:t>
            </w:r>
          </w:p>
          <w:p w:rsidR="00000000" w:rsidRPr="004C50ED" w:rsidP="004C50ED">
            <w:pPr>
              <w:pStyle w:val="ListBullet"/>
            </w:pPr>
            <w:r w:rsidRPr="004C50ED">
              <w:t>demonstrate understanding of the purpose and application of refractory bricklaying</w:t>
            </w:r>
          </w:p>
          <w:p w:rsidR="00000000" w:rsidRPr="004C50ED" w:rsidP="004C50ED">
            <w:pPr>
              <w:pStyle w:val="ListBullet"/>
            </w:pPr>
            <w:r w:rsidRPr="004C50ED">
              <w:t>comply with OHS regulations applicable to workplace operations</w:t>
            </w:r>
          </w:p>
          <w:p w:rsidR="00000000" w:rsidRPr="004C50ED" w:rsidP="004C50ED">
            <w:pPr>
              <w:pStyle w:val="ListBullet"/>
            </w:pPr>
            <w:r w:rsidRPr="004C50ED">
              <w:t>use safe and effective procedures to handle hazardous materials</w:t>
            </w:r>
          </w:p>
          <w:p w:rsidR="00000000" w:rsidRPr="004C50ED" w:rsidP="004C50ED">
            <w:pPr>
              <w:pStyle w:val="ListBullet"/>
            </w:pPr>
            <w:r w:rsidRPr="004C50ED">
              <w:t>apply organisational quality procedures and processes within context of constructing or repairing structures employing refractory</w:t>
            </w:r>
            <w:r w:rsidRPr="004C50ED">
              <w:t xml:space="preserve"> materials</w:t>
            </w:r>
          </w:p>
          <w:p w:rsidR="00000000" w:rsidRPr="004C50ED" w:rsidP="004C50ED">
            <w:pPr>
              <w:pStyle w:val="ListBullet"/>
            </w:pPr>
            <w:r w:rsidRPr="004C50ED">
              <w:t>read and interpret two-dimensional refractory plans and specifications</w:t>
            </w:r>
          </w:p>
          <w:p w:rsidR="00000000" w:rsidRPr="004C50ED" w:rsidP="004C50ED">
            <w:pPr>
              <w:pStyle w:val="ListBullet"/>
            </w:pPr>
            <w:r w:rsidRPr="004C50ED">
              <w:t>select and use processes, tools and equipment appropriate to job requirements</w:t>
            </w:r>
          </w:p>
          <w:p w:rsidR="00000000" w:rsidRPr="004C50ED" w:rsidP="004C50ED">
            <w:pPr>
              <w:pStyle w:val="ListBullet"/>
            </w:pPr>
            <w:r w:rsidRPr="004C50ED">
              <w:t>prepare materials and samples in accordance with job requirements</w:t>
            </w:r>
          </w:p>
          <w:p w:rsidR="00000000" w:rsidRPr="004C50ED" w:rsidP="004C50ED">
            <w:pPr>
              <w:pStyle w:val="ListBullet"/>
            </w:pPr>
            <w:r w:rsidRPr="004C50ED">
              <w:t>identify typical faults and pr</w:t>
            </w:r>
            <w:r w:rsidRPr="004C50ED">
              <w:t>oblems with materials and equipment that occur and necessary action to rectify</w:t>
            </w:r>
          </w:p>
          <w:p w:rsidR="00000000" w:rsidP="004C50ED">
            <w:pPr>
              <w:pStyle w:val="ListBullet"/>
              <w:rPr>
                <w:lang w:val="en-NZ"/>
              </w:rPr>
            </w:pPr>
            <w:r w:rsidRPr="004C50ED">
              <w:t>communicate effectively with others to ensure safe work site operations.</w:t>
            </w:r>
          </w:p>
        </w:tc>
      </w:tr>
      <w:tr w:rsidTr="00DA44F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C50ED">
            <w:pPr>
              <w:pStyle w:val="BodyText"/>
              <w:rPr>
                <w:lang w:val="en-NZ"/>
              </w:rPr>
            </w:pPr>
            <w:r w:rsidRPr="004C50ED">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4C50ED" w:rsidP="004C50ED">
            <w:pPr>
              <w:pStyle w:val="BodyText"/>
            </w:pPr>
            <w:r w:rsidRPr="004C50ED">
              <w:t>This competency is to be assessed using standard and a</w:t>
            </w:r>
            <w:r w:rsidRPr="004C50ED">
              <w:t>uthorised work practices, safety requirements and environmental constraints.</w:t>
            </w:r>
          </w:p>
          <w:p w:rsidR="00000000" w:rsidRPr="004C50ED" w:rsidP="004C50ED">
            <w:pPr>
              <w:pStyle w:val="BodyText"/>
            </w:pPr>
            <w:r w:rsidRPr="004C50ED">
              <w:t>Assessment of essential underpinning knowledge will usually be conducted in an off-site context.</w:t>
            </w:r>
          </w:p>
          <w:p w:rsidR="00000000" w:rsidRPr="004C50ED" w:rsidP="004C50ED">
            <w:pPr>
              <w:pStyle w:val="BodyText"/>
            </w:pPr>
            <w:r w:rsidRPr="004C50ED">
              <w:t>Assessment is to comply with relevant regulatory or Australian standards' requirem</w:t>
            </w:r>
            <w:r w:rsidRPr="004C50ED">
              <w:t>ents.</w:t>
            </w:r>
          </w:p>
          <w:p w:rsidR="00000000" w:rsidRPr="004C50ED" w:rsidP="004C50ED">
            <w:pPr>
              <w:pStyle w:val="BodyText"/>
            </w:pPr>
            <w:r w:rsidRPr="004C50ED">
              <w:t>Resource implications for assessment include:</w:t>
            </w:r>
          </w:p>
          <w:p w:rsidR="00000000" w:rsidRPr="004C50ED" w:rsidP="004C50ED">
            <w:pPr>
              <w:pStyle w:val="ListBullet"/>
            </w:pPr>
            <w:r w:rsidRPr="004C50ED">
              <w:t>materials appropriate to refractory brickwork</w:t>
            </w:r>
          </w:p>
          <w:p w:rsidR="00000000" w:rsidRPr="004C50ED" w:rsidP="004C50ED">
            <w:pPr>
              <w:pStyle w:val="ListBullet"/>
            </w:pPr>
            <w:r w:rsidRPr="004C50ED">
              <w:t>plant, tools and equipment relevant to refractory brickwork.</w:t>
            </w:r>
          </w:p>
          <w:p w:rsidR="00000000" w:rsidP="004C50ED">
            <w:pPr>
              <w:pStyle w:val="BodyText"/>
              <w:rPr>
                <w:lang w:val="en-NZ"/>
              </w:rPr>
            </w:pPr>
            <w:r w:rsidRPr="004C50ED">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DA44F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C50ED">
            <w:pPr>
              <w:pStyle w:val="BodyText"/>
              <w:rPr>
                <w:lang w:val="en-NZ"/>
              </w:rPr>
            </w:pPr>
            <w:r w:rsidRPr="004C50ED">
              <w:rPr>
                <w:rStyle w:val="SpecialBold"/>
              </w:rPr>
              <w:t>Method of assessme</w:t>
            </w:r>
            <w:r w:rsidRPr="004C50ED">
              <w:rPr>
                <w:rStyle w:val="SpecialBold"/>
              </w:rPr>
              <w:t>nt</w:t>
            </w:r>
          </w:p>
        </w:tc>
        <w:tc>
          <w:tcPr>
            <w:tcW w:w="5014" w:type="dxa"/>
            <w:tcBorders>
              <w:top w:val="nil"/>
              <w:left w:val="nil"/>
              <w:bottom w:val="nil"/>
              <w:right w:val="nil"/>
            </w:tcBorders>
            <w:tcMar>
              <w:top w:w="0" w:type="dxa"/>
              <w:left w:w="62" w:type="dxa"/>
              <w:bottom w:w="0" w:type="dxa"/>
              <w:right w:w="62" w:type="dxa"/>
            </w:tcMar>
          </w:tcPr>
          <w:p w:rsidR="00000000" w:rsidRPr="004C50ED" w:rsidP="004C50ED">
            <w:pPr>
              <w:pStyle w:val="BodyText"/>
            </w:pPr>
            <w:r w:rsidRPr="004C50ED">
              <w:t>Assessment methods must:</w:t>
            </w:r>
          </w:p>
          <w:p w:rsidR="00000000" w:rsidRPr="004C50ED" w:rsidP="004C50ED">
            <w:pPr>
              <w:pStyle w:val="ListBullet"/>
            </w:pPr>
            <w:r w:rsidRPr="004C50ED">
              <w:t>satisfy the endorsed Assessment Guidelines of the Construction, Plumbing and Services Training Package</w:t>
            </w:r>
          </w:p>
          <w:p w:rsidR="00000000" w:rsidRPr="004C50ED" w:rsidP="004C50ED">
            <w:pPr>
              <w:pStyle w:val="ListBullet"/>
            </w:pPr>
            <w:r w:rsidRPr="004C50ED">
              <w:t>include direct observation of tasks in real or simulated work conditions, with questioning to confirm the ability to consist</w:t>
            </w:r>
            <w:r w:rsidRPr="004C50ED">
              <w:t>ently identify and correctly interpret the essential underpinning knowledge required for practical application</w:t>
            </w:r>
          </w:p>
          <w:p w:rsidR="00000000" w:rsidRPr="004C50ED" w:rsidP="004C50ED">
            <w:pPr>
              <w:pStyle w:val="ListBullet"/>
            </w:pPr>
            <w:r w:rsidRPr="004C50ED">
              <w:t>reinforce the integration of employability skills with workplace tasks and job roles</w:t>
            </w:r>
          </w:p>
          <w:p w:rsidR="00000000" w:rsidRPr="004C50ED" w:rsidP="004C50ED">
            <w:pPr>
              <w:pStyle w:val="ListBullet"/>
            </w:pPr>
            <w:r w:rsidRPr="004C50ED">
              <w:t>confirm that competency is verified and able to be transferr</w:t>
            </w:r>
            <w:r w:rsidRPr="004C50ED">
              <w:t>ed to other circumstances and environments.</w:t>
            </w:r>
          </w:p>
          <w:p w:rsidR="00000000" w:rsidRPr="004C50ED" w:rsidP="004C50ED">
            <w:pPr>
              <w:pStyle w:val="BodyText"/>
            </w:pPr>
            <w:r w:rsidRPr="004C50ED">
              <w:t>Validity and sufficiency of evidence requires that:</w:t>
            </w:r>
          </w:p>
          <w:p w:rsidR="00000000" w:rsidRPr="004C50ED" w:rsidP="004C50ED">
            <w:pPr>
              <w:pStyle w:val="ListBullet"/>
            </w:pPr>
            <w:r w:rsidRPr="004C50ED">
              <w:t>competency will need to be demonstrated over a period of time reflecting the scope of the role and the practical requirements of the workplace</w:t>
            </w:r>
          </w:p>
          <w:p w:rsidR="00000000" w:rsidRPr="004C50ED" w:rsidP="004C50ED">
            <w:pPr>
              <w:pStyle w:val="ListBullet"/>
            </w:pPr>
            <w:r w:rsidRPr="004C50ED">
              <w:t>where the assess</w:t>
            </w:r>
            <w:r w:rsidRPr="004C50ED">
              <w:t xml:space="preserve">ment is part of a structured learning experience the evidence collected must relate to a number of performances assessed at different points in time and separated by further learning and practice, with a decision on competency only taken at the point when </w:t>
            </w:r>
            <w:r w:rsidRPr="004C50ED">
              <w:t>the assessor has complete confidence in the person's demonstrated ability and applied knowledge</w:t>
            </w:r>
          </w:p>
          <w:p w:rsidR="00000000" w:rsidRPr="004C50ED" w:rsidP="004C50ED">
            <w:pPr>
              <w:pStyle w:val="ListBullet"/>
            </w:pPr>
            <w:r w:rsidRPr="004C50ED">
              <w:t>all assessment that is part of a structured learning experience must include a combination of direct, indirect and supplementary evidence.</w:t>
            </w:r>
          </w:p>
          <w:p w:rsidR="00000000" w:rsidRPr="004C50ED" w:rsidP="004C50ED">
            <w:pPr>
              <w:pStyle w:val="BodyText"/>
            </w:pPr>
            <w:r w:rsidRPr="004C50ED">
              <w:t xml:space="preserve">Assessment processes </w:t>
            </w:r>
            <w:r w:rsidRPr="004C50ED">
              <w:t>and techniques should as far as is practical take into account the language, literacy and numeracy capacity of the candidate in relation to the competency being assessed.</w:t>
            </w:r>
          </w:p>
          <w:p w:rsidR="00000000" w:rsidRPr="004C50ED" w:rsidP="004C50ED">
            <w:pPr>
              <w:pStyle w:val="BodyText"/>
            </w:pPr>
            <w:r w:rsidRPr="004C50ED">
              <w:t>Supplementary evidence of competency may be obtained from relevant authenticated docu</w:t>
            </w:r>
            <w:r w:rsidRPr="004C50ED">
              <w:t xml:space="preserve">mentation from third parties, such as existing supervisors, team leaders or specialist training staff. </w:t>
            </w:r>
          </w:p>
        </w:tc>
      </w:tr>
    </w:tbl>
    <w:p w:rsidR="00DA44F0" w:rsidP="004C50ED">
      <w:pPr>
        <w:pStyle w:val="BodyText"/>
      </w:pPr>
    </w:p>
    <w:p w:rsidR="00DA44F0" w:rsidP="004C50ED">
      <w:pPr>
        <w:pStyle w:val="BodyText"/>
      </w:pPr>
    </w:p>
    <w:p w:rsidR="00000000" w:rsidRPr="004C50ED" w:rsidP="004C50ED">
      <w:pPr>
        <w:pStyle w:val="Heading1"/>
      </w:pPr>
      <w:bookmarkStart w:id="11" w:name="O_250118"/>
      <w:bookmarkEnd w:id="11"/>
      <w:r w:rsidRPr="004C50ED">
        <w:t>Range Statement</w:t>
      </w:r>
    </w:p>
    <w:tbl>
      <w:tblPr>
        <w:tblW w:w="0" w:type="auto"/>
        <w:tblLayout w:type="fixed"/>
        <w:tblCellMar>
          <w:left w:w="62" w:type="dxa"/>
          <w:right w:w="62" w:type="dxa"/>
        </w:tblCellMar>
        <w:tblLook w:val="0000"/>
      </w:tblPr>
      <w:tblGrid>
        <w:gridCol w:w="3467"/>
        <w:gridCol w:w="5055"/>
      </w:tblGrid>
      <w:tr w:rsidTr="00DA44F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C50ED">
            <w:pPr>
              <w:pStyle w:val="BodyText"/>
              <w:rPr>
                <w:lang w:val="en-NZ"/>
              </w:rPr>
            </w:pPr>
            <w:r w:rsidRPr="004C50ED">
              <w:rPr>
                <w:rStyle w:val="SpecialBold"/>
              </w:rPr>
              <w:t>RANGE STATEMENT</w:t>
            </w:r>
          </w:p>
        </w:tc>
      </w:tr>
      <w:tr w:rsidTr="00DA44F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C50ED">
            <w:pPr>
              <w:pStyle w:val="BodyText"/>
              <w:rPr>
                <w:lang w:val="en-NZ"/>
              </w:rPr>
            </w:pPr>
            <w:r w:rsidRPr="004C50ED">
              <w:t>The range statement relates to the unit of competency as a whole. It allows for different work environments and situations that may affect performance. Bold italicised wording, if used in the performance criteria, is detailed below. Essential operating con</w:t>
            </w:r>
            <w:r w:rsidRPr="004C50ED">
              <w:t>ditions that may be present with training and assessment (depending on the work situation, needs of the candidate, accessibility of the item, and local industry and regional contexts) may also be included.</w:t>
            </w:r>
          </w:p>
        </w:tc>
      </w:tr>
      <w:tr w:rsidTr="00DA44F0">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4C50ED">
            <w:pPr>
              <w:pStyle w:val="BodyText"/>
              <w:rPr>
                <w:lang w:val="en-NZ"/>
              </w:rPr>
            </w:pPr>
            <w:r w:rsidRPr="004C50ED">
              <w:rPr>
                <w:rStyle w:val="BoldandItalics"/>
              </w:rPr>
              <w:t>General and detailed refractory plans</w:t>
            </w:r>
            <w:r w:rsidRPr="004C50ED">
              <w:t xml:space="preserve"> include: </w:t>
            </w:r>
          </w:p>
        </w:tc>
        <w:tc>
          <w:tcPr>
            <w:tcW w:w="5055" w:type="dxa"/>
            <w:tcBorders>
              <w:top w:val="nil"/>
              <w:left w:val="nil"/>
              <w:bottom w:val="nil"/>
              <w:right w:val="nil"/>
            </w:tcBorders>
            <w:tcMar>
              <w:top w:w="0" w:type="dxa"/>
              <w:left w:w="62" w:type="dxa"/>
              <w:bottom w:w="0" w:type="dxa"/>
              <w:right w:w="62" w:type="dxa"/>
            </w:tcMar>
          </w:tcPr>
          <w:p w:rsidR="00000000" w:rsidRPr="004C50ED" w:rsidP="004C50ED">
            <w:pPr>
              <w:pStyle w:val="ListBullet"/>
            </w:pPr>
            <w:r w:rsidRPr="004C50ED">
              <w:t>detailed plans show aspects and sections of the structure in greater detail than the general plan</w:t>
            </w:r>
          </w:p>
          <w:p w:rsidR="00000000" w:rsidP="004C50ED">
            <w:pPr>
              <w:pStyle w:val="ListBullet"/>
              <w:rPr>
                <w:lang w:val="en-NZ"/>
              </w:rPr>
            </w:pPr>
            <w:r w:rsidRPr="004C50ED">
              <w:t>general plans show the entire structure to be constructed.</w:t>
            </w:r>
          </w:p>
        </w:tc>
      </w:tr>
      <w:tr w:rsidTr="00DA44F0">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4C50ED">
            <w:pPr>
              <w:pStyle w:val="BodyText"/>
              <w:rPr>
                <w:lang w:val="en-NZ"/>
              </w:rPr>
            </w:pPr>
            <w:r w:rsidRPr="004C50ED">
              <w:rPr>
                <w:rStyle w:val="BoldandItalics"/>
              </w:rPr>
              <w:t>Signs and symbols</w:t>
            </w:r>
            <w:r w:rsidRPr="004C50ED">
              <w:t xml:space="preserve"> relate to: </w:t>
            </w:r>
          </w:p>
        </w:tc>
        <w:tc>
          <w:tcPr>
            <w:tcW w:w="5055" w:type="dxa"/>
            <w:tcBorders>
              <w:top w:val="nil"/>
              <w:left w:val="nil"/>
              <w:bottom w:val="nil"/>
              <w:right w:val="nil"/>
            </w:tcBorders>
            <w:tcMar>
              <w:top w:w="0" w:type="dxa"/>
              <w:left w:w="62" w:type="dxa"/>
              <w:bottom w:w="0" w:type="dxa"/>
              <w:right w:w="62" w:type="dxa"/>
            </w:tcMar>
          </w:tcPr>
          <w:p w:rsidR="00000000" w:rsidRPr="004C50ED" w:rsidP="004C50ED">
            <w:pPr>
              <w:pStyle w:val="ListBullet"/>
            </w:pPr>
            <w:r w:rsidRPr="004C50ED">
              <w:t>assembly of completed parts of the structure</w:t>
            </w:r>
          </w:p>
          <w:p w:rsidR="00000000" w:rsidRPr="004C50ED" w:rsidP="004C50ED">
            <w:pPr>
              <w:pStyle w:val="ListBullet"/>
            </w:pPr>
            <w:r w:rsidRPr="004C50ED">
              <w:t>dimensions and scales</w:t>
            </w:r>
          </w:p>
          <w:p w:rsidR="00000000" w:rsidRPr="004C50ED" w:rsidP="004C50ED">
            <w:pPr>
              <w:pStyle w:val="ListBullet"/>
            </w:pPr>
            <w:r w:rsidRPr="004C50ED">
              <w:t>materials to be used</w:t>
            </w:r>
          </w:p>
          <w:p w:rsidR="00000000" w:rsidRPr="004C50ED" w:rsidP="004C50ED">
            <w:pPr>
              <w:pStyle w:val="ListBullet"/>
            </w:pPr>
            <w:r w:rsidRPr="004C50ED">
              <w:t>particular views of the structure</w:t>
            </w:r>
          </w:p>
          <w:p w:rsidR="00000000" w:rsidRPr="004C50ED" w:rsidP="004C50ED">
            <w:pPr>
              <w:pStyle w:val="ListBullet"/>
            </w:pPr>
            <w:r w:rsidRPr="004C50ED">
              <w:t>quality control requirements</w:t>
            </w:r>
          </w:p>
          <w:p w:rsidR="00000000" w:rsidRPr="004C50ED" w:rsidP="004C50ED">
            <w:pPr>
              <w:pStyle w:val="ListBullet"/>
            </w:pPr>
            <w:r w:rsidRPr="004C50ED">
              <w:t>sections of the structure</w:t>
            </w:r>
          </w:p>
          <w:p w:rsidR="00000000" w:rsidP="004C50ED">
            <w:pPr>
              <w:pStyle w:val="ListBullet"/>
              <w:rPr>
                <w:lang w:val="en-NZ"/>
              </w:rPr>
            </w:pPr>
            <w:r w:rsidRPr="004C50ED">
              <w:t>tolerances.</w:t>
            </w:r>
          </w:p>
        </w:tc>
      </w:tr>
      <w:tr w:rsidTr="00DA44F0">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4C50ED">
            <w:pPr>
              <w:pStyle w:val="BodyText"/>
              <w:rPr>
                <w:lang w:val="en-NZ"/>
              </w:rPr>
            </w:pPr>
            <w:r w:rsidRPr="004C50ED">
              <w:rPr>
                <w:rStyle w:val="BoldandItalics"/>
              </w:rPr>
              <w:t>Notes</w:t>
            </w:r>
            <w:r w:rsidRPr="004C50ED">
              <w:t xml:space="preserve"> include: </w:t>
            </w:r>
          </w:p>
        </w:tc>
        <w:tc>
          <w:tcPr>
            <w:tcW w:w="5055" w:type="dxa"/>
            <w:tcBorders>
              <w:top w:val="nil"/>
              <w:left w:val="nil"/>
              <w:bottom w:val="nil"/>
              <w:right w:val="nil"/>
            </w:tcBorders>
            <w:tcMar>
              <w:top w:w="0" w:type="dxa"/>
              <w:left w:w="62" w:type="dxa"/>
              <w:bottom w:w="0" w:type="dxa"/>
              <w:right w:w="62" w:type="dxa"/>
            </w:tcMar>
          </w:tcPr>
          <w:p w:rsidR="00000000" w:rsidRPr="004C50ED" w:rsidP="004C50ED">
            <w:pPr>
              <w:pStyle w:val="ListBullet"/>
            </w:pPr>
            <w:r w:rsidRPr="004C50ED">
              <w:t>details of Australian standards to be complied with</w:t>
            </w:r>
          </w:p>
          <w:p w:rsidR="00000000" w:rsidRPr="004C50ED" w:rsidP="004C50ED">
            <w:pPr>
              <w:pStyle w:val="ListBullet"/>
            </w:pPr>
            <w:r w:rsidRPr="004C50ED">
              <w:t>quality control requirements to be followed and documented</w:t>
            </w:r>
          </w:p>
          <w:p w:rsidR="00000000" w:rsidP="004C50ED">
            <w:pPr>
              <w:pStyle w:val="ListBullet"/>
              <w:rPr>
                <w:lang w:val="en-NZ"/>
              </w:rPr>
            </w:pPr>
            <w:r w:rsidRPr="004C50ED">
              <w:t>requirements for samples of castables to be taken.</w:t>
            </w:r>
          </w:p>
        </w:tc>
      </w:tr>
      <w:tr w:rsidTr="00DA44F0">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4C50ED">
            <w:pPr>
              <w:pStyle w:val="BodyText"/>
              <w:rPr>
                <w:lang w:val="en-NZ"/>
              </w:rPr>
            </w:pPr>
            <w:r w:rsidRPr="004C50ED">
              <w:rPr>
                <w:rStyle w:val="BoldandItalics"/>
              </w:rPr>
              <w:t>Materials</w:t>
            </w:r>
            <w:r w:rsidRPr="004C50ED">
              <w:t xml:space="preserve"> include: </w:t>
            </w:r>
          </w:p>
        </w:tc>
        <w:tc>
          <w:tcPr>
            <w:tcW w:w="5055" w:type="dxa"/>
            <w:tcBorders>
              <w:top w:val="nil"/>
              <w:left w:val="nil"/>
              <w:bottom w:val="nil"/>
              <w:right w:val="nil"/>
            </w:tcBorders>
            <w:tcMar>
              <w:top w:w="0" w:type="dxa"/>
              <w:left w:w="62" w:type="dxa"/>
              <w:bottom w:w="0" w:type="dxa"/>
              <w:right w:w="62" w:type="dxa"/>
            </w:tcMar>
          </w:tcPr>
          <w:p w:rsidR="00000000" w:rsidRPr="004C50ED" w:rsidP="004C50ED">
            <w:pPr>
              <w:pStyle w:val="ListBullet"/>
            </w:pPr>
            <w:r w:rsidRPr="004C50ED">
              <w:t>castables</w:t>
            </w:r>
          </w:p>
          <w:p w:rsidR="00000000" w:rsidRPr="004C50ED" w:rsidP="004C50ED">
            <w:pPr>
              <w:pStyle w:val="ListBullet"/>
            </w:pPr>
            <w:r w:rsidRPr="004C50ED">
              <w:t>different types of insulation materials, including insulation boards and bricks</w:t>
            </w:r>
          </w:p>
          <w:p w:rsidR="00000000" w:rsidRPr="004C50ED" w:rsidP="004C50ED">
            <w:pPr>
              <w:pStyle w:val="ListBullet"/>
            </w:pPr>
            <w:r w:rsidRPr="004C50ED">
              <w:t>fire bricks</w:t>
            </w:r>
          </w:p>
          <w:p w:rsidR="00000000" w:rsidRPr="004C50ED" w:rsidP="004C50ED">
            <w:pPr>
              <w:pStyle w:val="ListBullet"/>
            </w:pPr>
            <w:r w:rsidRPr="004C50ED">
              <w:t>fire clay</w:t>
            </w:r>
          </w:p>
          <w:p w:rsidR="00000000" w:rsidP="004C50ED">
            <w:pPr>
              <w:pStyle w:val="ListBullet"/>
              <w:rPr>
                <w:lang w:val="en-NZ"/>
              </w:rPr>
            </w:pPr>
            <w:r w:rsidRPr="004C50ED">
              <w:t>stainless steel joints.</w:t>
            </w:r>
          </w:p>
        </w:tc>
      </w:tr>
      <w:tr w:rsidTr="00DA44F0">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4C50ED">
            <w:pPr>
              <w:pStyle w:val="BodyText"/>
              <w:rPr>
                <w:lang w:val="en-NZ"/>
              </w:rPr>
            </w:pPr>
            <w:r w:rsidRPr="004C50ED">
              <w:rPr>
                <w:rStyle w:val="BoldandItalics"/>
              </w:rPr>
              <w:t>Safety precautions</w:t>
            </w:r>
            <w:r w:rsidRPr="004C50ED">
              <w:t xml:space="preserve"> include: </w:t>
            </w:r>
          </w:p>
        </w:tc>
        <w:tc>
          <w:tcPr>
            <w:tcW w:w="5055" w:type="dxa"/>
            <w:tcBorders>
              <w:top w:val="nil"/>
              <w:left w:val="nil"/>
              <w:bottom w:val="nil"/>
              <w:right w:val="nil"/>
            </w:tcBorders>
            <w:tcMar>
              <w:top w:w="0" w:type="dxa"/>
              <w:left w:w="62" w:type="dxa"/>
              <w:bottom w:w="0" w:type="dxa"/>
              <w:right w:w="62" w:type="dxa"/>
            </w:tcMar>
          </w:tcPr>
          <w:p w:rsidR="00000000" w:rsidRPr="004C50ED" w:rsidP="004C50ED">
            <w:pPr>
              <w:pStyle w:val="ListBullet"/>
            </w:pPr>
            <w:r w:rsidRPr="004C50ED">
              <w:t>environmental precautions, such as the operation of an extraction system to filter dust and fumes</w:t>
            </w:r>
          </w:p>
          <w:p w:rsidR="00000000" w:rsidRPr="004C50ED" w:rsidP="004C50ED">
            <w:pPr>
              <w:pStyle w:val="ListBullet"/>
            </w:pPr>
            <w:r w:rsidRPr="004C50ED">
              <w:t>use of personal protective clothing, including:</w:t>
            </w:r>
          </w:p>
          <w:p w:rsidR="00000000" w:rsidRPr="004C50ED" w:rsidP="004C50ED">
            <w:pPr>
              <w:pStyle w:val="ListBullet2"/>
            </w:pPr>
            <w:r w:rsidRPr="004C50ED">
              <w:t>disposable overalls</w:t>
            </w:r>
          </w:p>
          <w:p w:rsidR="00000000" w:rsidRPr="004C50ED" w:rsidP="004C50ED">
            <w:pPr>
              <w:pStyle w:val="ListBullet2"/>
            </w:pPr>
            <w:r w:rsidRPr="004C50ED">
              <w:t>dust masks</w:t>
            </w:r>
          </w:p>
          <w:p w:rsidR="00000000" w:rsidRPr="004C50ED" w:rsidP="004C50ED">
            <w:pPr>
              <w:pStyle w:val="ListBullet2"/>
            </w:pPr>
            <w:r w:rsidRPr="004C50ED">
              <w:t>eye and ear protection</w:t>
            </w:r>
          </w:p>
          <w:p w:rsidR="00000000" w:rsidRPr="004C50ED" w:rsidP="004C50ED">
            <w:pPr>
              <w:pStyle w:val="ListBullet2"/>
            </w:pPr>
            <w:r w:rsidRPr="004C50ED">
              <w:t>gloves</w:t>
            </w:r>
          </w:p>
          <w:p w:rsidR="00000000" w:rsidRPr="004C50ED" w:rsidP="004C50ED">
            <w:pPr>
              <w:pStyle w:val="ListBullet2"/>
            </w:pPr>
            <w:r w:rsidRPr="004C50ED">
              <w:t>respirator</w:t>
            </w:r>
          </w:p>
          <w:p w:rsidR="00000000" w:rsidP="004C50ED">
            <w:pPr>
              <w:pStyle w:val="ListBullet2"/>
              <w:rPr>
                <w:lang w:val="en-NZ"/>
              </w:rPr>
            </w:pPr>
            <w:r w:rsidRPr="004C50ED">
              <w:t>steel toe capped shoes.</w:t>
            </w:r>
          </w:p>
        </w:tc>
      </w:tr>
      <w:tr w:rsidTr="00DA44F0">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4C50ED">
            <w:pPr>
              <w:pStyle w:val="BodyText"/>
              <w:rPr>
                <w:lang w:val="en-NZ"/>
              </w:rPr>
            </w:pPr>
            <w:r w:rsidRPr="004C50ED">
              <w:rPr>
                <w:rStyle w:val="BoldandItalics"/>
              </w:rPr>
              <w:t>OHS requirements</w:t>
            </w:r>
            <w:r w:rsidRPr="004C50ED">
              <w:t xml:space="preserve"> include: </w:t>
            </w:r>
          </w:p>
        </w:tc>
        <w:tc>
          <w:tcPr>
            <w:tcW w:w="5055" w:type="dxa"/>
            <w:tcBorders>
              <w:top w:val="nil"/>
              <w:left w:val="nil"/>
              <w:bottom w:val="nil"/>
              <w:right w:val="nil"/>
            </w:tcBorders>
            <w:tcMar>
              <w:top w:w="0" w:type="dxa"/>
              <w:left w:w="62" w:type="dxa"/>
              <w:bottom w:w="0" w:type="dxa"/>
              <w:right w:w="62" w:type="dxa"/>
            </w:tcMar>
          </w:tcPr>
          <w:p w:rsidR="00000000" w:rsidRPr="004C50ED" w:rsidP="004C50ED">
            <w:pPr>
              <w:pStyle w:val="ListBullet"/>
            </w:pPr>
            <w:r w:rsidRPr="004C50ED">
              <w:t>handling materials</w:t>
            </w:r>
          </w:p>
          <w:p w:rsidR="00000000" w:rsidRPr="004C50ED" w:rsidP="004C50ED">
            <w:pPr>
              <w:pStyle w:val="ListBullet"/>
            </w:pPr>
            <w:r w:rsidRPr="004C50ED">
              <w:t>protective clothing and equipment</w:t>
            </w:r>
          </w:p>
          <w:p w:rsidR="00000000" w:rsidRPr="004C50ED" w:rsidP="004C50ED">
            <w:pPr>
              <w:pStyle w:val="ListBullet"/>
            </w:pPr>
            <w:r w:rsidRPr="004C50ED">
              <w:t>use of tools and equipment</w:t>
            </w:r>
          </w:p>
          <w:p w:rsidR="00000000" w:rsidRPr="004C50ED" w:rsidP="004C50ED">
            <w:pPr>
              <w:pStyle w:val="ListBullet"/>
            </w:pPr>
            <w:r w:rsidRPr="004C50ED">
              <w:t>working platforms and scaffolding</w:t>
            </w:r>
          </w:p>
          <w:p w:rsidR="00000000" w:rsidP="004C50ED">
            <w:pPr>
              <w:pStyle w:val="ListBullet"/>
              <w:rPr>
                <w:lang w:val="en-NZ"/>
              </w:rPr>
            </w:pPr>
            <w:r w:rsidRPr="004C50ED">
              <w:t>workplace environment and safety.</w:t>
            </w:r>
          </w:p>
        </w:tc>
      </w:tr>
      <w:tr w:rsidTr="00DA44F0">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4C50ED">
            <w:pPr>
              <w:pStyle w:val="BodyText"/>
              <w:rPr>
                <w:lang w:val="en-NZ"/>
              </w:rPr>
            </w:pPr>
            <w:r w:rsidRPr="004C50ED">
              <w:rPr>
                <w:rStyle w:val="BoldandItalics"/>
              </w:rPr>
              <w:t>Tools and equipment</w:t>
            </w:r>
            <w:r w:rsidRPr="004C50ED">
              <w:t xml:space="preserve"> include: </w:t>
            </w:r>
          </w:p>
        </w:tc>
        <w:tc>
          <w:tcPr>
            <w:tcW w:w="5055" w:type="dxa"/>
            <w:tcBorders>
              <w:top w:val="nil"/>
              <w:left w:val="nil"/>
              <w:bottom w:val="nil"/>
              <w:right w:val="nil"/>
            </w:tcBorders>
            <w:tcMar>
              <w:top w:w="0" w:type="dxa"/>
              <w:left w:w="62" w:type="dxa"/>
              <w:bottom w:w="0" w:type="dxa"/>
              <w:right w:w="62" w:type="dxa"/>
            </w:tcMar>
          </w:tcPr>
          <w:p w:rsidR="00000000" w:rsidRPr="004C50ED" w:rsidP="004C50ED">
            <w:pPr>
              <w:pStyle w:val="ListBullet"/>
            </w:pPr>
            <w:r w:rsidRPr="004C50ED">
              <w:t>clay mixer</w:t>
            </w:r>
          </w:p>
          <w:p w:rsidR="00000000" w:rsidRPr="004C50ED" w:rsidP="004C50ED">
            <w:pPr>
              <w:pStyle w:val="ListBullet"/>
            </w:pPr>
            <w:r w:rsidRPr="004C50ED">
              <w:t>measuring tapes and rules</w:t>
            </w:r>
          </w:p>
          <w:p w:rsidR="00000000" w:rsidRPr="004C50ED" w:rsidP="004C50ED">
            <w:pPr>
              <w:pStyle w:val="ListBullet"/>
            </w:pPr>
            <w:r w:rsidRPr="004C50ED">
              <w:t>mortar boards</w:t>
            </w:r>
          </w:p>
          <w:p w:rsidR="00000000" w:rsidRPr="004C50ED" w:rsidP="004C50ED">
            <w:pPr>
              <w:pStyle w:val="ListBullet"/>
            </w:pPr>
            <w:r w:rsidRPr="004C50ED">
              <w:t>rubber mallets and scutches</w:t>
            </w:r>
          </w:p>
          <w:p w:rsidR="00000000" w:rsidRPr="004C50ED" w:rsidP="004C50ED">
            <w:pPr>
              <w:pStyle w:val="ListBullet"/>
            </w:pPr>
            <w:r w:rsidRPr="004C50ED">
              <w:t>straight edges</w:t>
            </w:r>
          </w:p>
          <w:p w:rsidR="00000000" w:rsidRPr="004C50ED" w:rsidP="004C50ED">
            <w:pPr>
              <w:pStyle w:val="ListBullet"/>
            </w:pPr>
            <w:r w:rsidRPr="004C50ED">
              <w:t>string lines</w:t>
            </w:r>
          </w:p>
          <w:p w:rsidR="00000000" w:rsidRPr="004C50ED" w:rsidP="004C50ED">
            <w:pPr>
              <w:pStyle w:val="ListBullet"/>
            </w:pPr>
            <w:r w:rsidRPr="004C50ED">
              <w:t>trowels.</w:t>
            </w:r>
          </w:p>
        </w:tc>
      </w:tr>
    </w:tbl>
    <w:p w:rsidR="00DA44F0" w:rsidP="004C50ED">
      <w:pPr>
        <w:pStyle w:val="BodyText"/>
      </w:pPr>
    </w:p>
    <w:p w:rsidR="00DA44F0" w:rsidP="004C50ED">
      <w:pPr>
        <w:pStyle w:val="BodyText"/>
      </w:pPr>
    </w:p>
    <w:p w:rsidR="00000000" w:rsidRPr="004C50ED" w:rsidP="004C50ED">
      <w:pPr>
        <w:pStyle w:val="Heading1"/>
      </w:pPr>
      <w:bookmarkStart w:id="12" w:name="O_196932"/>
      <w:bookmarkEnd w:id="12"/>
      <w:r w:rsidRPr="004C50ED">
        <w:t>Unit Sector(s)</w:t>
      </w:r>
    </w:p>
    <w:tbl>
      <w:tblPr>
        <w:tblW w:w="0" w:type="auto"/>
        <w:tblLayout w:type="fixed"/>
        <w:tblCellMar>
          <w:left w:w="62" w:type="dxa"/>
          <w:right w:w="62" w:type="dxa"/>
        </w:tblCellMar>
        <w:tblLook w:val="0000"/>
      </w:tblPr>
      <w:tblGrid>
        <w:gridCol w:w="2597"/>
        <w:gridCol w:w="5925"/>
      </w:tblGrid>
      <w:tr w:rsidTr="00DA44F0">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4C50ED">
            <w:pPr>
              <w:pStyle w:val="BodyText"/>
              <w:rPr>
                <w:lang w:val="en-NZ"/>
              </w:rPr>
            </w:pPr>
            <w:r w:rsidRPr="004C50ED">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4C50ED" w:rsidP="004C50ED">
            <w:pPr>
              <w:pStyle w:val="BodyText"/>
            </w:pPr>
            <w:r w:rsidRPr="004C50ED">
              <w:t>Construction</w:t>
            </w:r>
          </w:p>
        </w:tc>
      </w:tr>
    </w:tbl>
    <w:p w:rsidR="00DA44F0" w:rsidP="004C50ED">
      <w:pPr>
        <w:pStyle w:val="BodyText"/>
      </w:pPr>
    </w:p>
    <w:p w:rsidR="00DA44F0" w:rsidP="004C50ED">
      <w:pPr>
        <w:pStyle w:val="BodyText"/>
      </w:pPr>
    </w:p>
    <w:p w:rsidR="00000000" w:rsidRPr="004C50ED" w:rsidP="004C50ED">
      <w:pPr>
        <w:pStyle w:val="Heading1"/>
      </w:pPr>
      <w:bookmarkStart w:id="13" w:name="O_196929"/>
      <w:bookmarkEnd w:id="13"/>
      <w:r w:rsidRPr="004C50ED">
        <w:t>Co-requisite units</w:t>
      </w:r>
    </w:p>
    <w:tbl>
      <w:tblPr>
        <w:tblW w:w="0" w:type="auto"/>
        <w:tblLayout w:type="fixed"/>
        <w:tblCellMar>
          <w:left w:w="62" w:type="dxa"/>
          <w:right w:w="62" w:type="dxa"/>
        </w:tblCellMar>
        <w:tblLook w:val="0000"/>
      </w:tblPr>
      <w:tblGrid>
        <w:gridCol w:w="2614"/>
        <w:gridCol w:w="5908"/>
      </w:tblGrid>
      <w:tr w:rsidTr="00DA44F0">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4C50ED">
            <w:pPr>
              <w:pStyle w:val="BodyText"/>
              <w:rPr>
                <w:lang w:val="en-NZ"/>
              </w:rPr>
            </w:pPr>
            <w:r w:rsidRPr="004C50ED">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4C50ED" w:rsidP="004C50ED">
            <w:pPr>
              <w:pStyle w:val="BodyText"/>
            </w:pPr>
            <w:r w:rsidRPr="004C50ED">
              <w:t>Nil</w:t>
            </w:r>
          </w:p>
        </w:tc>
      </w:tr>
    </w:tbl>
    <w:p w:rsidR="00DA44F0" w:rsidP="004C50ED">
      <w:pPr>
        <w:pStyle w:val="BodyText"/>
      </w:pPr>
    </w:p>
    <w:p w:rsidR="00DA44F0" w:rsidP="004C50ED">
      <w:pPr>
        <w:pStyle w:val="BodyText"/>
      </w:pPr>
    </w:p>
    <w:p w:rsidR="00000000" w:rsidRPr="004C50ED" w:rsidP="004C50ED">
      <w:pPr>
        <w:pStyle w:val="Heading1"/>
      </w:pPr>
      <w:bookmarkStart w:id="14" w:name="O_196931"/>
      <w:bookmarkEnd w:id="14"/>
      <w:r w:rsidRPr="004C50ED">
        <w:t>Functional area</w:t>
      </w:r>
    </w:p>
    <w:tbl>
      <w:tblPr>
        <w:tblW w:w="0" w:type="auto"/>
        <w:tblLayout w:type="fixed"/>
        <w:tblCellMar>
          <w:left w:w="62" w:type="dxa"/>
          <w:right w:w="62" w:type="dxa"/>
        </w:tblCellMar>
        <w:tblLook w:val="0000"/>
      </w:tblPr>
      <w:tblGrid>
        <w:gridCol w:w="2729"/>
        <w:gridCol w:w="5793"/>
      </w:tblGrid>
      <w:tr w:rsidTr="00DA44F0">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4C50ED">
            <w:pPr>
              <w:pStyle w:val="BodyText"/>
              <w:rPr>
                <w:lang w:val="en-NZ"/>
              </w:rPr>
            </w:pPr>
            <w:r w:rsidRPr="004C50ED">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4C50ED" w:rsidP="004C50ED">
            <w:pPr>
              <w:pStyle w:val="BodyText"/>
            </w:pPr>
          </w:p>
        </w:tc>
      </w:tr>
    </w:tbl>
    <w:p w:rsidR="00DA44F0" w:rsidP="004C50ED">
      <w:pPr>
        <w:pStyle w:val="BodyText"/>
      </w:pPr>
    </w:p>
    <w:p w:rsidR="00DA44F0" w:rsidP="004C50ED">
      <w:pPr>
        <w:pStyle w:val="BodyText"/>
      </w:pPr>
    </w:p>
    <w:p w:rsidR="00000000" w:rsidRPr="004C50ED" w:rsidP="004C50ED"/>
    <w:sectPr w:rsidSect="004C50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0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44F0" w:rsidP="00DA44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0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4F0" w:rsidP="004C50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A44F0" w:rsidP="004C50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A44F0" w:rsidP="004C50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0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44F0" w:rsidP="00DA44F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0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4F0" w:rsidP="004C50ED">
    <w:pPr>
      <w:pStyle w:val="Header"/>
      <w:framePr w:wrap="around"/>
    </w:pPr>
    <w:r>
      <w:fldChar w:fldCharType="begin"/>
    </w:r>
    <w:r>
      <w:instrText xml:space="preserve"> TITLE   \* MERGEFORMAT </w:instrText>
    </w:r>
    <w:r>
      <w:fldChar w:fldCharType="separate"/>
    </w:r>
    <w:r>
      <w:t>CPCCBC4041A Undertake preparations for refractory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A44F0" w:rsidP="004C50E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F655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7A5E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3E4C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0E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50ED"/>
    <w:pPr>
      <w:spacing w:before="360" w:after="60"/>
      <w:outlineLvl w:val="0"/>
    </w:pPr>
    <w:rPr>
      <w:sz w:val="32"/>
    </w:rPr>
  </w:style>
  <w:style w:type="paragraph" w:styleId="Heading2">
    <w:name w:val="heading 2"/>
    <w:basedOn w:val="HeadingBase"/>
    <w:next w:val="BodyText"/>
    <w:link w:val="Heading2Char"/>
    <w:qFormat/>
    <w:rsid w:val="004C50ED"/>
    <w:pPr>
      <w:keepLines/>
      <w:spacing w:before="240" w:after="120"/>
      <w:outlineLvl w:val="1"/>
    </w:pPr>
    <w:rPr>
      <w:sz w:val="28"/>
      <w:szCs w:val="40"/>
    </w:rPr>
  </w:style>
  <w:style w:type="paragraph" w:styleId="Heading3">
    <w:name w:val="heading 3"/>
    <w:basedOn w:val="HeadingBase"/>
    <w:next w:val="BodyText"/>
    <w:link w:val="Heading3Char"/>
    <w:qFormat/>
    <w:rsid w:val="004C50ED"/>
    <w:pPr>
      <w:spacing w:before="180" w:after="120"/>
      <w:outlineLvl w:val="2"/>
    </w:pPr>
    <w:rPr>
      <w:spacing w:val="-10"/>
      <w:kern w:val="32"/>
    </w:rPr>
  </w:style>
  <w:style w:type="paragraph" w:styleId="Heading4">
    <w:name w:val="heading 4"/>
    <w:basedOn w:val="HeadingBase"/>
    <w:next w:val="BodyText"/>
    <w:link w:val="Heading4Char"/>
    <w:qFormat/>
    <w:rsid w:val="004C50ED"/>
    <w:pPr>
      <w:spacing w:before="160" w:after="120"/>
      <w:outlineLvl w:val="3"/>
    </w:pPr>
    <w:rPr>
      <w:sz w:val="22"/>
    </w:rPr>
  </w:style>
  <w:style w:type="paragraph" w:styleId="Heading5">
    <w:name w:val="heading 5"/>
    <w:basedOn w:val="HeadingBase"/>
    <w:next w:val="Normal"/>
    <w:link w:val="Heading5Char"/>
    <w:qFormat/>
    <w:rsid w:val="004C50ED"/>
    <w:pPr>
      <w:spacing w:before="80"/>
      <w:outlineLvl w:val="4"/>
    </w:pPr>
    <w:rPr>
      <w:color w:val="918585"/>
      <w:sz w:val="20"/>
    </w:rPr>
  </w:style>
  <w:style w:type="paragraph" w:styleId="Heading6">
    <w:name w:val="heading 6"/>
    <w:basedOn w:val="HeadingBase"/>
    <w:next w:val="Normal"/>
    <w:link w:val="Heading6Char"/>
    <w:qFormat/>
    <w:rsid w:val="004C50ED"/>
    <w:pPr>
      <w:spacing w:before="60"/>
      <w:outlineLvl w:val="5"/>
    </w:pPr>
    <w:rPr>
      <w:color w:val="918585"/>
      <w:sz w:val="20"/>
    </w:rPr>
  </w:style>
  <w:style w:type="paragraph" w:styleId="Heading7">
    <w:name w:val="heading 7"/>
    <w:basedOn w:val="Normal"/>
    <w:next w:val="Normal"/>
    <w:link w:val="Heading7Char"/>
    <w:qFormat/>
    <w:rsid w:val="004C50ED"/>
    <w:pPr>
      <w:ind w:left="720"/>
      <w:outlineLvl w:val="6"/>
    </w:pPr>
    <w:rPr>
      <w:i/>
    </w:rPr>
  </w:style>
  <w:style w:type="paragraph" w:styleId="Heading8">
    <w:name w:val="heading 8"/>
    <w:basedOn w:val="Normal"/>
    <w:next w:val="Normal"/>
    <w:link w:val="Heading8Char"/>
    <w:qFormat/>
    <w:rsid w:val="004C50ED"/>
    <w:pPr>
      <w:ind w:left="720"/>
      <w:outlineLvl w:val="7"/>
    </w:pPr>
    <w:rPr>
      <w:i/>
    </w:rPr>
  </w:style>
  <w:style w:type="paragraph" w:styleId="Heading9">
    <w:name w:val="heading 9"/>
    <w:basedOn w:val="Normal"/>
    <w:next w:val="Normal"/>
    <w:link w:val="Heading9Char"/>
    <w:qFormat/>
    <w:rsid w:val="004C50ED"/>
    <w:pPr>
      <w:ind w:left="720"/>
      <w:outlineLvl w:val="8"/>
    </w:pPr>
    <w:rPr>
      <w:i/>
    </w:rPr>
  </w:style>
  <w:style w:type="character" w:default="1" w:styleId="DefaultParagraphFont">
    <w:name w:val="Default Paragraph Font"/>
    <w:uiPriority w:val="1"/>
    <w:unhideWhenUsed/>
    <w:rsid w:val="004C50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50ED"/>
  </w:style>
  <w:style w:type="character" w:customStyle="1" w:styleId="Heading1Char">
    <w:name w:val="Heading 1 Char"/>
    <w:basedOn w:val="DefaultParagraphFont"/>
    <w:link w:val="Heading1"/>
    <w:rsid w:val="004C50ED"/>
    <w:rPr>
      <w:rFonts w:ascii="Times New Roman" w:eastAsia="Times New Roman" w:hAnsi="Times New Roman" w:cs="Times New Roman"/>
      <w:b/>
      <w:sz w:val="32"/>
      <w:szCs w:val="20"/>
      <w:lang w:eastAsia="en-US"/>
    </w:rPr>
  </w:style>
  <w:style w:type="paragraph" w:styleId="BodyText">
    <w:name w:val="Body Text"/>
    <w:basedOn w:val="Normal"/>
    <w:link w:val="BodyTextChar"/>
    <w:rsid w:val="004C50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50ED"/>
    <w:rPr>
      <w:rFonts w:ascii="Times New Roman" w:eastAsia="Times New Roman" w:hAnsi="Times New Roman" w:cs="Times New Roman"/>
      <w:sz w:val="24"/>
      <w:lang w:val="en-US" w:eastAsia="en-US"/>
    </w:rPr>
  </w:style>
  <w:style w:type="paragraph" w:styleId="Footer">
    <w:name w:val="footer"/>
    <w:basedOn w:val="Normal"/>
    <w:link w:val="FooterChar"/>
    <w:rsid w:val="004C50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50ED"/>
    <w:rPr>
      <w:rFonts w:ascii="Times New Roman" w:eastAsia="Times New Roman" w:hAnsi="Times New Roman" w:cs="Times New Roman"/>
      <w:sz w:val="16"/>
      <w:lang w:val="en-US" w:eastAsia="en-US"/>
    </w:rPr>
  </w:style>
  <w:style w:type="paragraph" w:styleId="List">
    <w:name w:val="List"/>
    <w:basedOn w:val="BodyText"/>
    <w:next w:val="BodyText"/>
    <w:rsid w:val="004C50ED"/>
    <w:pPr>
      <w:tabs>
        <w:tab w:val="left" w:pos="340"/>
      </w:tabs>
      <w:spacing w:before="60" w:after="60"/>
      <w:ind w:left="340" w:hanging="340"/>
    </w:pPr>
  </w:style>
  <w:style w:type="paragraph" w:styleId="ListBullet">
    <w:name w:val="List Bullet"/>
    <w:basedOn w:val="List"/>
    <w:rsid w:val="004C50ED"/>
    <w:pPr>
      <w:numPr>
        <w:numId w:val="14"/>
      </w:numPr>
      <w:tabs>
        <w:tab w:val="clear" w:pos="340"/>
      </w:tabs>
      <w:spacing w:before="40" w:after="40"/>
    </w:pPr>
  </w:style>
  <w:style w:type="character" w:customStyle="1" w:styleId="SpecialBold">
    <w:name w:val="Special Bold"/>
    <w:basedOn w:val="DefaultParagraphFont"/>
    <w:rsid w:val="004C50ED"/>
    <w:rPr>
      <w:b/>
      <w:spacing w:val="0"/>
    </w:rPr>
  </w:style>
  <w:style w:type="paragraph" w:styleId="ListBullet2">
    <w:name w:val="List Bullet 2"/>
    <w:basedOn w:val="List2"/>
    <w:rsid w:val="004C50ED"/>
    <w:pPr>
      <w:numPr>
        <w:numId w:val="15"/>
      </w:numPr>
      <w:tabs>
        <w:tab w:val="clear" w:pos="680"/>
      </w:tabs>
    </w:pPr>
  </w:style>
  <w:style w:type="paragraph" w:styleId="Header">
    <w:name w:val="header"/>
    <w:basedOn w:val="Normal"/>
    <w:link w:val="HeaderChar"/>
    <w:rsid w:val="004C50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50E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C50ED"/>
    <w:pPr>
      <w:spacing w:before="240" w:after="120"/>
      <w:outlineLvl w:val="0"/>
    </w:pPr>
    <w:rPr>
      <w:rFonts w:ascii="Times New Roman" w:hAnsi="Times New Roman"/>
      <w:b/>
      <w:sz w:val="28"/>
    </w:rPr>
  </w:style>
  <w:style w:type="paragraph" w:customStyle="1" w:styleId="AllowPageBreak">
    <w:name w:val="AllowPageBreak"/>
    <w:rsid w:val="004C50E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C50ED"/>
    <w:pPr>
      <w:tabs>
        <w:tab w:val="left" w:pos="680"/>
      </w:tabs>
      <w:spacing w:before="60" w:after="60"/>
      <w:ind w:left="680" w:hanging="340"/>
    </w:pPr>
  </w:style>
  <w:style w:type="paragraph" w:styleId="ListBullet3">
    <w:name w:val="List Bullet 3"/>
    <w:basedOn w:val="List3"/>
    <w:rsid w:val="004C50ED"/>
    <w:pPr>
      <w:numPr>
        <w:numId w:val="3"/>
      </w:numPr>
      <w:tabs>
        <w:tab w:val="clear" w:pos="1021"/>
      </w:tabs>
      <w:ind w:left="1037" w:hanging="357"/>
    </w:pPr>
  </w:style>
  <w:style w:type="character" w:customStyle="1" w:styleId="BoldandItalics">
    <w:name w:val="Bold and Italics"/>
    <w:qFormat/>
    <w:rsid w:val="004C50ED"/>
    <w:rPr>
      <w:b/>
      <w:i/>
      <w:u w:val="none"/>
    </w:rPr>
  </w:style>
  <w:style w:type="character" w:customStyle="1" w:styleId="Heading2Char">
    <w:name w:val="Heading 2 Char"/>
    <w:basedOn w:val="DefaultParagraphFont"/>
    <w:link w:val="Heading2"/>
    <w:rsid w:val="004C50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50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50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50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50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50E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50E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50ED"/>
    <w:rPr>
      <w:rFonts w:ascii="Courier New" w:eastAsia="Times New Roman" w:hAnsi="Courier New" w:cs="Times New Roman"/>
      <w:i/>
      <w:szCs w:val="20"/>
      <w:lang w:val="en-US" w:eastAsia="en-US"/>
    </w:rPr>
  </w:style>
  <w:style w:type="paragraph" w:customStyle="1" w:styleId="HeadingBase">
    <w:name w:val="Heading Base"/>
    <w:rsid w:val="004C50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50ED"/>
    <w:pPr>
      <w:tabs>
        <w:tab w:val="right" w:leader="dot" w:pos="9072"/>
      </w:tabs>
      <w:ind w:left="567"/>
    </w:pPr>
    <w:rPr>
      <w:szCs w:val="22"/>
    </w:rPr>
  </w:style>
  <w:style w:type="paragraph" w:customStyle="1" w:styleId="TOCBase">
    <w:name w:val="TOC Base"/>
    <w:rsid w:val="004C50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50ED"/>
    <w:pPr>
      <w:tabs>
        <w:tab w:val="right" w:leader="dot" w:pos="9072"/>
      </w:tabs>
      <w:spacing w:before="40" w:after="40"/>
      <w:ind w:left="284"/>
    </w:pPr>
    <w:rPr>
      <w:rFonts w:ascii="Times New Roman" w:hAnsi="Times New Roman"/>
    </w:rPr>
  </w:style>
  <w:style w:type="paragraph" w:styleId="TOC1">
    <w:name w:val="toc 1"/>
    <w:basedOn w:val="TOCBase"/>
    <w:next w:val="Normal"/>
    <w:rsid w:val="004C50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50ED"/>
    <w:pPr>
      <w:spacing w:before="5040"/>
      <w:jc w:val="center"/>
    </w:pPr>
    <w:rPr>
      <w:sz w:val="48"/>
      <w:szCs w:val="72"/>
      <w:lang w:val="en-US"/>
    </w:rPr>
  </w:style>
  <w:style w:type="character" w:customStyle="1" w:styleId="TitleChar">
    <w:name w:val="Title Char"/>
    <w:basedOn w:val="DefaultParagraphFont"/>
    <w:link w:val="Title"/>
    <w:rsid w:val="004C50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50ED"/>
    <w:pPr>
      <w:tabs>
        <w:tab w:val="left" w:pos="3600"/>
        <w:tab w:val="left" w:pos="3958"/>
      </w:tabs>
    </w:pPr>
  </w:style>
  <w:style w:type="paragraph" w:customStyle="1" w:styleId="Note">
    <w:name w:val="Note"/>
    <w:basedOn w:val="BodyText"/>
    <w:rsid w:val="004C50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50ED"/>
    <w:pPr>
      <w:framePr w:wrap="auto" w:hAnchor="text" w:y="6049"/>
    </w:pPr>
    <w:rPr>
      <w:color w:val="000000"/>
      <w:sz w:val="40"/>
    </w:rPr>
  </w:style>
  <w:style w:type="paragraph" w:customStyle="1" w:styleId="TOCTitle">
    <w:name w:val="TOCTitle"/>
    <w:basedOn w:val="Heading1"/>
    <w:rsid w:val="004C50ED"/>
    <w:pPr>
      <w:spacing w:after="240"/>
      <w:jc w:val="center"/>
      <w:outlineLvl w:val="9"/>
    </w:pPr>
    <w:rPr>
      <w:caps/>
    </w:rPr>
  </w:style>
  <w:style w:type="paragraph" w:customStyle="1" w:styleId="Version">
    <w:name w:val="Version"/>
    <w:rsid w:val="004C50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50ED"/>
    <w:pPr>
      <w:keepNext w:val="0"/>
      <w:tabs>
        <w:tab w:val="right" w:pos="4176"/>
      </w:tabs>
      <w:ind w:left="198" w:hanging="198"/>
    </w:pPr>
    <w:rPr>
      <w:rFonts w:ascii="Garamond" w:hAnsi="Garamond"/>
    </w:rPr>
  </w:style>
  <w:style w:type="paragraph" w:styleId="IndexHeading">
    <w:name w:val="index heading"/>
    <w:basedOn w:val="Normal"/>
    <w:next w:val="Index1"/>
    <w:semiHidden/>
    <w:rsid w:val="004C50ED"/>
    <w:pPr>
      <w:spacing w:before="120" w:after="120"/>
    </w:pPr>
    <w:rPr>
      <w:rFonts w:ascii="Arial" w:hAnsi="Arial"/>
      <w:b/>
      <w:color w:val="918585"/>
      <w:sz w:val="24"/>
    </w:rPr>
  </w:style>
  <w:style w:type="paragraph" w:customStyle="1" w:styleId="Chapter">
    <w:name w:val="Chapter"/>
    <w:basedOn w:val="Normal"/>
    <w:rsid w:val="004C50ED"/>
    <w:pPr>
      <w:spacing w:before="240"/>
    </w:pPr>
    <w:rPr>
      <w:rFonts w:ascii="Times New Roman" w:hAnsi="Times New Roman"/>
      <w:smallCaps/>
      <w:spacing w:val="80"/>
      <w:sz w:val="28"/>
    </w:rPr>
  </w:style>
  <w:style w:type="paragraph" w:customStyle="1" w:styleId="InChapter">
    <w:name w:val="InChapter"/>
    <w:basedOn w:val="Heading3"/>
    <w:rsid w:val="004C50ED"/>
    <w:pPr>
      <w:spacing w:after="240"/>
      <w:outlineLvl w:val="9"/>
    </w:pPr>
    <w:rPr>
      <w:noProof/>
    </w:rPr>
  </w:style>
  <w:style w:type="paragraph" w:styleId="Index2">
    <w:name w:val="index 2"/>
    <w:basedOn w:val="Normal"/>
    <w:next w:val="Normal"/>
    <w:semiHidden/>
    <w:rsid w:val="004C50ED"/>
    <w:pPr>
      <w:tabs>
        <w:tab w:val="right" w:pos="4176"/>
      </w:tabs>
      <w:ind w:left="568" w:hanging="284"/>
    </w:pPr>
    <w:rPr>
      <w:rFonts w:ascii="Garamond" w:hAnsi="Garamond"/>
    </w:rPr>
  </w:style>
  <w:style w:type="paragraph" w:customStyle="1" w:styleId="Byline">
    <w:name w:val="Byline"/>
    <w:rsid w:val="004C50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50ED"/>
    <w:pPr>
      <w:tabs>
        <w:tab w:val="clear" w:pos="3600"/>
        <w:tab w:val="clear" w:pos="3958"/>
      </w:tabs>
      <w:jc w:val="right"/>
    </w:pPr>
  </w:style>
  <w:style w:type="character" w:styleId="Emphasis">
    <w:name w:val="Emphasis"/>
    <w:basedOn w:val="DefaultParagraphFont"/>
    <w:qFormat/>
    <w:rsid w:val="004C50ED"/>
    <w:rPr>
      <w:i/>
    </w:rPr>
  </w:style>
  <w:style w:type="paragraph" w:styleId="Caption">
    <w:name w:val="caption"/>
    <w:basedOn w:val="BodyText"/>
    <w:next w:val="Normal"/>
    <w:qFormat/>
    <w:rsid w:val="004C50ED"/>
    <w:pPr>
      <w:framePr w:w="2268" w:hSpace="181" w:vSpace="181" w:wrap="around" w:vAnchor="text" w:hAnchor="page" w:x="1135" w:y="285" w:anchorLock="1"/>
    </w:pPr>
    <w:rPr>
      <w:i/>
    </w:rPr>
  </w:style>
  <w:style w:type="paragraph" w:customStyle="1" w:styleId="MiniTOCTitle">
    <w:name w:val="MiniTOCTitle"/>
    <w:basedOn w:val="Heading4"/>
    <w:rsid w:val="004C50ED"/>
    <w:pPr>
      <w:spacing w:before="240"/>
      <w:outlineLvl w:val="9"/>
    </w:pPr>
    <w:rPr>
      <w:noProof/>
      <w:sz w:val="24"/>
    </w:rPr>
  </w:style>
  <w:style w:type="paragraph" w:customStyle="1" w:styleId="MiniTOCItem">
    <w:name w:val="MiniTOCItem"/>
    <w:basedOn w:val="ListBullet"/>
    <w:rsid w:val="004C50ED"/>
    <w:pPr>
      <w:numPr>
        <w:numId w:val="0"/>
      </w:numPr>
      <w:tabs>
        <w:tab w:val="right" w:leader="dot" w:pos="6521"/>
      </w:tabs>
      <w:spacing w:before="0" w:after="0"/>
    </w:pPr>
  </w:style>
  <w:style w:type="paragraph" w:customStyle="1" w:styleId="TOFTitle">
    <w:name w:val="TOFTitle"/>
    <w:basedOn w:val="TOCTitle"/>
    <w:rsid w:val="004C50ED"/>
  </w:style>
  <w:style w:type="paragraph" w:styleId="TableofFigures">
    <w:name w:val="table of figures"/>
    <w:basedOn w:val="Normal"/>
    <w:next w:val="Normal"/>
    <w:semiHidden/>
    <w:rsid w:val="004C50ED"/>
    <w:pPr>
      <w:tabs>
        <w:tab w:val="right" w:leader="dot" w:pos="9072"/>
      </w:tabs>
      <w:ind w:left="970" w:hanging="403"/>
    </w:pPr>
    <w:rPr>
      <w:rFonts w:ascii="Times New Roman" w:hAnsi="Times New Roman"/>
      <w:b/>
    </w:rPr>
  </w:style>
  <w:style w:type="paragraph" w:styleId="ListNumber">
    <w:name w:val="List Number"/>
    <w:basedOn w:val="List"/>
    <w:rsid w:val="004C50ED"/>
    <w:pPr>
      <w:numPr>
        <w:numId w:val="12"/>
      </w:numPr>
    </w:pPr>
  </w:style>
  <w:style w:type="character" w:customStyle="1" w:styleId="WingdingSymbols">
    <w:name w:val="Wingding Symbols"/>
    <w:rsid w:val="004C50ED"/>
    <w:rPr>
      <w:rFonts w:ascii="Wingdings" w:hAnsi="Wingdings"/>
    </w:rPr>
  </w:style>
  <w:style w:type="paragraph" w:customStyle="1" w:styleId="TableHeading">
    <w:name w:val="Table Heading"/>
    <w:basedOn w:val="HeadingBase"/>
    <w:rsid w:val="004C50ED"/>
    <w:pPr>
      <w:keepLines/>
      <w:pBdr>
        <w:bottom w:val="single" w:sz="6" w:space="1" w:color="918585"/>
      </w:pBdr>
      <w:spacing w:before="240"/>
    </w:pPr>
  </w:style>
  <w:style w:type="character" w:customStyle="1" w:styleId="HotSpot">
    <w:name w:val="HotSpot"/>
    <w:rsid w:val="004C50ED"/>
    <w:rPr>
      <w:color w:val="0033CC"/>
      <w:u w:val="none"/>
    </w:rPr>
  </w:style>
  <w:style w:type="paragraph" w:customStyle="1" w:styleId="BodyTextRight">
    <w:name w:val="Body Text Right"/>
    <w:basedOn w:val="BodyText"/>
    <w:rsid w:val="004C50ED"/>
    <w:pPr>
      <w:spacing w:before="0" w:after="0"/>
      <w:jc w:val="right"/>
    </w:pPr>
  </w:style>
  <w:style w:type="paragraph" w:styleId="Index3">
    <w:name w:val="index 3"/>
    <w:basedOn w:val="ListNumber2"/>
    <w:next w:val="Normal"/>
    <w:semiHidden/>
    <w:rsid w:val="004C50ED"/>
    <w:pPr>
      <w:numPr>
        <w:numId w:val="0"/>
      </w:numPr>
      <w:tabs>
        <w:tab w:val="right" w:leader="dot" w:pos="4176"/>
      </w:tabs>
    </w:pPr>
  </w:style>
  <w:style w:type="paragraph" w:styleId="ListNumber2">
    <w:name w:val="List Number 2"/>
    <w:basedOn w:val="List2"/>
    <w:rsid w:val="004C50ED"/>
    <w:pPr>
      <w:numPr>
        <w:numId w:val="11"/>
      </w:numPr>
      <w:tabs>
        <w:tab w:val="clear" w:pos="1060"/>
      </w:tabs>
    </w:pPr>
  </w:style>
  <w:style w:type="paragraph" w:customStyle="1" w:styleId="MarginNote">
    <w:name w:val="Margin Note"/>
    <w:basedOn w:val="BodyText"/>
    <w:rsid w:val="004C50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50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50E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50ED"/>
    <w:rPr>
      <w:sz w:val="32"/>
    </w:rPr>
  </w:style>
  <w:style w:type="paragraph" w:customStyle="1" w:styleId="HeadingProcedure">
    <w:name w:val="Heading Procedure"/>
    <w:basedOn w:val="HeadingBase"/>
    <w:next w:val="Normal"/>
    <w:rsid w:val="004C50ED"/>
    <w:pPr>
      <w:tabs>
        <w:tab w:val="left" w:pos="0"/>
      </w:tabs>
      <w:spacing w:before="120" w:after="60"/>
    </w:pPr>
    <w:rPr>
      <w:i/>
      <w:color w:val="918585"/>
      <w:sz w:val="22"/>
    </w:rPr>
  </w:style>
  <w:style w:type="paragraph" w:customStyle="1" w:styleId="TableBodyText">
    <w:name w:val="Table Body Text"/>
    <w:basedOn w:val="BodyText"/>
    <w:rsid w:val="004C50ED"/>
    <w:pPr>
      <w:spacing w:before="60" w:after="60"/>
    </w:pPr>
  </w:style>
  <w:style w:type="paragraph" w:styleId="ListContinue">
    <w:name w:val="List Continue"/>
    <w:basedOn w:val="List"/>
    <w:rsid w:val="004C50ED"/>
    <w:pPr>
      <w:ind w:firstLine="0"/>
    </w:pPr>
  </w:style>
  <w:style w:type="paragraph" w:customStyle="1" w:styleId="ListNote">
    <w:name w:val="List Note"/>
    <w:basedOn w:val="List"/>
    <w:rsid w:val="004C50ED"/>
    <w:pPr>
      <w:pBdr>
        <w:top w:val="single" w:sz="6" w:space="2" w:color="918585"/>
        <w:bottom w:val="single" w:sz="6" w:space="2" w:color="918585"/>
      </w:pBdr>
      <w:tabs>
        <w:tab w:val="left" w:pos="1021"/>
      </w:tabs>
      <w:ind w:firstLine="0"/>
    </w:pPr>
  </w:style>
  <w:style w:type="paragraph" w:customStyle="1" w:styleId="Warning">
    <w:name w:val="Warning"/>
    <w:basedOn w:val="BodyText"/>
    <w:rsid w:val="004C50ED"/>
    <w:pPr>
      <w:shd w:val="clear" w:color="auto" w:fill="D9D9D9"/>
      <w:tabs>
        <w:tab w:val="left" w:pos="992"/>
      </w:tabs>
      <w:ind w:left="119" w:right="119"/>
    </w:pPr>
    <w:rPr>
      <w:sz w:val="20"/>
    </w:rPr>
  </w:style>
  <w:style w:type="paragraph" w:customStyle="1" w:styleId="MarginIcons">
    <w:name w:val="Margin Icons"/>
    <w:basedOn w:val="BodyText"/>
    <w:rsid w:val="004C50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50ED"/>
    <w:rPr>
      <w:rFonts w:ascii="Courier New" w:hAnsi="Courier New"/>
    </w:rPr>
  </w:style>
  <w:style w:type="paragraph" w:customStyle="1" w:styleId="NoteBullet">
    <w:name w:val="Note Bullet"/>
    <w:basedOn w:val="Note"/>
    <w:rsid w:val="004C50ED"/>
    <w:pPr>
      <w:tabs>
        <w:tab w:val="clear" w:pos="680"/>
      </w:tabs>
      <w:spacing w:before="60" w:after="60"/>
    </w:pPr>
  </w:style>
  <w:style w:type="paragraph" w:customStyle="1" w:styleId="SubHeading2">
    <w:name w:val="SubHeading2"/>
    <w:basedOn w:val="HeadingBase"/>
    <w:rsid w:val="004C50ED"/>
    <w:pPr>
      <w:spacing w:before="240" w:after="60"/>
    </w:pPr>
    <w:rPr>
      <w:sz w:val="20"/>
    </w:rPr>
  </w:style>
  <w:style w:type="paragraph" w:customStyle="1" w:styleId="SubHeading1">
    <w:name w:val="SubHeading1"/>
    <w:basedOn w:val="HeadingBase"/>
    <w:rsid w:val="004C50ED"/>
    <w:pPr>
      <w:spacing w:before="240" w:after="60"/>
    </w:pPr>
    <w:rPr>
      <w:color w:val="918585"/>
      <w:sz w:val="22"/>
    </w:rPr>
  </w:style>
  <w:style w:type="paragraph" w:customStyle="1" w:styleId="SideHeading">
    <w:name w:val="Side Heading"/>
    <w:basedOn w:val="HeadingBase"/>
    <w:rsid w:val="004C50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50ED"/>
    <w:pPr>
      <w:numPr>
        <w:numId w:val="13"/>
      </w:numPr>
    </w:pPr>
  </w:style>
  <w:style w:type="paragraph" w:styleId="PlainText">
    <w:name w:val="Plain Text"/>
    <w:basedOn w:val="Normal"/>
    <w:link w:val="PlainTextChar"/>
    <w:rsid w:val="004C50ED"/>
    <w:rPr>
      <w:sz w:val="20"/>
    </w:rPr>
  </w:style>
  <w:style w:type="character" w:customStyle="1" w:styleId="PlainTextChar">
    <w:name w:val="Plain Text Char"/>
    <w:basedOn w:val="DefaultParagraphFont"/>
    <w:link w:val="PlainText"/>
    <w:rsid w:val="004C50E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C50ED"/>
    <w:rPr>
      <w:b/>
      <w:smallCaps/>
    </w:rPr>
  </w:style>
  <w:style w:type="paragraph" w:customStyle="1" w:styleId="TableListNumber">
    <w:name w:val="Table List Number"/>
    <w:basedOn w:val="ListNumber"/>
    <w:rsid w:val="004C50ED"/>
    <w:pPr>
      <w:numPr>
        <w:numId w:val="0"/>
      </w:numPr>
    </w:pPr>
  </w:style>
  <w:style w:type="paragraph" w:styleId="TOC4">
    <w:name w:val="toc 4"/>
    <w:basedOn w:val="TOCBase"/>
    <w:next w:val="Normal"/>
    <w:semiHidden/>
    <w:rsid w:val="004C50ED"/>
    <w:pPr>
      <w:tabs>
        <w:tab w:val="right" w:leader="dot" w:pos="9071"/>
      </w:tabs>
      <w:ind w:left="1701"/>
    </w:pPr>
  </w:style>
  <w:style w:type="paragraph" w:customStyle="1" w:styleId="ListAlpha">
    <w:name w:val="List Alpha"/>
    <w:basedOn w:val="List"/>
    <w:rsid w:val="004C50ED"/>
    <w:pPr>
      <w:numPr>
        <w:numId w:val="10"/>
      </w:numPr>
    </w:pPr>
  </w:style>
  <w:style w:type="paragraph" w:customStyle="1" w:styleId="ListAlpha2">
    <w:name w:val="List Alpha 2"/>
    <w:basedOn w:val="List2"/>
    <w:rsid w:val="004C50ED"/>
    <w:pPr>
      <w:numPr>
        <w:numId w:val="9"/>
      </w:numPr>
    </w:pPr>
  </w:style>
  <w:style w:type="paragraph" w:styleId="List3">
    <w:name w:val="List 3"/>
    <w:basedOn w:val="BodyText"/>
    <w:rsid w:val="004C50ED"/>
    <w:pPr>
      <w:tabs>
        <w:tab w:val="left" w:pos="1021"/>
      </w:tabs>
      <w:spacing w:before="60" w:after="60"/>
      <w:ind w:left="1020" w:hanging="340"/>
    </w:pPr>
  </w:style>
  <w:style w:type="paragraph" w:styleId="List4">
    <w:name w:val="List 4"/>
    <w:basedOn w:val="BodyText"/>
    <w:rsid w:val="004C50ED"/>
    <w:pPr>
      <w:tabs>
        <w:tab w:val="left" w:pos="1361"/>
      </w:tabs>
      <w:spacing w:before="60" w:after="60"/>
      <w:ind w:left="1361" w:hanging="340"/>
    </w:pPr>
  </w:style>
  <w:style w:type="paragraph" w:styleId="List5">
    <w:name w:val="List 5"/>
    <w:basedOn w:val="BodyText"/>
    <w:rsid w:val="004C50ED"/>
    <w:pPr>
      <w:tabs>
        <w:tab w:val="left" w:pos="1701"/>
      </w:tabs>
      <w:spacing w:before="60" w:after="60"/>
      <w:ind w:left="1701" w:hanging="340"/>
    </w:pPr>
  </w:style>
  <w:style w:type="paragraph" w:styleId="ListBullet4">
    <w:name w:val="List Bullet 4"/>
    <w:basedOn w:val="List4"/>
    <w:rsid w:val="004C50ED"/>
    <w:pPr>
      <w:numPr>
        <w:numId w:val="4"/>
      </w:numPr>
    </w:pPr>
  </w:style>
  <w:style w:type="paragraph" w:styleId="ListBullet5">
    <w:name w:val="List Bullet 5"/>
    <w:basedOn w:val="List5"/>
    <w:rsid w:val="004C50ED"/>
    <w:pPr>
      <w:numPr>
        <w:numId w:val="5"/>
      </w:numPr>
    </w:pPr>
  </w:style>
  <w:style w:type="paragraph" w:styleId="ListContinue2">
    <w:name w:val="List Continue 2"/>
    <w:basedOn w:val="List2"/>
    <w:rsid w:val="004C50ED"/>
    <w:pPr>
      <w:ind w:firstLine="0"/>
    </w:pPr>
  </w:style>
  <w:style w:type="paragraph" w:styleId="ListContinue3">
    <w:name w:val="List Continue 3"/>
    <w:basedOn w:val="List3"/>
    <w:rsid w:val="004C50ED"/>
    <w:pPr>
      <w:ind w:left="1021" w:firstLine="0"/>
    </w:pPr>
  </w:style>
  <w:style w:type="paragraph" w:styleId="ListContinue4">
    <w:name w:val="List Continue 4"/>
    <w:basedOn w:val="List4"/>
    <w:rsid w:val="004C50ED"/>
    <w:pPr>
      <w:ind w:firstLine="0"/>
    </w:pPr>
  </w:style>
  <w:style w:type="paragraph" w:styleId="ListContinue5">
    <w:name w:val="List Continue 5"/>
    <w:basedOn w:val="List5"/>
    <w:rsid w:val="004C50ED"/>
    <w:pPr>
      <w:ind w:firstLine="0"/>
    </w:pPr>
  </w:style>
  <w:style w:type="paragraph" w:styleId="ListNumber3">
    <w:name w:val="List Number 3"/>
    <w:basedOn w:val="List3"/>
    <w:rsid w:val="004C50ED"/>
    <w:pPr>
      <w:numPr>
        <w:numId w:val="6"/>
      </w:numPr>
    </w:pPr>
  </w:style>
  <w:style w:type="paragraph" w:styleId="ListNumber4">
    <w:name w:val="List Number 4"/>
    <w:basedOn w:val="List4"/>
    <w:rsid w:val="004C50ED"/>
    <w:pPr>
      <w:numPr>
        <w:numId w:val="7"/>
      </w:numPr>
    </w:pPr>
  </w:style>
  <w:style w:type="paragraph" w:styleId="ListNumber5">
    <w:name w:val="List Number 5"/>
    <w:basedOn w:val="List5"/>
    <w:rsid w:val="004C50ED"/>
    <w:pPr>
      <w:numPr>
        <w:numId w:val="8"/>
      </w:numPr>
    </w:pPr>
  </w:style>
  <w:style w:type="paragraph" w:styleId="BlockText">
    <w:name w:val="Block Text"/>
    <w:basedOn w:val="Normal"/>
    <w:rsid w:val="004C50ED"/>
    <w:pPr>
      <w:spacing w:after="120"/>
      <w:ind w:left="1440" w:right="1440"/>
    </w:pPr>
  </w:style>
  <w:style w:type="character" w:customStyle="1" w:styleId="Subscript">
    <w:name w:val="Subscript"/>
    <w:basedOn w:val="DefaultParagraphFont"/>
    <w:rsid w:val="004C50ED"/>
    <w:rPr>
      <w:sz w:val="16"/>
      <w:vertAlign w:val="subscript"/>
    </w:rPr>
  </w:style>
  <w:style w:type="character" w:customStyle="1" w:styleId="Superscript">
    <w:name w:val="Superscript"/>
    <w:basedOn w:val="DefaultParagraphFont"/>
    <w:rsid w:val="004C50ED"/>
    <w:rPr>
      <w:sz w:val="16"/>
      <w:vertAlign w:val="superscript"/>
    </w:rPr>
  </w:style>
  <w:style w:type="character" w:customStyle="1" w:styleId="Symbols">
    <w:name w:val="Symbols"/>
    <w:basedOn w:val="DefaultParagraphFont"/>
    <w:rsid w:val="004C50ED"/>
    <w:rPr>
      <w:rFonts w:ascii="Symbol" w:hAnsi="Symbol"/>
    </w:rPr>
  </w:style>
  <w:style w:type="character" w:customStyle="1" w:styleId="MenuOptions">
    <w:name w:val="Menu Options"/>
    <w:basedOn w:val="DefaultParagraphFont"/>
    <w:rsid w:val="004C50ED"/>
    <w:rPr>
      <w:rFonts w:ascii="Arial Narrow" w:hAnsi="Arial Narrow"/>
      <w:smallCaps/>
    </w:rPr>
  </w:style>
  <w:style w:type="character" w:customStyle="1" w:styleId="Buttons">
    <w:name w:val="Buttons"/>
    <w:basedOn w:val="DefaultParagraphFont"/>
    <w:rsid w:val="004C50ED"/>
    <w:rPr>
      <w:b/>
    </w:rPr>
  </w:style>
  <w:style w:type="character" w:customStyle="1" w:styleId="Underlined">
    <w:name w:val="Underlined"/>
    <w:basedOn w:val="DefaultParagraphFont"/>
    <w:rsid w:val="004C50ED"/>
    <w:rPr>
      <w:u w:val="single"/>
    </w:rPr>
  </w:style>
  <w:style w:type="paragraph" w:customStyle="1" w:styleId="TableBodyTextRight">
    <w:name w:val="Table Body Text Right"/>
    <w:basedOn w:val="TableBodyText"/>
    <w:rsid w:val="004C50ED"/>
    <w:pPr>
      <w:widowControl w:val="0"/>
      <w:autoSpaceDE w:val="0"/>
      <w:autoSpaceDN w:val="0"/>
      <w:adjustRightInd w:val="0"/>
      <w:jc w:val="right"/>
    </w:pPr>
    <w:rPr>
      <w:rFonts w:cs="Arial"/>
      <w:szCs w:val="18"/>
    </w:rPr>
  </w:style>
  <w:style w:type="paragraph" w:customStyle="1" w:styleId="CopyrightText">
    <w:name w:val="Copyright Text"/>
    <w:basedOn w:val="BodyText"/>
    <w:rsid w:val="004C50ED"/>
    <w:rPr>
      <w:sz w:val="18"/>
    </w:rPr>
  </w:style>
  <w:style w:type="paragraph" w:customStyle="1" w:styleId="BodySmallRight">
    <w:name w:val="Body Small Right"/>
    <w:basedOn w:val="BodyTextRight"/>
    <w:rsid w:val="004C50ED"/>
    <w:rPr>
      <w:sz w:val="18"/>
      <w:szCs w:val="18"/>
    </w:rPr>
  </w:style>
  <w:style w:type="paragraph" w:customStyle="1" w:styleId="MarginEdition">
    <w:name w:val="Margin Edition"/>
    <w:basedOn w:val="MarginNote"/>
    <w:rsid w:val="004C50ED"/>
    <w:pPr>
      <w:spacing w:before="0" w:after="0"/>
    </w:pPr>
    <w:rPr>
      <w:rFonts w:ascii="Times New Roman" w:hAnsi="Times New Roman"/>
      <w:color w:val="999999"/>
    </w:rPr>
  </w:style>
  <w:style w:type="paragraph" w:customStyle="1" w:styleId="Spacer">
    <w:name w:val="Spacer"/>
    <w:basedOn w:val="Normal"/>
    <w:rsid w:val="004C50ED"/>
    <w:rPr>
      <w:sz w:val="2"/>
      <w:szCs w:val="2"/>
    </w:rPr>
  </w:style>
  <w:style w:type="character" w:customStyle="1" w:styleId="Small">
    <w:name w:val="Small"/>
    <w:basedOn w:val="DefaultParagraphFont"/>
    <w:rsid w:val="004C50ED"/>
    <w:rPr>
      <w:sz w:val="16"/>
    </w:rPr>
  </w:style>
  <w:style w:type="paragraph" w:customStyle="1" w:styleId="WideTable">
    <w:name w:val="Wide Table"/>
    <w:basedOn w:val="Normal"/>
    <w:rsid w:val="004C50ED"/>
    <w:pPr>
      <w:ind w:left="-1418"/>
    </w:pPr>
    <w:rPr>
      <w:sz w:val="2"/>
      <w:szCs w:val="2"/>
    </w:rPr>
  </w:style>
  <w:style w:type="character" w:styleId="PageNumber">
    <w:name w:val="page number"/>
    <w:basedOn w:val="DefaultParagraphFont"/>
    <w:rsid w:val="004C50ED"/>
  </w:style>
  <w:style w:type="paragraph" w:styleId="Quote">
    <w:name w:val="Quote"/>
    <w:basedOn w:val="Heading1"/>
    <w:link w:val="QuoteChar"/>
    <w:qFormat/>
    <w:rsid w:val="004C50ED"/>
    <w:rPr>
      <w:b w:val="0"/>
      <w:sz w:val="72"/>
      <w:szCs w:val="72"/>
      <w:lang w:val="en-NZ"/>
    </w:rPr>
  </w:style>
  <w:style w:type="character" w:customStyle="1" w:styleId="QuoteChar">
    <w:name w:val="Quote Char"/>
    <w:basedOn w:val="DefaultParagraphFont"/>
    <w:link w:val="Quote"/>
    <w:rsid w:val="004C50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50ED"/>
    <w:pPr>
      <w:pageBreakBefore/>
    </w:pPr>
  </w:style>
  <w:style w:type="paragraph" w:customStyle="1" w:styleId="Border">
    <w:name w:val="Border"/>
    <w:basedOn w:val="Normal"/>
    <w:qFormat/>
    <w:rsid w:val="004C50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50ED"/>
    <w:rPr>
      <w:b/>
      <w:bCs/>
      <w:i/>
      <w:iCs/>
      <w:color w:val="auto"/>
    </w:rPr>
  </w:style>
  <w:style w:type="paragraph" w:styleId="IntenseQuote">
    <w:name w:val="Intense Quote"/>
    <w:basedOn w:val="Normal"/>
    <w:next w:val="Normal"/>
    <w:link w:val="IntenseQuoteChar"/>
    <w:uiPriority w:val="30"/>
    <w:qFormat/>
    <w:rsid w:val="004C50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50E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C50ED"/>
    <w:rPr>
      <w:smallCaps/>
      <w:color w:val="auto"/>
      <w:u w:val="single"/>
    </w:rPr>
  </w:style>
  <w:style w:type="character" w:styleId="IntenseReference">
    <w:name w:val="Intense Reference"/>
    <w:basedOn w:val="DefaultParagraphFont"/>
    <w:uiPriority w:val="32"/>
    <w:qFormat/>
    <w:rsid w:val="004C50ED"/>
    <w:rPr>
      <w:b/>
      <w:bCs/>
      <w:smallCaps/>
      <w:color w:val="auto"/>
      <w:spacing w:val="5"/>
      <w:u w:val="single"/>
    </w:rPr>
  </w:style>
  <w:style w:type="paragraph" w:customStyle="1" w:styleId="2ColumnHeading">
    <w:name w:val="2Column Heading"/>
    <w:basedOn w:val="BodyText"/>
    <w:qFormat/>
    <w:rsid w:val="004C50ED"/>
    <w:pPr>
      <w:spacing w:after="60"/>
      <w:ind w:left="-2268"/>
    </w:pPr>
    <w:rPr>
      <w:b/>
    </w:rPr>
  </w:style>
  <w:style w:type="paragraph" w:customStyle="1" w:styleId="Heading1TOC">
    <w:name w:val="Heading1 TOC"/>
    <w:basedOn w:val="Normal"/>
    <w:qFormat/>
    <w:rsid w:val="004C50ED"/>
    <w:pPr>
      <w:spacing w:before="240" w:after="120"/>
    </w:pPr>
    <w:rPr>
      <w:rFonts w:ascii="Times New Roman" w:hAnsi="Times New Roman"/>
      <w:b/>
      <w:sz w:val="32"/>
    </w:rPr>
  </w:style>
  <w:style w:type="paragraph" w:customStyle="1" w:styleId="Heading2TOC">
    <w:name w:val="Heading2 TOC"/>
    <w:basedOn w:val="Normal"/>
    <w:qFormat/>
    <w:rsid w:val="004C50ED"/>
    <w:pPr>
      <w:spacing w:before="240" w:after="60"/>
    </w:pPr>
    <w:rPr>
      <w:rFonts w:ascii="Times New Roman" w:hAnsi="Times New Roman"/>
      <w:b/>
      <w:sz w:val="28"/>
    </w:rPr>
  </w:style>
  <w:style w:type="character" w:customStyle="1" w:styleId="Underline">
    <w:name w:val="Underline"/>
    <w:basedOn w:val="DefaultParagraphFont"/>
    <w:qFormat/>
    <w:rsid w:val="004C50ED"/>
    <w:rPr>
      <w:u w:val="single"/>
    </w:rPr>
  </w:style>
  <w:style w:type="paragraph" w:styleId="BalloonText">
    <w:name w:val="Balloon Text"/>
    <w:basedOn w:val="Normal"/>
    <w:link w:val="BalloonTextChar"/>
    <w:rsid w:val="004C50ED"/>
    <w:rPr>
      <w:rFonts w:ascii="Tahoma" w:hAnsi="Tahoma" w:cs="Tahoma"/>
      <w:sz w:val="16"/>
      <w:szCs w:val="16"/>
    </w:rPr>
  </w:style>
  <w:style w:type="character" w:customStyle="1" w:styleId="BalloonTextChar">
    <w:name w:val="Balloon Text Char"/>
    <w:basedOn w:val="DefaultParagraphFont"/>
    <w:link w:val="BalloonText"/>
    <w:rsid w:val="004C50E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50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50E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1399</Words>
  <Characters>8841</Characters>
  <Application>Microsoft Office Word</Application>
  <DocSecurity>0</DocSecurity>
  <Lines>310</Lines>
  <Paragraphs>154</Paragraphs>
  <ScaleCrop>false</ScaleCrop>
  <Company>Author-it Software Corporation Ltd.</Company>
  <LinksUpToDate>false</LinksUpToDate>
  <CharactersWithSpaces>10176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CPCCBC4041A Undertake preparations for refractory work</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2012-05-26T05:18:00Z</dcterms:created>
  <dcterms:modified xsi:type="dcterms:W3CDTF">2012-05-26T05:18:00Z</dcterms:modified>
</cp:coreProperties>
</file>