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59E3" w:rsidP="007D59E3">
      <w:pPr>
        <w:pStyle w:val="Title"/>
      </w:pPr>
      <w:r>
        <w:fldChar w:fldCharType="begin"/>
      </w:r>
      <w:r>
        <w:instrText xml:space="preserve"> TITLE   \* MERGEFORMAT </w:instrText>
      </w:r>
      <w:r>
        <w:fldChar w:fldCharType="separate"/>
      </w:r>
      <w:r>
        <w:t>CPCCBC4039A Undertake the heritage restoration process</w:t>
      </w:r>
      <w:r>
        <w:fldChar w:fldCharType="end"/>
      </w:r>
    </w:p>
    <w:p w:rsidR="007D59E3" w:rsidP="007D59E3">
      <w:pPr>
        <w:pStyle w:val="Version"/>
        <w:sectPr w:rsidSect="00583D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3D61" w:rsidP="00583D61">
      <w:pPr>
        <w:pStyle w:val="SuperHeading"/>
      </w:pPr>
      <w:r w:rsidRPr="00583D61">
        <w:t>CPCCBC4039A Undertake the heritage restoration process</w:t>
      </w:r>
    </w:p>
    <w:p w:rsidR="00000000" w:rsidRPr="00583D61" w:rsidP="00583D61">
      <w:pPr>
        <w:pStyle w:val="Heading1"/>
      </w:pPr>
      <w:bookmarkStart w:id="1" w:name="O_269436"/>
      <w:bookmarkEnd w:id="1"/>
      <w:r w:rsidRPr="00583D61">
        <w:t>Modification History</w:t>
      </w:r>
    </w:p>
    <w:p w:rsidR="00000000" w:rsidRPr="00583D61" w:rsidP="00583D61">
      <w:pPr>
        <w:pStyle w:val="BodyText"/>
      </w:pPr>
      <w:r w:rsidRPr="00583D61">
        <w:t>Not Applicable</w:t>
      </w:r>
    </w:p>
    <w:p w:rsidR="00000000" w:rsidRPr="00583D61" w:rsidP="00583D61">
      <w:pPr>
        <w:pStyle w:val="AllowPageBreak"/>
      </w:pPr>
    </w:p>
    <w:p w:rsidR="00000000" w:rsidRPr="00583D61" w:rsidP="00583D61">
      <w:pPr>
        <w:pStyle w:val="Heading1"/>
      </w:pPr>
      <w:bookmarkStart w:id="2" w:name="O_196912"/>
      <w:bookmarkEnd w:id="2"/>
      <w:r w:rsidRPr="00583D61">
        <w:t>Unit Descriptor</w:t>
      </w:r>
    </w:p>
    <w:tbl>
      <w:tblPr>
        <w:tblW w:w="0" w:type="auto"/>
        <w:tblLayout w:type="fixed"/>
        <w:tblCellMar>
          <w:left w:w="62" w:type="dxa"/>
          <w:right w:w="62" w:type="dxa"/>
        </w:tblCellMar>
        <w:tblLook w:val="0000"/>
      </w:tblPr>
      <w:tblGrid>
        <w:gridCol w:w="2643"/>
        <w:gridCol w:w="5879"/>
      </w:tblGrid>
      <w:tr w:rsidTr="007D59E3">
        <w:tblPrEx>
          <w:tblW w:w="0" w:type="auto"/>
          <w:tblLayout w:type="fixed"/>
          <w:tblCellMar>
            <w:left w:w="62" w:type="dxa"/>
            <w:right w:w="62" w:type="dxa"/>
          </w:tblCellMar>
          <w:tblLook w:val="0000"/>
        </w:tblPrEx>
        <w:trPr>
          <w:tblHeader/>
        </w:trPr>
        <w:tc>
          <w:tcPr>
            <w:tcW w:w="2643" w:type="dxa"/>
            <w:tcBorders>
              <w:top w:val="nil"/>
              <w:left w:val="nil"/>
              <w:bottom w:val="nil"/>
              <w:right w:val="nil"/>
            </w:tcBorders>
            <w:tcMar>
              <w:top w:w="0" w:type="dxa"/>
              <w:left w:w="62" w:type="dxa"/>
              <w:bottom w:w="0" w:type="dxa"/>
              <w:right w:w="62" w:type="dxa"/>
            </w:tcMar>
          </w:tcPr>
          <w:p w:rsidR="00000000" w:rsidP="00583D61">
            <w:pPr>
              <w:pStyle w:val="BodyText"/>
              <w:rPr>
                <w:lang w:val="en-NZ"/>
              </w:rPr>
            </w:pPr>
            <w:r w:rsidRPr="00583D61">
              <w:rPr>
                <w:rStyle w:val="SpecialBold"/>
              </w:rPr>
              <w:t>Unit descriptor</w:t>
            </w:r>
          </w:p>
        </w:tc>
        <w:tc>
          <w:tcPr>
            <w:tcW w:w="5879" w:type="dxa"/>
            <w:tcBorders>
              <w:top w:val="nil"/>
              <w:left w:val="nil"/>
              <w:bottom w:val="nil"/>
              <w:right w:val="nil"/>
            </w:tcBorders>
            <w:tcMar>
              <w:top w:w="0" w:type="dxa"/>
              <w:left w:w="62" w:type="dxa"/>
              <w:bottom w:w="0" w:type="dxa"/>
              <w:right w:w="62" w:type="dxa"/>
            </w:tcMar>
          </w:tcPr>
          <w:p w:rsidR="00000000" w:rsidRPr="00583D61" w:rsidP="00583D61">
            <w:pPr>
              <w:pStyle w:val="BodyText"/>
            </w:pPr>
            <w:r w:rsidRPr="00583D61">
              <w:t>This unit of competency specifies the outcomes required by skilled and experienced tradespersons to</w:t>
            </w:r>
            <w:r w:rsidRPr="00583D61">
              <w:t xml:space="preserve"> undertake heritage restoration work.</w:t>
            </w:r>
          </w:p>
        </w:tc>
      </w:tr>
    </w:tbl>
    <w:p w:rsidR="007D59E3" w:rsidP="00583D61">
      <w:pPr>
        <w:pStyle w:val="BodyText"/>
      </w:pPr>
    </w:p>
    <w:p w:rsidR="007D59E3" w:rsidP="00583D61">
      <w:pPr>
        <w:pStyle w:val="BodyText"/>
      </w:pPr>
    </w:p>
    <w:p w:rsidR="00000000" w:rsidRPr="00583D61" w:rsidP="00583D61">
      <w:pPr>
        <w:pStyle w:val="Heading1"/>
      </w:pPr>
      <w:bookmarkStart w:id="3" w:name="O_196916"/>
      <w:bookmarkEnd w:id="3"/>
      <w:r w:rsidRPr="00583D61">
        <w:t>Application of the Unit</w:t>
      </w:r>
    </w:p>
    <w:tbl>
      <w:tblPr>
        <w:tblW w:w="0" w:type="auto"/>
        <w:tblLayout w:type="fixed"/>
        <w:tblCellMar>
          <w:left w:w="62" w:type="dxa"/>
          <w:right w:w="62" w:type="dxa"/>
        </w:tblCellMar>
        <w:tblLook w:val="0000"/>
      </w:tblPr>
      <w:tblGrid>
        <w:gridCol w:w="2729"/>
        <w:gridCol w:w="5793"/>
      </w:tblGrid>
      <w:tr w:rsidTr="007D59E3">
        <w:tblPrEx>
          <w:tblW w:w="0" w:type="auto"/>
          <w:tblLayout w:type="fixed"/>
          <w:tblCellMar>
            <w:left w:w="62" w:type="dxa"/>
            <w:right w:w="62" w:type="dxa"/>
          </w:tblCellMar>
          <w:tblLook w:val="0000"/>
        </w:tblPrEx>
        <w:tc>
          <w:tcPr>
            <w:tcW w:w="2729" w:type="dxa"/>
            <w:tcBorders>
              <w:top w:val="nil"/>
              <w:left w:val="nil"/>
              <w:bottom w:val="nil"/>
              <w:right w:val="nil"/>
            </w:tcBorders>
            <w:tcMar>
              <w:top w:w="0" w:type="dxa"/>
              <w:left w:w="62" w:type="dxa"/>
              <w:bottom w:w="0" w:type="dxa"/>
              <w:right w:w="62" w:type="dxa"/>
            </w:tcMar>
          </w:tcPr>
          <w:p w:rsidR="00000000" w:rsidP="00583D61">
            <w:pPr>
              <w:pStyle w:val="BodyText"/>
              <w:rPr>
                <w:lang w:val="en-NZ"/>
              </w:rPr>
            </w:pPr>
            <w:r w:rsidRPr="00583D61">
              <w:rPr>
                <w:rStyle w:val="SpecialBold"/>
              </w:rPr>
              <w:t>Application of the unit</w:t>
            </w:r>
          </w:p>
        </w:tc>
        <w:tc>
          <w:tcPr>
            <w:tcW w:w="5793" w:type="dxa"/>
            <w:tcBorders>
              <w:top w:val="nil"/>
              <w:left w:val="nil"/>
              <w:bottom w:val="nil"/>
              <w:right w:val="nil"/>
            </w:tcBorders>
            <w:tcMar>
              <w:top w:w="0" w:type="dxa"/>
              <w:left w:w="62" w:type="dxa"/>
              <w:bottom w:w="0" w:type="dxa"/>
              <w:right w:w="62" w:type="dxa"/>
            </w:tcMar>
          </w:tcPr>
          <w:p w:rsidR="00000000" w:rsidRPr="00583D61" w:rsidP="00583D61">
            <w:pPr>
              <w:pStyle w:val="BodyText"/>
            </w:pPr>
            <w:r w:rsidRPr="00583D61">
              <w:t xml:space="preserve">This unit of competency supports the range of tradespersons across disciplines who are involved in heritage restoration and conservation projects. </w:t>
            </w:r>
            <w:r w:rsidRPr="00583D61">
              <w:t xml:space="preserve">It is not the intent of this or related units to replicate the technical processes associated with the performance of the trade skills necessary to complete the work. The unit applies to the particular processes associated with the application of existing </w:t>
            </w:r>
            <w:r w:rsidRPr="00583D61">
              <w:t xml:space="preserve">high-level trade skills in the specialist heritage restoration environment. </w:t>
            </w:r>
          </w:p>
        </w:tc>
      </w:tr>
    </w:tbl>
    <w:p w:rsidR="007D59E3" w:rsidP="00583D61">
      <w:pPr>
        <w:pStyle w:val="BodyText"/>
      </w:pPr>
    </w:p>
    <w:p w:rsidR="007D59E3" w:rsidP="00583D61">
      <w:pPr>
        <w:pStyle w:val="BodyText"/>
      </w:pPr>
    </w:p>
    <w:p w:rsidR="00000000" w:rsidRPr="00583D61" w:rsidP="00583D61">
      <w:pPr>
        <w:pStyle w:val="Heading1"/>
      </w:pPr>
      <w:bookmarkStart w:id="4" w:name="O_277696"/>
      <w:bookmarkEnd w:id="4"/>
      <w:r w:rsidRPr="00583D61">
        <w:t>Licensing/Regulatory Information</w:t>
      </w:r>
    </w:p>
    <w:p w:rsidR="00000000" w:rsidRPr="00583D61" w:rsidP="00583D61">
      <w:pPr>
        <w:pStyle w:val="BodyText"/>
      </w:pPr>
      <w:r w:rsidRPr="00583D61">
        <w:t>Not Applicable</w:t>
      </w:r>
    </w:p>
    <w:p w:rsidR="00000000" w:rsidRPr="00583D61" w:rsidP="00583D61">
      <w:pPr>
        <w:pStyle w:val="AllowPageBreak"/>
      </w:pPr>
    </w:p>
    <w:p w:rsidR="00000000" w:rsidRPr="00583D61" w:rsidP="00583D61">
      <w:pPr>
        <w:pStyle w:val="Heading1"/>
      </w:pPr>
      <w:bookmarkStart w:id="5" w:name="O_196914"/>
      <w:bookmarkEnd w:id="5"/>
      <w:r w:rsidRPr="00583D61">
        <w:t>Pre-Requisites</w:t>
      </w:r>
    </w:p>
    <w:tbl>
      <w:tblPr>
        <w:tblW w:w="0" w:type="auto"/>
        <w:tblLayout w:type="fixed"/>
        <w:tblCellMar>
          <w:left w:w="62" w:type="dxa"/>
          <w:right w:w="62" w:type="dxa"/>
        </w:tblCellMar>
        <w:tblLook w:val="0000"/>
      </w:tblPr>
      <w:tblGrid>
        <w:gridCol w:w="2740"/>
        <w:gridCol w:w="5782"/>
      </w:tblGrid>
      <w:tr w:rsidTr="007D59E3">
        <w:tblPrEx>
          <w:tblW w:w="0" w:type="auto"/>
          <w:tblLayout w:type="fixed"/>
          <w:tblCellMar>
            <w:left w:w="62" w:type="dxa"/>
            <w:right w:w="62" w:type="dxa"/>
          </w:tblCellMar>
          <w:tblLook w:val="0000"/>
        </w:tblPrEx>
        <w:trPr>
          <w:tblHeader/>
        </w:trPr>
        <w:tc>
          <w:tcPr>
            <w:tcW w:w="2740" w:type="dxa"/>
            <w:tcBorders>
              <w:top w:val="nil"/>
              <w:left w:val="nil"/>
              <w:bottom w:val="nil"/>
              <w:right w:val="nil"/>
            </w:tcBorders>
            <w:tcMar>
              <w:top w:w="0" w:type="dxa"/>
              <w:left w:w="62" w:type="dxa"/>
              <w:bottom w:w="0" w:type="dxa"/>
              <w:right w:w="62" w:type="dxa"/>
            </w:tcMar>
          </w:tcPr>
          <w:p w:rsidR="00000000" w:rsidP="00583D61">
            <w:pPr>
              <w:pStyle w:val="BodyText"/>
              <w:rPr>
                <w:lang w:val="en-NZ"/>
              </w:rPr>
            </w:pPr>
            <w:r w:rsidRPr="00583D61">
              <w:rPr>
                <w:rStyle w:val="SpecialBold"/>
              </w:rPr>
              <w:t>Prerequisite units</w:t>
            </w:r>
          </w:p>
        </w:tc>
        <w:tc>
          <w:tcPr>
            <w:tcW w:w="5782" w:type="dxa"/>
            <w:tcBorders>
              <w:top w:val="nil"/>
              <w:left w:val="nil"/>
              <w:bottom w:val="nil"/>
              <w:right w:val="nil"/>
            </w:tcBorders>
            <w:tcMar>
              <w:top w:w="0" w:type="dxa"/>
              <w:left w:w="62" w:type="dxa"/>
              <w:bottom w:w="0" w:type="dxa"/>
              <w:right w:w="62" w:type="dxa"/>
            </w:tcMar>
          </w:tcPr>
          <w:p w:rsidR="00000000" w:rsidRPr="00583D61" w:rsidP="00583D61">
            <w:pPr>
              <w:pStyle w:val="BodyText"/>
            </w:pPr>
            <w:r w:rsidRPr="00583D61">
              <w:t>Nil</w:t>
            </w:r>
          </w:p>
        </w:tc>
      </w:tr>
    </w:tbl>
    <w:p w:rsidR="007D59E3" w:rsidP="00583D61">
      <w:pPr>
        <w:pStyle w:val="BodyText"/>
      </w:pPr>
    </w:p>
    <w:p w:rsidR="007D59E3" w:rsidP="00583D61">
      <w:pPr>
        <w:pStyle w:val="BodyText"/>
      </w:pPr>
    </w:p>
    <w:p w:rsidR="00000000" w:rsidRPr="00583D61" w:rsidP="00583D61">
      <w:pPr>
        <w:pStyle w:val="Heading1"/>
      </w:pPr>
      <w:bookmarkStart w:id="6" w:name="O_196913"/>
      <w:bookmarkEnd w:id="6"/>
      <w:r w:rsidRPr="00583D61">
        <w:t>Employability Skills Information</w:t>
      </w:r>
    </w:p>
    <w:tbl>
      <w:tblPr>
        <w:tblW w:w="0" w:type="auto"/>
        <w:tblLayout w:type="fixed"/>
        <w:tblCellMar>
          <w:left w:w="62" w:type="dxa"/>
          <w:right w:w="62" w:type="dxa"/>
        </w:tblCellMar>
        <w:tblLook w:val="0000"/>
      </w:tblPr>
      <w:tblGrid>
        <w:gridCol w:w="2773"/>
        <w:gridCol w:w="5749"/>
      </w:tblGrid>
      <w:tr w:rsidTr="007D59E3">
        <w:tblPrEx>
          <w:tblW w:w="0" w:type="auto"/>
          <w:tblLayout w:type="fixed"/>
          <w:tblCellMar>
            <w:left w:w="62" w:type="dxa"/>
            <w:right w:w="62" w:type="dxa"/>
          </w:tblCellMar>
          <w:tblLook w:val="0000"/>
        </w:tblPrEx>
        <w:trPr>
          <w:tblHeader/>
        </w:trPr>
        <w:tc>
          <w:tcPr>
            <w:tcW w:w="2773" w:type="dxa"/>
            <w:tcBorders>
              <w:top w:val="nil"/>
              <w:left w:val="nil"/>
              <w:bottom w:val="nil"/>
              <w:right w:val="nil"/>
            </w:tcBorders>
            <w:tcMar>
              <w:top w:w="0" w:type="dxa"/>
              <w:left w:w="62" w:type="dxa"/>
              <w:bottom w:w="0" w:type="dxa"/>
              <w:right w:w="62" w:type="dxa"/>
            </w:tcMar>
          </w:tcPr>
          <w:p w:rsidR="00000000" w:rsidP="00583D61">
            <w:pPr>
              <w:pStyle w:val="BodyText"/>
              <w:rPr>
                <w:lang w:val="en-NZ"/>
              </w:rPr>
            </w:pPr>
            <w:r w:rsidRPr="00583D61">
              <w:rPr>
                <w:rStyle w:val="SpecialBold"/>
              </w:rPr>
              <w:t>Employability skills</w:t>
            </w:r>
          </w:p>
        </w:tc>
        <w:tc>
          <w:tcPr>
            <w:tcW w:w="5749" w:type="dxa"/>
            <w:tcBorders>
              <w:top w:val="nil"/>
              <w:left w:val="nil"/>
              <w:bottom w:val="nil"/>
              <w:right w:val="nil"/>
            </w:tcBorders>
            <w:tcMar>
              <w:top w:w="0" w:type="dxa"/>
              <w:left w:w="62" w:type="dxa"/>
              <w:bottom w:w="0" w:type="dxa"/>
              <w:right w:w="62" w:type="dxa"/>
            </w:tcMar>
          </w:tcPr>
          <w:p w:rsidR="00000000" w:rsidRPr="00583D61" w:rsidP="00583D61">
            <w:pPr>
              <w:pStyle w:val="BodyText"/>
            </w:pPr>
            <w:r w:rsidRPr="00583D61">
              <w:t>This unit contains employability skills.</w:t>
            </w:r>
          </w:p>
        </w:tc>
      </w:tr>
    </w:tbl>
    <w:p w:rsidR="007D59E3" w:rsidP="00583D61">
      <w:pPr>
        <w:pStyle w:val="BodyText"/>
      </w:pPr>
    </w:p>
    <w:p w:rsidR="007D59E3" w:rsidP="00583D61">
      <w:pPr>
        <w:pStyle w:val="BodyText"/>
      </w:pPr>
    </w:p>
    <w:p w:rsidR="00000000" w:rsidRPr="00583D61" w:rsidP="00583D61">
      <w:pPr>
        <w:pStyle w:val="Heading1"/>
      </w:pPr>
      <w:bookmarkStart w:id="7" w:name="O_287482"/>
      <w:bookmarkEnd w:id="7"/>
      <w:r w:rsidRPr="00583D61">
        <w:t>Elements and Performance Criteria Pre-Content</w:t>
      </w:r>
    </w:p>
    <w:tbl>
      <w:tblPr>
        <w:tblW w:w="0" w:type="auto"/>
        <w:tblLayout w:type="fixed"/>
        <w:tblCellMar>
          <w:left w:w="62" w:type="dxa"/>
          <w:right w:w="62" w:type="dxa"/>
        </w:tblCellMar>
        <w:tblLook w:val="0000"/>
      </w:tblPr>
      <w:tblGrid>
        <w:gridCol w:w="2577"/>
        <w:gridCol w:w="5945"/>
      </w:tblGrid>
      <w:tr w:rsidTr="007D59E3">
        <w:tblPrEx>
          <w:tblW w:w="0" w:type="auto"/>
          <w:tblLayout w:type="fixed"/>
          <w:tblCellMar>
            <w:left w:w="62" w:type="dxa"/>
            <w:right w:w="62" w:type="dxa"/>
          </w:tblCellMar>
          <w:tblLook w:val="0000"/>
        </w:tblPrEx>
        <w:tc>
          <w:tcPr>
            <w:tcW w:w="2577" w:type="dxa"/>
            <w:tcBorders>
              <w:top w:val="single" w:sz="6" w:space="0" w:color="auto"/>
              <w:left w:val="nil"/>
              <w:bottom w:val="nil"/>
              <w:right w:val="nil"/>
            </w:tcBorders>
            <w:tcMar>
              <w:top w:w="0" w:type="dxa"/>
              <w:left w:w="62" w:type="dxa"/>
              <w:bottom w:w="0" w:type="dxa"/>
              <w:right w:w="62" w:type="dxa"/>
            </w:tcMar>
          </w:tcPr>
          <w:p w:rsidR="00000000" w:rsidP="00583D61">
            <w:pPr>
              <w:pStyle w:val="BodyText"/>
              <w:rPr>
                <w:lang w:val="en-NZ"/>
              </w:rPr>
            </w:pPr>
            <w:r w:rsidRPr="00583D61">
              <w:t>Elements describe the essential outcomes of a unit of competency.</w:t>
            </w:r>
          </w:p>
        </w:tc>
        <w:tc>
          <w:tcPr>
            <w:tcW w:w="5945" w:type="dxa"/>
            <w:tcBorders>
              <w:top w:val="single" w:sz="6" w:space="0" w:color="auto"/>
              <w:left w:val="nil"/>
              <w:bottom w:val="nil"/>
              <w:right w:val="nil"/>
            </w:tcBorders>
            <w:tcMar>
              <w:top w:w="0" w:type="dxa"/>
              <w:left w:w="62" w:type="dxa"/>
              <w:bottom w:w="0" w:type="dxa"/>
              <w:right w:w="62" w:type="dxa"/>
            </w:tcMar>
          </w:tcPr>
          <w:p w:rsidR="00000000" w:rsidRPr="00583D61" w:rsidP="00583D61">
            <w:pPr>
              <w:pStyle w:val="BodyText"/>
            </w:pPr>
            <w:r w:rsidRPr="00583D61">
              <w:t>Performance criteria describe the performance needed to demons</w:t>
            </w:r>
            <w:r w:rsidRPr="00583D61">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583D61" w:rsidP="00583D61">
      <w:pPr>
        <w:pStyle w:val="BodyText"/>
      </w:pPr>
    </w:p>
    <w:p w:rsidR="00000000" w:rsidRPr="00583D61" w:rsidP="00583D61">
      <w:pPr>
        <w:pStyle w:val="AllowPageBreak"/>
      </w:pPr>
    </w:p>
    <w:p w:rsidR="00000000" w:rsidRPr="00583D61" w:rsidP="00583D61">
      <w:pPr>
        <w:pStyle w:val="Heading1"/>
      </w:pPr>
      <w:bookmarkStart w:id="8" w:name="O_234149"/>
      <w:bookmarkEnd w:id="8"/>
      <w:r w:rsidRPr="00583D61">
        <w:t>Elements and Performance Criteria</w:t>
      </w:r>
    </w:p>
    <w:tbl>
      <w:tblPr>
        <w:tblW w:w="0" w:type="auto"/>
        <w:tblLayout w:type="fixed"/>
        <w:tblCellMar>
          <w:left w:w="62" w:type="dxa"/>
          <w:right w:w="62" w:type="dxa"/>
        </w:tblCellMar>
        <w:tblLook w:val="0000"/>
      </w:tblPr>
      <w:tblGrid>
        <w:gridCol w:w="2577"/>
        <w:gridCol w:w="5945"/>
      </w:tblGrid>
      <w:tr w:rsidTr="007D59E3">
        <w:tblPrEx>
          <w:tblW w:w="0" w:type="auto"/>
          <w:tblLayout w:type="fixed"/>
          <w:tblCellMar>
            <w:left w:w="62" w:type="dxa"/>
            <w:right w:w="62" w:type="dxa"/>
          </w:tblCellMar>
          <w:tblLook w:val="0000"/>
        </w:tblPrEx>
        <w:trPr>
          <w:tblHeader/>
        </w:trPr>
        <w:tc>
          <w:tcPr>
            <w:tcW w:w="2577" w:type="dxa"/>
            <w:tcBorders>
              <w:top w:val="nil"/>
              <w:left w:val="nil"/>
              <w:bottom w:val="single" w:sz="6" w:space="0" w:color="auto"/>
              <w:right w:val="nil"/>
            </w:tcBorders>
            <w:tcMar>
              <w:top w:w="0" w:type="dxa"/>
              <w:left w:w="62" w:type="dxa"/>
              <w:bottom w:w="0" w:type="dxa"/>
              <w:right w:w="62" w:type="dxa"/>
            </w:tcMar>
          </w:tcPr>
          <w:p w:rsidR="00000000" w:rsidRPr="00583D61" w:rsidP="00583D61">
            <w:pPr>
              <w:pStyle w:val="BodyText"/>
            </w:pPr>
            <w:r w:rsidRPr="00583D61">
              <w:rPr>
                <w:rStyle w:val="SpecialBold"/>
              </w:rPr>
              <w:t>ELEMENT</w:t>
            </w:r>
          </w:p>
        </w:tc>
        <w:tc>
          <w:tcPr>
            <w:tcW w:w="5945" w:type="dxa"/>
            <w:tcBorders>
              <w:top w:val="nil"/>
              <w:left w:val="nil"/>
              <w:bottom w:val="single" w:sz="6" w:space="0" w:color="auto"/>
              <w:right w:val="nil"/>
            </w:tcBorders>
            <w:tcMar>
              <w:top w:w="0" w:type="dxa"/>
              <w:left w:w="62" w:type="dxa"/>
              <w:bottom w:w="0" w:type="dxa"/>
              <w:right w:w="62" w:type="dxa"/>
            </w:tcMar>
          </w:tcPr>
          <w:p w:rsidR="00000000" w:rsidP="00583D61">
            <w:pPr>
              <w:pStyle w:val="BodyText"/>
              <w:rPr>
                <w:lang w:val="en-NZ"/>
              </w:rPr>
            </w:pPr>
            <w:r w:rsidRPr="00583D61">
              <w:rPr>
                <w:rStyle w:val="SpecialBold"/>
              </w:rPr>
              <w:t>PERFORMANCE CRITERIA</w:t>
            </w:r>
          </w:p>
        </w:tc>
      </w:tr>
      <w:tr w:rsidTr="007D59E3">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583D61">
            <w:pPr>
              <w:pStyle w:val="List"/>
              <w:rPr>
                <w:lang w:val="en-NZ"/>
              </w:rPr>
            </w:pPr>
            <w:r w:rsidRPr="00583D61">
              <w:t>1.</w:t>
            </w:r>
            <w:r w:rsidRPr="00583D61">
              <w:tab/>
              <w:t>Undertake restoration work.</w:t>
            </w:r>
          </w:p>
        </w:tc>
        <w:tc>
          <w:tcPr>
            <w:tcW w:w="5945" w:type="dxa"/>
            <w:tcBorders>
              <w:top w:val="nil"/>
              <w:left w:val="nil"/>
              <w:bottom w:val="nil"/>
              <w:right w:val="nil"/>
            </w:tcBorders>
            <w:tcMar>
              <w:top w:w="0" w:type="dxa"/>
              <w:left w:w="62" w:type="dxa"/>
              <w:bottom w:w="0" w:type="dxa"/>
              <w:right w:w="62" w:type="dxa"/>
            </w:tcMar>
          </w:tcPr>
          <w:p w:rsidR="00000000" w:rsidRPr="00583D61" w:rsidP="00583D61">
            <w:pPr>
              <w:pStyle w:val="List2"/>
            </w:pPr>
            <w:r w:rsidRPr="00583D61">
              <w:t>1.1.</w:t>
            </w:r>
            <w:r w:rsidRPr="00583D61">
              <w:tab/>
              <w:t xml:space="preserve">Performance of the technical restoration work is undertaken in accordance with the highest standards of the relevant </w:t>
            </w:r>
            <w:r w:rsidRPr="00583D61">
              <w:rPr>
                <w:rStyle w:val="BoldandItalics"/>
              </w:rPr>
              <w:t>trade skills</w:t>
            </w:r>
            <w:r w:rsidRPr="00583D61">
              <w:t xml:space="preserve">. </w:t>
            </w:r>
          </w:p>
          <w:p w:rsidR="00000000" w:rsidRPr="00583D61" w:rsidP="00583D61">
            <w:pPr>
              <w:pStyle w:val="List2"/>
            </w:pPr>
            <w:r w:rsidRPr="00583D61">
              <w:t>1.2.</w:t>
            </w:r>
            <w:r w:rsidRPr="00583D61">
              <w:tab/>
            </w:r>
            <w:r w:rsidRPr="00583D61">
              <w:rPr>
                <w:rStyle w:val="BoldandItalics"/>
              </w:rPr>
              <w:t>Legislative and organisational requirements</w:t>
            </w:r>
            <w:r w:rsidRPr="00583D61">
              <w:t xml:space="preserve"> are complied with throughout the heritage restoration work. </w:t>
            </w:r>
          </w:p>
          <w:p w:rsidR="00000000" w:rsidP="00583D61">
            <w:pPr>
              <w:pStyle w:val="List2"/>
              <w:rPr>
                <w:lang w:val="en-NZ"/>
              </w:rPr>
            </w:pPr>
            <w:r w:rsidRPr="00583D61">
              <w:t>1.3.</w:t>
            </w:r>
            <w:r w:rsidRPr="00583D61">
              <w:tab/>
              <w:t>Ongoing consultations with the architect and relevant stakeholders are maintained to ensure contractual requirements are fulfilled.</w:t>
            </w:r>
          </w:p>
        </w:tc>
      </w:tr>
      <w:tr w:rsidTr="007D59E3">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583D61">
            <w:pPr>
              <w:pStyle w:val="List"/>
              <w:rPr>
                <w:lang w:val="en-NZ"/>
              </w:rPr>
            </w:pPr>
            <w:r w:rsidRPr="00583D61">
              <w:t>2.</w:t>
            </w:r>
            <w:r w:rsidRPr="00583D61">
              <w:tab/>
              <w:t>Monitor pr</w:t>
            </w:r>
            <w:r w:rsidRPr="00583D61">
              <w:t>ogress of restoration work.</w:t>
            </w:r>
          </w:p>
        </w:tc>
        <w:tc>
          <w:tcPr>
            <w:tcW w:w="5945" w:type="dxa"/>
            <w:tcBorders>
              <w:top w:val="nil"/>
              <w:left w:val="nil"/>
              <w:bottom w:val="nil"/>
              <w:right w:val="nil"/>
            </w:tcBorders>
            <w:tcMar>
              <w:top w:w="0" w:type="dxa"/>
              <w:left w:w="62" w:type="dxa"/>
              <w:bottom w:w="0" w:type="dxa"/>
              <w:right w:w="62" w:type="dxa"/>
            </w:tcMar>
          </w:tcPr>
          <w:p w:rsidR="00000000" w:rsidRPr="00583D61" w:rsidP="00583D61">
            <w:pPr>
              <w:pStyle w:val="List2"/>
            </w:pPr>
            <w:r w:rsidRPr="00583D61">
              <w:t>2.1.</w:t>
            </w:r>
            <w:r w:rsidRPr="00583D61">
              <w:tab/>
              <w:t>Conformance to the restoration work plan is monitored during completion of the restoration work.</w:t>
            </w:r>
          </w:p>
          <w:p w:rsidR="00000000" w:rsidRPr="00583D61" w:rsidP="00583D61">
            <w:pPr>
              <w:pStyle w:val="List2"/>
            </w:pPr>
            <w:r w:rsidRPr="00583D61">
              <w:t>2.2.</w:t>
            </w:r>
            <w:r w:rsidRPr="00583D61">
              <w:tab/>
              <w:t>Adjustments to processes and the work plan to address problems that emerge during the heritage restoration are made and d</w:t>
            </w:r>
            <w:r w:rsidRPr="00583D61">
              <w:t>ocumented as required, in accordance with established organisational or job procedures.</w:t>
            </w:r>
          </w:p>
          <w:p w:rsidR="00000000" w:rsidRPr="00583D61" w:rsidP="00583D61">
            <w:pPr>
              <w:pStyle w:val="List2"/>
            </w:pPr>
            <w:r w:rsidRPr="00583D61">
              <w:t>2.3.</w:t>
            </w:r>
            <w:r w:rsidRPr="00583D61">
              <w:tab/>
              <w:t>Reporting of work progress is completed in accordance with established work plan, and job and contractual requirements.</w:t>
            </w:r>
          </w:p>
          <w:p w:rsidR="00000000" w:rsidRPr="00583D61" w:rsidP="00583D61">
            <w:pPr>
              <w:pStyle w:val="List2"/>
            </w:pPr>
            <w:r w:rsidRPr="00583D61">
              <w:t>2.4.</w:t>
            </w:r>
            <w:r w:rsidRPr="00583D61">
              <w:tab/>
              <w:t>Technical issues arising during the re</w:t>
            </w:r>
            <w:r w:rsidRPr="00583D61">
              <w:t>storation that impact on the work of related trades are identified and communicated.</w:t>
            </w:r>
          </w:p>
          <w:p w:rsidR="00000000" w:rsidP="00583D61">
            <w:pPr>
              <w:pStyle w:val="List2"/>
              <w:rPr>
                <w:lang w:val="en-NZ"/>
              </w:rPr>
            </w:pPr>
            <w:r w:rsidRPr="00583D61">
              <w:t>2.5.</w:t>
            </w:r>
            <w:r w:rsidRPr="00583D61">
              <w:tab/>
              <w:t>Effective strategies for problem resolution are identified within the project team.</w:t>
            </w:r>
          </w:p>
        </w:tc>
      </w:tr>
      <w:tr w:rsidTr="007D59E3">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583D61">
            <w:pPr>
              <w:pStyle w:val="List"/>
              <w:rPr>
                <w:lang w:val="en-NZ"/>
              </w:rPr>
            </w:pPr>
            <w:r w:rsidRPr="00583D61">
              <w:t>3.</w:t>
            </w:r>
            <w:r w:rsidRPr="00583D61">
              <w:tab/>
              <w:t>Ensure area is cleaned at completion of the restoration work.</w:t>
            </w:r>
          </w:p>
        </w:tc>
        <w:tc>
          <w:tcPr>
            <w:tcW w:w="5945" w:type="dxa"/>
            <w:tcBorders>
              <w:top w:val="nil"/>
              <w:left w:val="nil"/>
              <w:bottom w:val="nil"/>
              <w:right w:val="nil"/>
            </w:tcBorders>
            <w:tcMar>
              <w:top w:w="0" w:type="dxa"/>
              <w:left w:w="62" w:type="dxa"/>
              <w:bottom w:w="0" w:type="dxa"/>
              <w:right w:w="62" w:type="dxa"/>
            </w:tcMar>
          </w:tcPr>
          <w:p w:rsidR="00000000" w:rsidRPr="00583D61" w:rsidP="00583D61">
            <w:pPr>
              <w:pStyle w:val="List2"/>
            </w:pPr>
            <w:r w:rsidRPr="00583D61">
              <w:t>3.1.</w:t>
            </w:r>
            <w:r w:rsidRPr="00583D61">
              <w:tab/>
              <w:t>Scaffolding</w:t>
            </w:r>
            <w:r w:rsidRPr="00583D61">
              <w:t xml:space="preserve"> is dismantled carefully, removed and stored.</w:t>
            </w:r>
          </w:p>
          <w:p w:rsidR="00000000" w:rsidRPr="00583D61" w:rsidP="00583D61">
            <w:pPr>
              <w:pStyle w:val="List2"/>
            </w:pPr>
            <w:r w:rsidRPr="00583D61">
              <w:t>3.2.</w:t>
            </w:r>
            <w:r w:rsidRPr="00583D61">
              <w:tab/>
              <w:t>Cover protection for surfaces is carefully removed.</w:t>
            </w:r>
          </w:p>
          <w:p w:rsidR="00000000" w:rsidRPr="00583D61" w:rsidP="00583D61">
            <w:pPr>
              <w:pStyle w:val="List2"/>
            </w:pPr>
            <w:r w:rsidRPr="00583D61">
              <w:t>3.3.</w:t>
            </w:r>
            <w:r w:rsidRPr="00583D61">
              <w:tab/>
              <w:t>Surface protection and unused materials are removed and stored.</w:t>
            </w:r>
          </w:p>
          <w:p w:rsidR="00000000" w:rsidRPr="00583D61" w:rsidP="00583D61">
            <w:pPr>
              <w:pStyle w:val="List2"/>
            </w:pPr>
            <w:r w:rsidRPr="00583D61">
              <w:t>3.4.</w:t>
            </w:r>
            <w:r w:rsidRPr="00583D61">
              <w:tab/>
              <w:t>Work area is cleared and all waste material is disposed of in accordance with l</w:t>
            </w:r>
            <w:r w:rsidRPr="00583D61">
              <w:t>egislative and organisational requirements.</w:t>
            </w:r>
          </w:p>
          <w:p w:rsidR="00000000" w:rsidRPr="00583D61" w:rsidP="00583D61">
            <w:pPr>
              <w:pStyle w:val="List2"/>
            </w:pPr>
            <w:r w:rsidRPr="00583D61">
              <w:t>3.5.</w:t>
            </w:r>
            <w:r w:rsidRPr="00583D61">
              <w:tab/>
              <w:t>Tools and equipment are cleaned, maintained and stored.</w:t>
            </w:r>
          </w:p>
        </w:tc>
      </w:tr>
    </w:tbl>
    <w:p w:rsidR="007D59E3" w:rsidP="00583D61">
      <w:pPr>
        <w:pStyle w:val="BodyText"/>
      </w:pPr>
    </w:p>
    <w:p w:rsidR="007D59E3" w:rsidP="00583D61">
      <w:pPr>
        <w:pStyle w:val="BodyText"/>
      </w:pPr>
    </w:p>
    <w:p w:rsidR="00000000" w:rsidRPr="00583D61" w:rsidP="00583D61">
      <w:pPr>
        <w:pStyle w:val="Heading1"/>
      </w:pPr>
      <w:bookmarkStart w:id="9" w:name="O_258099"/>
      <w:bookmarkEnd w:id="9"/>
      <w:r w:rsidRPr="00583D61">
        <w:t>Required Skills and Knowledge</w:t>
      </w:r>
    </w:p>
    <w:tbl>
      <w:tblPr>
        <w:tblW w:w="0" w:type="auto"/>
        <w:tblLayout w:type="fixed"/>
        <w:tblCellMar>
          <w:left w:w="62" w:type="dxa"/>
          <w:right w:w="62" w:type="dxa"/>
        </w:tblCellMar>
        <w:tblLook w:val="0000"/>
      </w:tblPr>
      <w:tblGrid>
        <w:gridCol w:w="8522"/>
      </w:tblGrid>
      <w:tr w:rsidTr="007D59E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83D61">
            <w:pPr>
              <w:pStyle w:val="BodyText"/>
              <w:rPr>
                <w:lang w:val="en-NZ"/>
              </w:rPr>
            </w:pPr>
            <w:r w:rsidRPr="00583D61">
              <w:rPr>
                <w:rStyle w:val="SpecialBold"/>
              </w:rPr>
              <w:t>REQUIRED SKILLS AND KNOWLEDGE</w:t>
            </w:r>
          </w:p>
        </w:tc>
      </w:tr>
      <w:tr w:rsidTr="007D59E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83D61">
            <w:pPr>
              <w:pStyle w:val="BodyText"/>
              <w:rPr>
                <w:lang w:val="en-NZ"/>
              </w:rPr>
            </w:pPr>
            <w:r w:rsidRPr="00583D61">
              <w:t>This section describes the skills and knowledge required for this unit.</w:t>
            </w:r>
          </w:p>
        </w:tc>
      </w:tr>
      <w:tr w:rsidTr="007D59E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83D61">
            <w:pPr>
              <w:pStyle w:val="BodyText"/>
              <w:rPr>
                <w:lang w:val="en-NZ"/>
              </w:rPr>
            </w:pPr>
            <w:r w:rsidRPr="00583D61">
              <w:rPr>
                <w:rStyle w:val="SpecialBold"/>
              </w:rPr>
              <w:t>Required skills</w:t>
            </w:r>
          </w:p>
        </w:tc>
      </w:tr>
      <w:tr w:rsidTr="007D59E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83D61" w:rsidP="00583D61">
            <w:pPr>
              <w:pStyle w:val="BodyText"/>
            </w:pPr>
            <w:r w:rsidRPr="00583D61">
              <w:t>Required skills for this unit are:</w:t>
            </w:r>
          </w:p>
          <w:p w:rsidR="00000000" w:rsidRPr="00583D61" w:rsidP="00583D61">
            <w:pPr>
              <w:pStyle w:val="ListBullet"/>
            </w:pPr>
            <w:r w:rsidRPr="00583D61">
              <w:t>communication skills to:</w:t>
            </w:r>
          </w:p>
          <w:p w:rsidR="00000000" w:rsidRPr="00583D61" w:rsidP="00583D61">
            <w:pPr>
              <w:pStyle w:val="ListBullet2"/>
            </w:pPr>
            <w:r w:rsidRPr="00583D61">
              <w:t>enable clear and direct communication, using questioning to identify and confirm requirements, sha</w:t>
            </w:r>
            <w:r w:rsidRPr="00583D61">
              <w:t>re information, listen and understand</w:t>
            </w:r>
          </w:p>
          <w:p w:rsidR="00000000" w:rsidRPr="00583D61" w:rsidP="00583D61">
            <w:pPr>
              <w:pStyle w:val="ListBullet2"/>
            </w:pPr>
            <w:r w:rsidRPr="00583D61">
              <w:t>read and interpret:</w:t>
            </w:r>
          </w:p>
          <w:p w:rsidR="00000000" w:rsidRPr="00583D61" w:rsidP="00583D61">
            <w:pPr>
              <w:pStyle w:val="ListBullet3"/>
            </w:pPr>
            <w:r w:rsidRPr="00583D61">
              <w:t>documentation from a variety of sources</w:t>
            </w:r>
          </w:p>
          <w:p w:rsidR="00000000" w:rsidRPr="00583D61" w:rsidP="00583D61">
            <w:pPr>
              <w:pStyle w:val="ListBullet3"/>
            </w:pPr>
            <w:r w:rsidRPr="00583D61">
              <w:t>plans specifications and drawings</w:t>
            </w:r>
          </w:p>
          <w:p w:rsidR="00000000" w:rsidRPr="00583D61" w:rsidP="00583D61">
            <w:pPr>
              <w:pStyle w:val="ListBullet2"/>
            </w:pPr>
            <w:r w:rsidRPr="00583D61">
              <w:t>use and interpret non-verbal communication</w:t>
            </w:r>
          </w:p>
          <w:p w:rsidR="00000000" w:rsidRPr="00583D61" w:rsidP="00583D61">
            <w:pPr>
              <w:pStyle w:val="ListBullet2"/>
            </w:pPr>
            <w:r w:rsidRPr="00583D61">
              <w:t>use language and concepts appropriate to cultural differences</w:t>
            </w:r>
          </w:p>
          <w:p w:rsidR="00000000" w:rsidRPr="00583D61" w:rsidP="00583D61">
            <w:pPr>
              <w:pStyle w:val="ListBullet2"/>
            </w:pPr>
            <w:r w:rsidRPr="00583D61">
              <w:t>written skills to record relevant information</w:t>
            </w:r>
          </w:p>
          <w:p w:rsidR="00000000" w:rsidRPr="00583D61" w:rsidP="00583D61">
            <w:pPr>
              <w:pStyle w:val="ListBullet"/>
            </w:pPr>
            <w:r w:rsidRPr="00583D61">
              <w:t>equipment handling techniques and safe handling practices</w:t>
            </w:r>
          </w:p>
          <w:p w:rsidR="00000000" w:rsidRPr="00583D61" w:rsidP="00583D61">
            <w:pPr>
              <w:pStyle w:val="ListBullet"/>
            </w:pPr>
            <w:r w:rsidRPr="00583D61">
              <w:t>numeracy skills to calculate measurements</w:t>
            </w:r>
          </w:p>
          <w:p w:rsidR="00000000" w:rsidRPr="00583D61" w:rsidP="00583D61">
            <w:pPr>
              <w:pStyle w:val="ListBullet"/>
            </w:pPr>
            <w:r w:rsidRPr="00583D61">
              <w:t>organisational skills, including the ability to plan for and set out work</w:t>
            </w:r>
          </w:p>
          <w:p w:rsidR="00000000" w:rsidRPr="00583D61" w:rsidP="00583D61">
            <w:pPr>
              <w:pStyle w:val="ListBullet"/>
            </w:pPr>
            <w:r w:rsidRPr="00583D61">
              <w:t>problem solving</w:t>
            </w:r>
            <w:r w:rsidRPr="00583D61">
              <w:t xml:space="preserve"> skills to enable resolution of technical issues which threaten to disrupt work</w:t>
            </w:r>
          </w:p>
          <w:p w:rsidR="00000000" w:rsidP="00583D61">
            <w:pPr>
              <w:pStyle w:val="ListBullet"/>
              <w:rPr>
                <w:lang w:val="en-NZ"/>
              </w:rPr>
            </w:pPr>
            <w:r w:rsidRPr="00583D61">
              <w:t>trade skills relevant to the restoration work being undertaken.</w:t>
            </w:r>
          </w:p>
        </w:tc>
      </w:tr>
      <w:tr w:rsidTr="007D59E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83D61">
            <w:pPr>
              <w:pStyle w:val="BodyText"/>
              <w:rPr>
                <w:lang w:val="en-NZ"/>
              </w:rPr>
            </w:pPr>
            <w:r w:rsidRPr="00583D61">
              <w:rPr>
                <w:rStyle w:val="SpecialBold"/>
              </w:rPr>
              <w:t>Required knowledge</w:t>
            </w:r>
          </w:p>
        </w:tc>
      </w:tr>
      <w:tr w:rsidTr="007D59E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83D61" w:rsidP="00583D61">
            <w:pPr>
              <w:pStyle w:val="BodyText"/>
            </w:pPr>
            <w:r w:rsidRPr="00583D61">
              <w:t>Required knowledge for this unit is:</w:t>
            </w:r>
          </w:p>
          <w:p w:rsidR="00000000" w:rsidRPr="00583D61" w:rsidP="00583D61">
            <w:pPr>
              <w:pStyle w:val="ListBullet"/>
            </w:pPr>
            <w:r w:rsidRPr="00583D61">
              <w:t>Building Code of Australia (BCA) and other Australian</w:t>
            </w:r>
            <w:r w:rsidRPr="00583D61">
              <w:t xml:space="preserve"> standards relevant to the nature of work and materials being used</w:t>
            </w:r>
          </w:p>
          <w:p w:rsidR="00000000" w:rsidRPr="00583D61" w:rsidP="00583D61">
            <w:pPr>
              <w:pStyle w:val="ListBullet"/>
            </w:pPr>
            <w:r w:rsidRPr="00583D61">
              <w:t>conservation processes, including good conservation practice arising from principles of Burra Charter</w:t>
            </w:r>
          </w:p>
          <w:p w:rsidR="00000000" w:rsidRPr="00583D61" w:rsidP="00583D61">
            <w:pPr>
              <w:pStyle w:val="ListBullet"/>
            </w:pPr>
            <w:r w:rsidRPr="00583D61">
              <w:t>methods and processes relating to historic building construction, including range and u</w:t>
            </w:r>
            <w:r w:rsidRPr="00583D61">
              <w:t>se of building materials, structure of buildings and drafting techniques</w:t>
            </w:r>
          </w:p>
          <w:p w:rsidR="00000000" w:rsidRPr="00583D61" w:rsidP="00583D61">
            <w:pPr>
              <w:pStyle w:val="ListBullet"/>
            </w:pPr>
            <w:r w:rsidRPr="00583D61">
              <w:t>relevant architectural knowledge, including orders of architecture, characteristics and features of period architecture and period plastering associated with historic buildings</w:t>
            </w:r>
          </w:p>
          <w:p w:rsidR="00000000" w:rsidRPr="00583D61" w:rsidP="00583D61">
            <w:pPr>
              <w:pStyle w:val="ListBullet"/>
            </w:pPr>
            <w:r w:rsidRPr="00583D61">
              <w:t>workpl</w:t>
            </w:r>
            <w:r w:rsidRPr="00583D61">
              <w:t>ace and equipment safety requirements, including relevant statutory regulations, codes and standards.</w:t>
            </w:r>
          </w:p>
        </w:tc>
      </w:tr>
    </w:tbl>
    <w:p w:rsidR="007D59E3" w:rsidP="00583D61">
      <w:pPr>
        <w:pStyle w:val="BodyText"/>
      </w:pPr>
    </w:p>
    <w:p w:rsidR="007D59E3" w:rsidP="00583D61">
      <w:pPr>
        <w:pStyle w:val="BodyText"/>
      </w:pPr>
    </w:p>
    <w:p w:rsidR="00000000" w:rsidRPr="00583D61" w:rsidP="00583D61">
      <w:pPr>
        <w:pStyle w:val="AllowPageBreak"/>
      </w:pPr>
    </w:p>
    <w:p w:rsidR="00000000" w:rsidRPr="00583D61" w:rsidP="00583D61">
      <w:pPr>
        <w:pStyle w:val="Heading1"/>
      </w:pPr>
      <w:bookmarkStart w:id="10" w:name="O_242133"/>
      <w:bookmarkEnd w:id="10"/>
      <w:r w:rsidRPr="00583D61">
        <w:t>Evidence Guide</w:t>
      </w:r>
    </w:p>
    <w:tbl>
      <w:tblPr>
        <w:tblW w:w="0" w:type="auto"/>
        <w:tblLayout w:type="fixed"/>
        <w:tblCellMar>
          <w:left w:w="62" w:type="dxa"/>
          <w:right w:w="62" w:type="dxa"/>
        </w:tblCellMar>
        <w:tblLook w:val="0000"/>
      </w:tblPr>
      <w:tblGrid>
        <w:gridCol w:w="3508"/>
        <w:gridCol w:w="5014"/>
      </w:tblGrid>
      <w:tr w:rsidTr="007D59E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83D61">
            <w:pPr>
              <w:pStyle w:val="BodyText"/>
              <w:rPr>
                <w:lang w:val="en-NZ"/>
              </w:rPr>
            </w:pPr>
            <w:r w:rsidRPr="00583D61">
              <w:rPr>
                <w:rStyle w:val="SpecialBold"/>
              </w:rPr>
              <w:t>EVIDENCE GUIDE</w:t>
            </w:r>
          </w:p>
        </w:tc>
      </w:tr>
      <w:tr w:rsidTr="007D59E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583D61">
            <w:pPr>
              <w:pStyle w:val="BodyText"/>
              <w:rPr>
                <w:lang w:val="en-NZ"/>
              </w:rPr>
            </w:pPr>
            <w:r w:rsidRPr="00583D61">
              <w:t>The evidence guide provides advice on assessment and must be read in conjunction with the performance criteria, required skills and knowledge, range statement and the Assessment Guidelines for the Training Package.</w:t>
            </w:r>
          </w:p>
        </w:tc>
      </w:tr>
      <w:tr w:rsidTr="007D59E3">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583D61">
            <w:pPr>
              <w:pStyle w:val="BodyText"/>
              <w:rPr>
                <w:lang w:val="en-NZ"/>
              </w:rPr>
            </w:pPr>
            <w:r w:rsidRPr="00583D61">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RPr="00583D61" w:rsidP="00583D61">
            <w:pPr>
              <w:pStyle w:val="BodyText"/>
            </w:pPr>
            <w:r w:rsidRPr="00583D61">
              <w:t>This unit of com</w:t>
            </w:r>
            <w:r w:rsidRPr="00583D61">
              <w:t>petency could be assessed by application of a recognised trade skill to a heritage restoration project. Application should include correct use of trade skills and knowledge, ongoing monitoring of own work, compliance with relevant legislation and adherence</w:t>
            </w:r>
            <w:r w:rsidRPr="00583D61">
              <w:t xml:space="preserve"> to relevant heritage restoration codes and standards as well as organisational requirements, and correct clean-up procedures at completion of the work.</w:t>
            </w:r>
          </w:p>
          <w:p w:rsidR="00000000" w:rsidP="00583D61">
            <w:pPr>
              <w:pStyle w:val="BodyText"/>
              <w:rPr>
                <w:lang w:val="en-NZ"/>
              </w:rPr>
            </w:pPr>
            <w:r w:rsidRPr="00583D61">
              <w:t>This unit of competency can be assessed in the workplace or a close simulation of the workplace environ</w:t>
            </w:r>
            <w:r w:rsidRPr="00583D61">
              <w:t xml:space="preserve">ment, provided that simulated or project-based assessment techniques fully replicate construction workplace conditions, materials, activities, responsibilities and procedures. </w:t>
            </w:r>
          </w:p>
        </w:tc>
      </w:tr>
      <w:tr w:rsidTr="007D59E3">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583D61">
            <w:pPr>
              <w:pStyle w:val="BodyText"/>
              <w:rPr>
                <w:lang w:val="en-NZ"/>
              </w:rPr>
            </w:pPr>
            <w:r w:rsidRPr="00583D61">
              <w:rPr>
                <w:rStyle w:val="SpecialBold"/>
              </w:rPr>
              <w:t>Critical aspects for assessment and evidence required to demonstrate competenc</w:t>
            </w:r>
            <w:r w:rsidRPr="00583D61">
              <w:rPr>
                <w:rStyle w:val="SpecialBold"/>
              </w:rPr>
              <w:t>y in this unit</w:t>
            </w:r>
          </w:p>
        </w:tc>
        <w:tc>
          <w:tcPr>
            <w:tcW w:w="5014" w:type="dxa"/>
            <w:tcBorders>
              <w:top w:val="nil"/>
              <w:left w:val="nil"/>
              <w:bottom w:val="nil"/>
              <w:right w:val="nil"/>
            </w:tcBorders>
            <w:tcMar>
              <w:top w:w="0" w:type="dxa"/>
              <w:left w:w="62" w:type="dxa"/>
              <w:bottom w:w="0" w:type="dxa"/>
              <w:right w:w="62" w:type="dxa"/>
            </w:tcMar>
          </w:tcPr>
          <w:p w:rsidR="00000000" w:rsidRPr="00583D61" w:rsidP="00583D61">
            <w:pPr>
              <w:pStyle w:val="BodyText"/>
            </w:pPr>
            <w:r w:rsidRPr="00583D61">
              <w:t>A person who demonstrates competency in this unit must be able to provide evidence of the ability to:</w:t>
            </w:r>
          </w:p>
          <w:p w:rsidR="00000000" w:rsidRPr="00583D61" w:rsidP="00583D61">
            <w:pPr>
              <w:pStyle w:val="ListBullet"/>
            </w:pPr>
            <w:r w:rsidRPr="00583D61">
              <w:t>apply conservation considerations and consultative processes to determine restoration application and finish</w:t>
            </w:r>
          </w:p>
          <w:p w:rsidR="00000000" w:rsidRPr="00583D61" w:rsidP="00583D61">
            <w:pPr>
              <w:pStyle w:val="ListBullet"/>
            </w:pPr>
            <w:r w:rsidRPr="00583D61">
              <w:t>demonstrate understanding of preservation of fabric</w:t>
            </w:r>
          </w:p>
          <w:p w:rsidR="00000000" w:rsidRPr="00583D61" w:rsidP="00583D61">
            <w:pPr>
              <w:pStyle w:val="ListBullet"/>
            </w:pPr>
            <w:r w:rsidRPr="00583D61">
              <w:t>comply with OHS regulations applicable to workplace operations</w:t>
            </w:r>
          </w:p>
          <w:p w:rsidR="00000000" w:rsidRPr="00583D61" w:rsidP="00583D61">
            <w:pPr>
              <w:pStyle w:val="ListBullet"/>
            </w:pPr>
            <w:r w:rsidRPr="00583D61">
              <w:t>apply organisational quality procedures and processes within the context of heritage restorations</w:t>
            </w:r>
          </w:p>
          <w:p w:rsidR="00000000" w:rsidRPr="00583D61" w:rsidP="00583D61">
            <w:pPr>
              <w:pStyle w:val="ListBullet"/>
            </w:pPr>
            <w:r w:rsidRPr="00583D61">
              <w:t>record and identify materials used</w:t>
            </w:r>
          </w:p>
          <w:p w:rsidR="00000000" w:rsidRPr="00583D61" w:rsidP="00583D61">
            <w:pPr>
              <w:pStyle w:val="ListBullet"/>
            </w:pPr>
            <w:r w:rsidRPr="00583D61">
              <w:t>use appr</w:t>
            </w:r>
            <w:r w:rsidRPr="00583D61">
              <w:t>opriate techniques to provide cover protection</w:t>
            </w:r>
          </w:p>
          <w:p w:rsidR="00000000" w:rsidRPr="00583D61" w:rsidP="00583D61">
            <w:pPr>
              <w:pStyle w:val="ListBullet"/>
            </w:pPr>
            <w:r w:rsidRPr="00583D61">
              <w:t>use safe and effective procedures to handle hazardous materials</w:t>
            </w:r>
          </w:p>
          <w:p w:rsidR="00000000" w:rsidRPr="00583D61" w:rsidP="00583D61">
            <w:pPr>
              <w:pStyle w:val="ListBullet"/>
            </w:pPr>
            <w:r w:rsidRPr="00583D61">
              <w:t>identify typical faults and problems that occur and necessary action taken to rectify</w:t>
            </w:r>
          </w:p>
          <w:p w:rsidR="00000000" w:rsidP="00583D61">
            <w:pPr>
              <w:pStyle w:val="ListBullet"/>
              <w:rPr>
                <w:lang w:val="en-NZ"/>
              </w:rPr>
            </w:pPr>
            <w:r w:rsidRPr="00583D61">
              <w:t>communicate interactively with others to ensure safe and ef</w:t>
            </w:r>
            <w:r w:rsidRPr="00583D61">
              <w:t>fective work site operations.</w:t>
            </w:r>
          </w:p>
        </w:tc>
      </w:tr>
      <w:tr w:rsidTr="007D59E3">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583D61">
            <w:pPr>
              <w:pStyle w:val="BodyText"/>
              <w:rPr>
                <w:lang w:val="en-NZ"/>
              </w:rPr>
            </w:pPr>
            <w:r w:rsidRPr="00583D61">
              <w:rPr>
                <w:rStyle w:val="SpecialBold"/>
              </w:rPr>
              <w:t>Context of and specific resources for assessment</w:t>
            </w:r>
          </w:p>
        </w:tc>
        <w:tc>
          <w:tcPr>
            <w:tcW w:w="5014" w:type="dxa"/>
            <w:tcBorders>
              <w:top w:val="nil"/>
              <w:left w:val="nil"/>
              <w:bottom w:val="nil"/>
              <w:right w:val="nil"/>
            </w:tcBorders>
            <w:tcMar>
              <w:top w:w="0" w:type="dxa"/>
              <w:left w:w="62" w:type="dxa"/>
              <w:bottom w:w="0" w:type="dxa"/>
              <w:right w:w="62" w:type="dxa"/>
            </w:tcMar>
          </w:tcPr>
          <w:p w:rsidR="00000000" w:rsidRPr="00583D61" w:rsidP="00583D61">
            <w:pPr>
              <w:pStyle w:val="BodyText"/>
            </w:pPr>
            <w:r w:rsidRPr="00583D61">
              <w:t>This competency is to be assessed using standard and authorised work practices, safety requirements and environmental constraints.</w:t>
            </w:r>
          </w:p>
          <w:p w:rsidR="00000000" w:rsidRPr="00583D61" w:rsidP="00583D61">
            <w:pPr>
              <w:pStyle w:val="BodyText"/>
            </w:pPr>
            <w:r w:rsidRPr="00583D61">
              <w:t>Assessment of essential underpinning knowledg</w:t>
            </w:r>
            <w:r w:rsidRPr="00583D61">
              <w:t>e will usually be conducted in an off-site context.</w:t>
            </w:r>
          </w:p>
          <w:p w:rsidR="00000000" w:rsidRPr="00583D61" w:rsidP="00583D61">
            <w:pPr>
              <w:pStyle w:val="BodyText"/>
            </w:pPr>
            <w:r w:rsidRPr="00583D61">
              <w:t>Assessment is to comply with relevant regulatory or Australian standards' requirements.</w:t>
            </w:r>
          </w:p>
          <w:p w:rsidR="00000000" w:rsidRPr="00583D61" w:rsidP="00583D61">
            <w:pPr>
              <w:pStyle w:val="BodyText"/>
            </w:pPr>
            <w:r w:rsidRPr="00583D61">
              <w:t>Resource implications for assessment include:</w:t>
            </w:r>
          </w:p>
          <w:p w:rsidR="00000000" w:rsidRPr="00583D61" w:rsidP="00583D61">
            <w:pPr>
              <w:pStyle w:val="ListBullet"/>
            </w:pPr>
            <w:r w:rsidRPr="00583D61">
              <w:t>historic work locations appropriate to competen</w:t>
            </w:r>
            <w:r w:rsidRPr="00583D61">
              <w:t>cy range and activities</w:t>
            </w:r>
          </w:p>
          <w:p w:rsidR="00000000" w:rsidRPr="00583D61" w:rsidP="00583D61">
            <w:pPr>
              <w:pStyle w:val="ListBullet"/>
            </w:pPr>
            <w:r w:rsidRPr="00583D61">
              <w:t>materials appropriate to application activities</w:t>
            </w:r>
          </w:p>
          <w:p w:rsidR="00000000" w:rsidRPr="00583D61" w:rsidP="00583D61">
            <w:pPr>
              <w:pStyle w:val="ListBullet"/>
            </w:pPr>
            <w:r w:rsidRPr="00583D61">
              <w:t>appropriate documentation and data related to tasks</w:t>
            </w:r>
          </w:p>
          <w:p w:rsidR="00000000" w:rsidRPr="00583D61" w:rsidP="00583D61">
            <w:pPr>
              <w:pStyle w:val="ListBullet"/>
            </w:pPr>
            <w:r w:rsidRPr="00583D61">
              <w:t>scaffolding equipment, plant, tools and equipment relevant to activity processes.</w:t>
            </w:r>
          </w:p>
          <w:p w:rsidR="00000000" w:rsidP="00583D61">
            <w:pPr>
              <w:pStyle w:val="BodyText"/>
              <w:rPr>
                <w:lang w:val="en-NZ"/>
              </w:rPr>
            </w:pPr>
            <w:r w:rsidRPr="00583D61">
              <w:t>Reasonable adjustments for people with disabilitie</w:t>
            </w:r>
            <w:r w:rsidRPr="00583D61">
              <w:t xml:space="preserve">s must be made to assessment processes where required. This could include access to modified equipment and other physical resources, and the provision of appropriate assessment support. </w:t>
            </w:r>
          </w:p>
        </w:tc>
      </w:tr>
      <w:tr w:rsidTr="007D59E3">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583D61">
            <w:pPr>
              <w:pStyle w:val="BodyText"/>
              <w:rPr>
                <w:lang w:val="en-NZ"/>
              </w:rPr>
            </w:pPr>
            <w:r w:rsidRPr="00583D61">
              <w:rPr>
                <w:rStyle w:val="SpecialBold"/>
              </w:rPr>
              <w:t>Method of assessment</w:t>
            </w:r>
          </w:p>
        </w:tc>
        <w:tc>
          <w:tcPr>
            <w:tcW w:w="5014" w:type="dxa"/>
            <w:tcBorders>
              <w:top w:val="nil"/>
              <w:left w:val="nil"/>
              <w:bottom w:val="nil"/>
              <w:right w:val="nil"/>
            </w:tcBorders>
            <w:tcMar>
              <w:top w:w="0" w:type="dxa"/>
              <w:left w:w="62" w:type="dxa"/>
              <w:bottom w:w="0" w:type="dxa"/>
              <w:right w:w="62" w:type="dxa"/>
            </w:tcMar>
          </w:tcPr>
          <w:p w:rsidR="00000000" w:rsidRPr="00583D61" w:rsidP="00583D61">
            <w:pPr>
              <w:pStyle w:val="BodyText"/>
            </w:pPr>
            <w:r w:rsidRPr="00583D61">
              <w:t>Assessment methods must:</w:t>
            </w:r>
          </w:p>
          <w:p w:rsidR="00000000" w:rsidRPr="00583D61" w:rsidP="00583D61">
            <w:pPr>
              <w:pStyle w:val="ListBullet"/>
            </w:pPr>
            <w:r w:rsidRPr="00583D61">
              <w:t xml:space="preserve">satisfy the endorsed </w:t>
            </w:r>
            <w:r w:rsidRPr="00583D61">
              <w:t>Assessment Guidelines of the Construction, Plumbing and Services Training Package</w:t>
            </w:r>
          </w:p>
          <w:p w:rsidR="00000000" w:rsidRPr="00583D61" w:rsidP="00583D61">
            <w:pPr>
              <w:pStyle w:val="ListBullet"/>
            </w:pPr>
            <w:r w:rsidRPr="00583D61">
              <w:t>include direct observation of tasks in real or simulated work conditions, with questioning to confirm the ability to consistently identify and correctly interpret the essenti</w:t>
            </w:r>
            <w:r w:rsidRPr="00583D61">
              <w:t>al underpinning knowledge required for practical application</w:t>
            </w:r>
          </w:p>
          <w:p w:rsidR="00000000" w:rsidRPr="00583D61" w:rsidP="00583D61">
            <w:pPr>
              <w:pStyle w:val="ListBullet"/>
            </w:pPr>
            <w:r w:rsidRPr="00583D61">
              <w:t>reinforce the integration of employability skills with workplace tasks and job roles</w:t>
            </w:r>
          </w:p>
          <w:p w:rsidR="00000000" w:rsidRPr="00583D61" w:rsidP="00583D61">
            <w:pPr>
              <w:pStyle w:val="ListBullet"/>
            </w:pPr>
            <w:r w:rsidRPr="00583D61">
              <w:t>confirm that competency is verified and able to be transferred to other circumstances and environments.</w:t>
            </w:r>
          </w:p>
          <w:p w:rsidR="00000000" w:rsidRPr="00583D61" w:rsidP="00583D61">
            <w:pPr>
              <w:pStyle w:val="BodyText"/>
            </w:pPr>
            <w:r w:rsidRPr="00583D61">
              <w:t>Validi</w:t>
            </w:r>
            <w:r w:rsidRPr="00583D61">
              <w:t>ty and sufficiency of evidence requires that:</w:t>
            </w:r>
          </w:p>
          <w:p w:rsidR="00000000" w:rsidRPr="00583D61" w:rsidP="00583D61">
            <w:pPr>
              <w:pStyle w:val="ListBullet"/>
            </w:pPr>
            <w:r w:rsidRPr="00583D61">
              <w:t>competency will need to be demonstrated over a period of time reflecting the scope of the role and the practical requirements of the workplace</w:t>
            </w:r>
          </w:p>
          <w:p w:rsidR="00000000" w:rsidRPr="00583D61" w:rsidP="00583D61">
            <w:pPr>
              <w:pStyle w:val="ListBullet"/>
            </w:pPr>
            <w:r w:rsidRPr="00583D61">
              <w:t>where the assessment is part of a structured learning experience t</w:t>
            </w:r>
            <w:r w:rsidRPr="00583D61">
              <w:t>he evidence collected must relate to a number of performances assessed at different points in time and separated by further learning and practice, with a decision on competency only taken at the point when the assessor has complete confidence in the person</w:t>
            </w:r>
            <w:r w:rsidRPr="00583D61">
              <w:t>'s demonstrated ability and applied knowledge</w:t>
            </w:r>
          </w:p>
          <w:p w:rsidR="00000000" w:rsidRPr="00583D61" w:rsidP="00583D61">
            <w:pPr>
              <w:pStyle w:val="ListBullet"/>
            </w:pPr>
            <w:r w:rsidRPr="00583D61">
              <w:t>all assessment that is part of a structured learning experience must include a combination of direct, indirect and supplementary evidence.</w:t>
            </w:r>
          </w:p>
          <w:p w:rsidR="00000000" w:rsidRPr="00583D61" w:rsidP="00583D61">
            <w:pPr>
              <w:pStyle w:val="BodyText"/>
            </w:pPr>
            <w:r w:rsidRPr="00583D61">
              <w:t>Assessment processes and techniques should as far as is practical take into account the language, literacy and numeracy capacity of the candidate in relation to the competency being assessed.</w:t>
            </w:r>
          </w:p>
          <w:p w:rsidR="00000000" w:rsidRPr="00583D61" w:rsidP="00583D61">
            <w:pPr>
              <w:pStyle w:val="BodyText"/>
            </w:pPr>
            <w:r w:rsidRPr="00583D61">
              <w:t>Supplementary evidence of competency may be obtained from releva</w:t>
            </w:r>
            <w:r w:rsidRPr="00583D61">
              <w:t xml:space="preserve">nt authenticated documentation from third parties, such as existing supervisors, team leaders or specialist training staff. </w:t>
            </w:r>
          </w:p>
        </w:tc>
      </w:tr>
    </w:tbl>
    <w:p w:rsidR="007D59E3" w:rsidP="00583D61">
      <w:pPr>
        <w:pStyle w:val="BodyText"/>
      </w:pPr>
    </w:p>
    <w:p w:rsidR="007D59E3" w:rsidP="00583D61">
      <w:pPr>
        <w:pStyle w:val="BodyText"/>
      </w:pPr>
    </w:p>
    <w:p w:rsidR="00000000" w:rsidRPr="00583D61" w:rsidP="00583D61">
      <w:pPr>
        <w:pStyle w:val="Heading1"/>
      </w:pPr>
      <w:bookmarkStart w:id="11" w:name="O_250116"/>
      <w:bookmarkEnd w:id="11"/>
      <w:r w:rsidRPr="00583D61">
        <w:t>Range Statement</w:t>
      </w:r>
    </w:p>
    <w:tbl>
      <w:tblPr>
        <w:tblW w:w="0" w:type="auto"/>
        <w:tblLayout w:type="fixed"/>
        <w:tblCellMar>
          <w:left w:w="62" w:type="dxa"/>
          <w:right w:w="62" w:type="dxa"/>
        </w:tblCellMar>
        <w:tblLook w:val="0000"/>
      </w:tblPr>
      <w:tblGrid>
        <w:gridCol w:w="3509"/>
        <w:gridCol w:w="5013"/>
      </w:tblGrid>
      <w:tr w:rsidTr="007D59E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83D61">
            <w:pPr>
              <w:pStyle w:val="BodyText"/>
              <w:rPr>
                <w:lang w:val="en-NZ"/>
              </w:rPr>
            </w:pPr>
            <w:r w:rsidRPr="00583D61">
              <w:rPr>
                <w:rStyle w:val="SpecialBold"/>
              </w:rPr>
              <w:t>RANGE STATEMENT</w:t>
            </w:r>
          </w:p>
        </w:tc>
      </w:tr>
      <w:tr w:rsidTr="007D59E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583D61">
            <w:pPr>
              <w:pStyle w:val="BodyText"/>
              <w:rPr>
                <w:lang w:val="en-NZ"/>
              </w:rPr>
            </w:pPr>
            <w:r w:rsidRPr="00583D61">
              <w:t>The range statement relates to the unit of competency as a whole. It allows for different work environments and situations that may affect performance. Bold italicised wording, if used in the performance criteria, is detailed below. Essential operating con</w:t>
            </w:r>
            <w:r w:rsidRPr="00583D61">
              <w:t>ditions that may be present with training and assessment (depending on the work situation, needs of the candidate, accessibility of the item, and local industry and regional contexts) may also be included.</w:t>
            </w:r>
          </w:p>
        </w:tc>
      </w:tr>
      <w:tr w:rsidTr="007D59E3">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583D61">
            <w:pPr>
              <w:pStyle w:val="BodyText"/>
              <w:rPr>
                <w:lang w:val="en-NZ"/>
              </w:rPr>
            </w:pPr>
            <w:r w:rsidRPr="00583D61">
              <w:rPr>
                <w:rStyle w:val="BoldandItalics"/>
              </w:rPr>
              <w:t>Trade skills</w:t>
            </w:r>
            <w:r w:rsidRPr="00583D61">
              <w:t xml:space="preserve"> include: </w:t>
            </w:r>
          </w:p>
        </w:tc>
        <w:tc>
          <w:tcPr>
            <w:tcW w:w="5013" w:type="dxa"/>
            <w:tcBorders>
              <w:top w:val="nil"/>
              <w:left w:val="nil"/>
              <w:bottom w:val="nil"/>
              <w:right w:val="nil"/>
            </w:tcBorders>
            <w:tcMar>
              <w:top w:w="0" w:type="dxa"/>
              <w:left w:w="62" w:type="dxa"/>
              <w:bottom w:w="0" w:type="dxa"/>
              <w:right w:w="62" w:type="dxa"/>
            </w:tcMar>
          </w:tcPr>
          <w:p w:rsidR="00000000" w:rsidRPr="00583D61" w:rsidP="00583D61">
            <w:pPr>
              <w:pStyle w:val="ListBullet"/>
            </w:pPr>
            <w:r w:rsidRPr="00583D61">
              <w:t>carpentry</w:t>
            </w:r>
          </w:p>
          <w:p w:rsidR="00000000" w:rsidRPr="00583D61" w:rsidP="00583D61">
            <w:pPr>
              <w:pStyle w:val="ListBullet"/>
            </w:pPr>
            <w:r w:rsidRPr="00583D61">
              <w:t>gilding</w:t>
            </w:r>
          </w:p>
          <w:p w:rsidR="00000000" w:rsidRPr="00583D61" w:rsidP="00583D61">
            <w:pPr>
              <w:pStyle w:val="ListBullet"/>
            </w:pPr>
            <w:r w:rsidRPr="00583D61">
              <w:t>painting</w:t>
            </w:r>
          </w:p>
          <w:p w:rsidR="00000000" w:rsidRPr="00583D61" w:rsidP="00583D61">
            <w:pPr>
              <w:pStyle w:val="ListBullet"/>
            </w:pPr>
            <w:r w:rsidRPr="00583D61">
              <w:t>plastering</w:t>
            </w:r>
          </w:p>
          <w:p w:rsidR="00000000" w:rsidRPr="00583D61" w:rsidP="00583D61">
            <w:pPr>
              <w:pStyle w:val="ListBullet"/>
            </w:pPr>
            <w:r w:rsidRPr="00583D61">
              <w:t>plumbing</w:t>
            </w:r>
          </w:p>
          <w:p w:rsidR="00000000" w:rsidRPr="00583D61" w:rsidP="00583D61">
            <w:pPr>
              <w:pStyle w:val="ListBullet"/>
            </w:pPr>
            <w:r w:rsidRPr="00583D61">
              <w:t>stonemasonry</w:t>
            </w:r>
          </w:p>
          <w:p w:rsidR="00000000" w:rsidP="00583D61">
            <w:pPr>
              <w:pStyle w:val="ListBullet"/>
              <w:rPr>
                <w:lang w:val="en-NZ"/>
              </w:rPr>
            </w:pPr>
            <w:r w:rsidRPr="00583D61">
              <w:t>tiling.</w:t>
            </w:r>
          </w:p>
        </w:tc>
      </w:tr>
      <w:tr w:rsidTr="007D59E3">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583D61">
            <w:pPr>
              <w:pStyle w:val="BodyText"/>
              <w:rPr>
                <w:lang w:val="en-NZ"/>
              </w:rPr>
            </w:pPr>
            <w:r w:rsidRPr="00583D61">
              <w:rPr>
                <w:rStyle w:val="BoldandItalics"/>
              </w:rPr>
              <w:t>Legislative and organisational requirements</w:t>
            </w:r>
            <w:r w:rsidRPr="00583D61">
              <w:t xml:space="preserve"> include: </w:t>
            </w:r>
          </w:p>
        </w:tc>
        <w:tc>
          <w:tcPr>
            <w:tcW w:w="5013" w:type="dxa"/>
            <w:tcBorders>
              <w:top w:val="nil"/>
              <w:left w:val="nil"/>
              <w:bottom w:val="nil"/>
              <w:right w:val="nil"/>
            </w:tcBorders>
            <w:tcMar>
              <w:top w:w="0" w:type="dxa"/>
              <w:left w:w="62" w:type="dxa"/>
              <w:bottom w:w="0" w:type="dxa"/>
              <w:right w:w="62" w:type="dxa"/>
            </w:tcMar>
          </w:tcPr>
          <w:p w:rsidR="00000000" w:rsidRPr="00583D61" w:rsidP="00583D61">
            <w:pPr>
              <w:pStyle w:val="ListBullet"/>
            </w:pPr>
            <w:r w:rsidRPr="00583D61">
              <w:t>adherence to all relevant codes and Australian standards</w:t>
            </w:r>
          </w:p>
          <w:p w:rsidR="00000000" w:rsidRPr="00583D61" w:rsidP="00583D61">
            <w:pPr>
              <w:pStyle w:val="ListBullet"/>
            </w:pPr>
            <w:r w:rsidRPr="00583D61">
              <w:t>compliance with relevant quality assurance requirements pertaining to the relevant trade skil</w:t>
            </w:r>
            <w:r w:rsidRPr="00583D61">
              <w:t>l being employed</w:t>
            </w:r>
          </w:p>
          <w:p w:rsidR="00000000" w:rsidRPr="00583D61" w:rsidP="00583D61">
            <w:pPr>
              <w:pStyle w:val="ListBullet"/>
            </w:pPr>
            <w:r w:rsidRPr="00583D61">
              <w:t>OHS requirements, including the use of personal protective equipment, barricades and safe handling practices for all materials.</w:t>
            </w:r>
          </w:p>
        </w:tc>
      </w:tr>
    </w:tbl>
    <w:p w:rsidR="007D59E3" w:rsidP="00583D61">
      <w:pPr>
        <w:pStyle w:val="BodyText"/>
      </w:pPr>
    </w:p>
    <w:p w:rsidR="007D59E3" w:rsidP="00583D61">
      <w:pPr>
        <w:pStyle w:val="BodyText"/>
      </w:pPr>
    </w:p>
    <w:p w:rsidR="00000000" w:rsidRPr="00583D61" w:rsidP="00583D61">
      <w:pPr>
        <w:pStyle w:val="Heading1"/>
      </w:pPr>
      <w:bookmarkStart w:id="12" w:name="O_196918"/>
      <w:bookmarkEnd w:id="12"/>
      <w:r w:rsidRPr="00583D61">
        <w:t>Unit Sector(s)</w:t>
      </w:r>
    </w:p>
    <w:tbl>
      <w:tblPr>
        <w:tblW w:w="0" w:type="auto"/>
        <w:tblLayout w:type="fixed"/>
        <w:tblCellMar>
          <w:left w:w="62" w:type="dxa"/>
          <w:right w:w="62" w:type="dxa"/>
        </w:tblCellMar>
        <w:tblLook w:val="0000"/>
      </w:tblPr>
      <w:tblGrid>
        <w:gridCol w:w="2597"/>
        <w:gridCol w:w="5925"/>
      </w:tblGrid>
      <w:tr w:rsidTr="007D59E3">
        <w:tblPrEx>
          <w:tblW w:w="0" w:type="auto"/>
          <w:tblLayout w:type="fixed"/>
          <w:tblCellMar>
            <w:left w:w="62" w:type="dxa"/>
            <w:right w:w="62" w:type="dxa"/>
          </w:tblCellMar>
          <w:tblLook w:val="0000"/>
        </w:tblPrEx>
        <w:trPr>
          <w:tblHeader/>
        </w:trPr>
        <w:tc>
          <w:tcPr>
            <w:tcW w:w="2597" w:type="dxa"/>
            <w:tcBorders>
              <w:top w:val="nil"/>
              <w:left w:val="nil"/>
              <w:bottom w:val="nil"/>
              <w:right w:val="nil"/>
            </w:tcBorders>
            <w:tcMar>
              <w:top w:w="0" w:type="dxa"/>
              <w:left w:w="62" w:type="dxa"/>
              <w:bottom w:w="0" w:type="dxa"/>
              <w:right w:w="62" w:type="dxa"/>
            </w:tcMar>
          </w:tcPr>
          <w:p w:rsidR="00000000" w:rsidP="00583D61">
            <w:pPr>
              <w:pStyle w:val="BodyText"/>
              <w:rPr>
                <w:lang w:val="en-NZ"/>
              </w:rPr>
            </w:pPr>
            <w:r w:rsidRPr="00583D61">
              <w:rPr>
                <w:rStyle w:val="SpecialBold"/>
              </w:rPr>
              <w:t>Unit sector</w:t>
            </w:r>
          </w:p>
        </w:tc>
        <w:tc>
          <w:tcPr>
            <w:tcW w:w="5925" w:type="dxa"/>
            <w:tcBorders>
              <w:top w:val="nil"/>
              <w:left w:val="nil"/>
              <w:bottom w:val="nil"/>
              <w:right w:val="nil"/>
            </w:tcBorders>
            <w:tcMar>
              <w:top w:w="0" w:type="dxa"/>
              <w:left w:w="62" w:type="dxa"/>
              <w:bottom w:w="0" w:type="dxa"/>
              <w:right w:w="62" w:type="dxa"/>
            </w:tcMar>
          </w:tcPr>
          <w:p w:rsidR="00000000" w:rsidRPr="00583D61" w:rsidP="00583D61">
            <w:pPr>
              <w:pStyle w:val="BodyText"/>
            </w:pPr>
            <w:r w:rsidRPr="00583D61">
              <w:t>Construction</w:t>
            </w:r>
          </w:p>
        </w:tc>
      </w:tr>
    </w:tbl>
    <w:p w:rsidR="007D59E3" w:rsidP="00583D61">
      <w:pPr>
        <w:pStyle w:val="BodyText"/>
      </w:pPr>
    </w:p>
    <w:p w:rsidR="007D59E3" w:rsidP="00583D61">
      <w:pPr>
        <w:pStyle w:val="BodyText"/>
      </w:pPr>
    </w:p>
    <w:p w:rsidR="00000000" w:rsidRPr="00583D61" w:rsidP="00583D61">
      <w:pPr>
        <w:pStyle w:val="Heading1"/>
      </w:pPr>
      <w:bookmarkStart w:id="13" w:name="O_196915"/>
      <w:bookmarkEnd w:id="13"/>
      <w:r w:rsidRPr="00583D61">
        <w:t>Co-requisite units</w:t>
      </w:r>
    </w:p>
    <w:tbl>
      <w:tblPr>
        <w:tblW w:w="0" w:type="auto"/>
        <w:tblLayout w:type="fixed"/>
        <w:tblCellMar>
          <w:left w:w="62" w:type="dxa"/>
          <w:right w:w="62" w:type="dxa"/>
        </w:tblCellMar>
        <w:tblLook w:val="0000"/>
      </w:tblPr>
      <w:tblGrid>
        <w:gridCol w:w="2614"/>
        <w:gridCol w:w="5908"/>
      </w:tblGrid>
      <w:tr w:rsidTr="007D59E3">
        <w:tblPrEx>
          <w:tblW w:w="0" w:type="auto"/>
          <w:tblLayout w:type="fixed"/>
          <w:tblCellMar>
            <w:left w:w="62" w:type="dxa"/>
            <w:right w:w="62" w:type="dxa"/>
          </w:tblCellMar>
          <w:tblLook w:val="0000"/>
        </w:tblPrEx>
        <w:trPr>
          <w:tblHeader/>
        </w:trPr>
        <w:tc>
          <w:tcPr>
            <w:tcW w:w="2614" w:type="dxa"/>
            <w:tcBorders>
              <w:top w:val="nil"/>
              <w:left w:val="nil"/>
              <w:bottom w:val="nil"/>
              <w:right w:val="nil"/>
            </w:tcBorders>
            <w:tcMar>
              <w:top w:w="0" w:type="dxa"/>
              <w:left w:w="62" w:type="dxa"/>
              <w:bottom w:w="0" w:type="dxa"/>
              <w:right w:w="62" w:type="dxa"/>
            </w:tcMar>
          </w:tcPr>
          <w:p w:rsidR="00000000" w:rsidP="00583D61">
            <w:pPr>
              <w:pStyle w:val="BodyText"/>
              <w:rPr>
                <w:lang w:val="en-NZ"/>
              </w:rPr>
            </w:pPr>
            <w:r w:rsidRPr="00583D61">
              <w:rPr>
                <w:rStyle w:val="SpecialBold"/>
              </w:rPr>
              <w:t>Co-requisite units</w:t>
            </w:r>
          </w:p>
        </w:tc>
        <w:tc>
          <w:tcPr>
            <w:tcW w:w="5908" w:type="dxa"/>
            <w:tcBorders>
              <w:top w:val="nil"/>
              <w:left w:val="nil"/>
              <w:bottom w:val="nil"/>
              <w:right w:val="nil"/>
            </w:tcBorders>
            <w:tcMar>
              <w:top w:w="0" w:type="dxa"/>
              <w:left w:w="62" w:type="dxa"/>
              <w:bottom w:w="0" w:type="dxa"/>
              <w:right w:w="62" w:type="dxa"/>
            </w:tcMar>
          </w:tcPr>
          <w:p w:rsidR="00000000" w:rsidRPr="00583D61" w:rsidP="00583D61">
            <w:pPr>
              <w:pStyle w:val="BodyText"/>
            </w:pPr>
            <w:r w:rsidRPr="00583D61">
              <w:t>Nil</w:t>
            </w:r>
          </w:p>
        </w:tc>
      </w:tr>
    </w:tbl>
    <w:p w:rsidR="007D59E3" w:rsidP="00583D61">
      <w:pPr>
        <w:pStyle w:val="BodyText"/>
      </w:pPr>
    </w:p>
    <w:p w:rsidR="007D59E3" w:rsidP="00583D61">
      <w:pPr>
        <w:pStyle w:val="BodyText"/>
      </w:pPr>
    </w:p>
    <w:p w:rsidR="00000000" w:rsidRPr="00583D61" w:rsidP="00583D61">
      <w:pPr>
        <w:pStyle w:val="Heading1"/>
      </w:pPr>
      <w:bookmarkStart w:id="14" w:name="O_196917"/>
      <w:bookmarkEnd w:id="14"/>
      <w:r w:rsidRPr="00583D61">
        <w:t>Functional area</w:t>
      </w:r>
    </w:p>
    <w:tbl>
      <w:tblPr>
        <w:tblW w:w="0" w:type="auto"/>
        <w:tblLayout w:type="fixed"/>
        <w:tblCellMar>
          <w:left w:w="62" w:type="dxa"/>
          <w:right w:w="62" w:type="dxa"/>
        </w:tblCellMar>
        <w:tblLook w:val="0000"/>
      </w:tblPr>
      <w:tblGrid>
        <w:gridCol w:w="2729"/>
        <w:gridCol w:w="5793"/>
      </w:tblGrid>
      <w:tr w:rsidTr="007D59E3">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583D61">
            <w:pPr>
              <w:pStyle w:val="BodyText"/>
              <w:rPr>
                <w:lang w:val="en-NZ"/>
              </w:rPr>
            </w:pPr>
            <w:r w:rsidRPr="00583D61">
              <w:rPr>
                <w:rStyle w:val="SpecialBold"/>
              </w:rPr>
              <w:t>Functional area</w:t>
            </w:r>
          </w:p>
        </w:tc>
        <w:tc>
          <w:tcPr>
            <w:tcW w:w="5793" w:type="dxa"/>
            <w:tcBorders>
              <w:top w:val="nil"/>
              <w:left w:val="nil"/>
              <w:bottom w:val="nil"/>
              <w:right w:val="nil"/>
            </w:tcBorders>
            <w:tcMar>
              <w:top w:w="0" w:type="dxa"/>
              <w:left w:w="62" w:type="dxa"/>
              <w:bottom w:w="0" w:type="dxa"/>
              <w:right w:w="62" w:type="dxa"/>
            </w:tcMar>
          </w:tcPr>
          <w:p w:rsidR="00000000" w:rsidRPr="00583D61" w:rsidP="00583D61">
            <w:pPr>
              <w:pStyle w:val="BodyText"/>
            </w:pPr>
          </w:p>
        </w:tc>
      </w:tr>
    </w:tbl>
    <w:p w:rsidR="007D59E3" w:rsidP="00583D61">
      <w:pPr>
        <w:pStyle w:val="BodyText"/>
      </w:pPr>
    </w:p>
    <w:p w:rsidR="007D59E3" w:rsidP="00583D61">
      <w:pPr>
        <w:pStyle w:val="BodyText"/>
      </w:pPr>
    </w:p>
    <w:p w:rsidR="00000000" w:rsidRPr="00583D61" w:rsidP="00583D61"/>
    <w:sectPr w:rsidSect="00583D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D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59E3" w:rsidP="007D59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D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9E3" w:rsidP="00583D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D59E3" w:rsidP="00583D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D59E3" w:rsidP="00583D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D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59E3" w:rsidP="007D59E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D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9E3" w:rsidP="00583D61">
    <w:pPr>
      <w:pStyle w:val="Header"/>
      <w:framePr w:wrap="around"/>
    </w:pPr>
    <w:r>
      <w:fldChar w:fldCharType="begin"/>
    </w:r>
    <w:r>
      <w:instrText xml:space="preserve"> TITLE   \* MERGEFORMAT </w:instrText>
    </w:r>
    <w:r>
      <w:fldChar w:fldCharType="separate"/>
    </w:r>
    <w:r>
      <w:t>CPCCBC4039A Undertake the heritage restoration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D59E3" w:rsidP="00583D6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C2B1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7AB1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F639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3D6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83D61"/>
    <w:pPr>
      <w:spacing w:before="360" w:after="60"/>
      <w:outlineLvl w:val="0"/>
    </w:pPr>
    <w:rPr>
      <w:sz w:val="32"/>
    </w:rPr>
  </w:style>
  <w:style w:type="paragraph" w:styleId="Heading2">
    <w:name w:val="heading 2"/>
    <w:basedOn w:val="HeadingBase"/>
    <w:next w:val="BodyText"/>
    <w:link w:val="Heading2Char"/>
    <w:qFormat/>
    <w:rsid w:val="00583D61"/>
    <w:pPr>
      <w:keepLines/>
      <w:spacing w:before="240" w:after="120"/>
      <w:outlineLvl w:val="1"/>
    </w:pPr>
    <w:rPr>
      <w:sz w:val="28"/>
      <w:szCs w:val="40"/>
    </w:rPr>
  </w:style>
  <w:style w:type="paragraph" w:styleId="Heading3">
    <w:name w:val="heading 3"/>
    <w:basedOn w:val="HeadingBase"/>
    <w:next w:val="BodyText"/>
    <w:link w:val="Heading3Char"/>
    <w:qFormat/>
    <w:rsid w:val="00583D61"/>
    <w:pPr>
      <w:spacing w:before="180" w:after="120"/>
      <w:outlineLvl w:val="2"/>
    </w:pPr>
    <w:rPr>
      <w:spacing w:val="-10"/>
      <w:kern w:val="32"/>
    </w:rPr>
  </w:style>
  <w:style w:type="paragraph" w:styleId="Heading4">
    <w:name w:val="heading 4"/>
    <w:basedOn w:val="HeadingBase"/>
    <w:next w:val="BodyText"/>
    <w:link w:val="Heading4Char"/>
    <w:qFormat/>
    <w:rsid w:val="00583D61"/>
    <w:pPr>
      <w:spacing w:before="160" w:after="120"/>
      <w:outlineLvl w:val="3"/>
    </w:pPr>
    <w:rPr>
      <w:sz w:val="22"/>
    </w:rPr>
  </w:style>
  <w:style w:type="paragraph" w:styleId="Heading5">
    <w:name w:val="heading 5"/>
    <w:basedOn w:val="HeadingBase"/>
    <w:next w:val="Normal"/>
    <w:link w:val="Heading5Char"/>
    <w:qFormat/>
    <w:rsid w:val="00583D61"/>
    <w:pPr>
      <w:spacing w:before="80"/>
      <w:outlineLvl w:val="4"/>
    </w:pPr>
    <w:rPr>
      <w:color w:val="918585"/>
      <w:sz w:val="20"/>
    </w:rPr>
  </w:style>
  <w:style w:type="paragraph" w:styleId="Heading6">
    <w:name w:val="heading 6"/>
    <w:basedOn w:val="HeadingBase"/>
    <w:next w:val="Normal"/>
    <w:link w:val="Heading6Char"/>
    <w:qFormat/>
    <w:rsid w:val="00583D61"/>
    <w:pPr>
      <w:spacing w:before="60"/>
      <w:outlineLvl w:val="5"/>
    </w:pPr>
    <w:rPr>
      <w:color w:val="918585"/>
      <w:sz w:val="20"/>
    </w:rPr>
  </w:style>
  <w:style w:type="paragraph" w:styleId="Heading7">
    <w:name w:val="heading 7"/>
    <w:basedOn w:val="Normal"/>
    <w:next w:val="Normal"/>
    <w:link w:val="Heading7Char"/>
    <w:qFormat/>
    <w:rsid w:val="00583D61"/>
    <w:pPr>
      <w:ind w:left="720"/>
      <w:outlineLvl w:val="6"/>
    </w:pPr>
    <w:rPr>
      <w:i/>
    </w:rPr>
  </w:style>
  <w:style w:type="paragraph" w:styleId="Heading8">
    <w:name w:val="heading 8"/>
    <w:basedOn w:val="Normal"/>
    <w:next w:val="Normal"/>
    <w:link w:val="Heading8Char"/>
    <w:qFormat/>
    <w:rsid w:val="00583D61"/>
    <w:pPr>
      <w:ind w:left="720"/>
      <w:outlineLvl w:val="7"/>
    </w:pPr>
    <w:rPr>
      <w:i/>
    </w:rPr>
  </w:style>
  <w:style w:type="paragraph" w:styleId="Heading9">
    <w:name w:val="heading 9"/>
    <w:basedOn w:val="Normal"/>
    <w:next w:val="Normal"/>
    <w:link w:val="Heading9Char"/>
    <w:qFormat/>
    <w:rsid w:val="00583D61"/>
    <w:pPr>
      <w:ind w:left="720"/>
      <w:outlineLvl w:val="8"/>
    </w:pPr>
    <w:rPr>
      <w:i/>
    </w:rPr>
  </w:style>
  <w:style w:type="character" w:default="1" w:styleId="DefaultParagraphFont">
    <w:name w:val="Default Paragraph Font"/>
    <w:uiPriority w:val="1"/>
    <w:unhideWhenUsed/>
    <w:rsid w:val="00583D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3D61"/>
  </w:style>
  <w:style w:type="character" w:customStyle="1" w:styleId="Heading1Char">
    <w:name w:val="Heading 1 Char"/>
    <w:link w:val="Heading1"/>
    <w:rsid w:val="00583D61"/>
    <w:rPr>
      <w:rFonts w:ascii="Times New Roman" w:eastAsia="Times New Roman" w:hAnsi="Times New Roman" w:cs="Times New Roman"/>
      <w:b/>
      <w:sz w:val="32"/>
      <w:szCs w:val="20"/>
      <w:lang w:eastAsia="en-US"/>
    </w:rPr>
  </w:style>
  <w:style w:type="paragraph" w:styleId="BodyText">
    <w:name w:val="Body Text"/>
    <w:basedOn w:val="Normal"/>
    <w:link w:val="BodyTextChar"/>
    <w:rsid w:val="00583D61"/>
    <w:pPr>
      <w:spacing w:before="120" w:after="120"/>
      <w:contextualSpacing/>
    </w:pPr>
    <w:rPr>
      <w:rFonts w:ascii="Times New Roman" w:hAnsi="Times New Roman"/>
      <w:sz w:val="24"/>
      <w:szCs w:val="22"/>
    </w:rPr>
  </w:style>
  <w:style w:type="character" w:customStyle="1" w:styleId="BodyTextChar">
    <w:name w:val="Body Text Char"/>
    <w:link w:val="BodyText"/>
    <w:rsid w:val="00583D61"/>
    <w:rPr>
      <w:rFonts w:ascii="Times New Roman" w:eastAsia="Times New Roman" w:hAnsi="Times New Roman" w:cs="Times New Roman"/>
      <w:sz w:val="24"/>
      <w:lang w:val="en-US" w:eastAsia="en-US"/>
    </w:rPr>
  </w:style>
  <w:style w:type="paragraph" w:styleId="Footer">
    <w:name w:val="footer"/>
    <w:basedOn w:val="Normal"/>
    <w:link w:val="FooterChar"/>
    <w:rsid w:val="00583D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83D61"/>
    <w:rPr>
      <w:rFonts w:ascii="Times New Roman" w:eastAsia="Times New Roman" w:hAnsi="Times New Roman" w:cs="Times New Roman"/>
      <w:sz w:val="16"/>
      <w:lang w:val="en-US" w:eastAsia="en-US"/>
    </w:rPr>
  </w:style>
  <w:style w:type="paragraph" w:styleId="List">
    <w:name w:val="List"/>
    <w:basedOn w:val="BodyText"/>
    <w:next w:val="BodyText"/>
    <w:rsid w:val="00583D61"/>
    <w:pPr>
      <w:tabs>
        <w:tab w:val="left" w:pos="340"/>
      </w:tabs>
      <w:spacing w:before="60" w:after="60"/>
      <w:ind w:left="340" w:hanging="340"/>
    </w:pPr>
  </w:style>
  <w:style w:type="paragraph" w:styleId="ListBullet">
    <w:name w:val="List Bullet"/>
    <w:basedOn w:val="List"/>
    <w:rsid w:val="00583D61"/>
    <w:pPr>
      <w:numPr>
        <w:numId w:val="14"/>
      </w:numPr>
      <w:tabs>
        <w:tab w:val="clear" w:pos="340"/>
      </w:tabs>
      <w:spacing w:before="40" w:after="40"/>
    </w:pPr>
  </w:style>
  <w:style w:type="character" w:customStyle="1" w:styleId="SpecialBold">
    <w:name w:val="Special Bold"/>
    <w:rsid w:val="00583D61"/>
    <w:rPr>
      <w:b/>
      <w:spacing w:val="0"/>
    </w:rPr>
  </w:style>
  <w:style w:type="paragraph" w:styleId="ListBullet2">
    <w:name w:val="List Bullet 2"/>
    <w:basedOn w:val="List2"/>
    <w:rsid w:val="00583D61"/>
    <w:pPr>
      <w:numPr>
        <w:numId w:val="15"/>
      </w:numPr>
      <w:tabs>
        <w:tab w:val="clear" w:pos="680"/>
      </w:tabs>
    </w:pPr>
  </w:style>
  <w:style w:type="paragraph" w:styleId="Header">
    <w:name w:val="header"/>
    <w:basedOn w:val="Normal"/>
    <w:link w:val="HeaderChar"/>
    <w:rsid w:val="00583D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83D6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83D61"/>
    <w:pPr>
      <w:spacing w:before="240" w:after="120"/>
      <w:outlineLvl w:val="0"/>
    </w:pPr>
    <w:rPr>
      <w:rFonts w:ascii="Times New Roman" w:hAnsi="Times New Roman"/>
      <w:b/>
      <w:sz w:val="28"/>
    </w:rPr>
  </w:style>
  <w:style w:type="paragraph" w:customStyle="1" w:styleId="AllowPageBreak">
    <w:name w:val="AllowPageBreak"/>
    <w:rsid w:val="00583D6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83D61"/>
    <w:pPr>
      <w:tabs>
        <w:tab w:val="left" w:pos="680"/>
      </w:tabs>
      <w:spacing w:before="60" w:after="60"/>
      <w:ind w:left="680" w:hanging="340"/>
    </w:pPr>
  </w:style>
  <w:style w:type="paragraph" w:styleId="ListBullet3">
    <w:name w:val="List Bullet 3"/>
    <w:basedOn w:val="List3"/>
    <w:rsid w:val="00583D61"/>
    <w:pPr>
      <w:numPr>
        <w:numId w:val="3"/>
      </w:numPr>
      <w:tabs>
        <w:tab w:val="clear" w:pos="1021"/>
      </w:tabs>
      <w:ind w:left="1037" w:hanging="357"/>
    </w:pPr>
  </w:style>
  <w:style w:type="character" w:customStyle="1" w:styleId="BoldandItalics">
    <w:name w:val="Bold and Italics"/>
    <w:qFormat/>
    <w:rsid w:val="00583D61"/>
    <w:rPr>
      <w:b/>
      <w:i/>
      <w:u w:val="none"/>
    </w:rPr>
  </w:style>
  <w:style w:type="character" w:customStyle="1" w:styleId="Heading2Char">
    <w:name w:val="Heading 2 Char"/>
    <w:link w:val="Heading2"/>
    <w:rsid w:val="00583D61"/>
    <w:rPr>
      <w:rFonts w:ascii="Times New Roman" w:eastAsia="Times New Roman" w:hAnsi="Times New Roman" w:cs="Times New Roman"/>
      <w:b/>
      <w:sz w:val="28"/>
      <w:szCs w:val="40"/>
      <w:lang w:eastAsia="en-US"/>
    </w:rPr>
  </w:style>
  <w:style w:type="character" w:customStyle="1" w:styleId="Heading3Char">
    <w:name w:val="Heading 3 Char"/>
    <w:link w:val="Heading3"/>
    <w:rsid w:val="00583D6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83D61"/>
    <w:rPr>
      <w:rFonts w:ascii="Times New Roman" w:eastAsia="Times New Roman" w:hAnsi="Times New Roman" w:cs="Times New Roman"/>
      <w:b/>
      <w:szCs w:val="20"/>
      <w:lang w:eastAsia="en-US"/>
    </w:rPr>
  </w:style>
  <w:style w:type="character" w:customStyle="1" w:styleId="Heading5Char">
    <w:name w:val="Heading 5 Char"/>
    <w:link w:val="Heading5"/>
    <w:rsid w:val="00583D6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83D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3D6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83D6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83D61"/>
    <w:rPr>
      <w:rFonts w:ascii="Courier New" w:eastAsia="Times New Roman" w:hAnsi="Courier New" w:cs="Times New Roman"/>
      <w:i/>
      <w:szCs w:val="20"/>
      <w:lang w:val="en-US" w:eastAsia="en-US"/>
    </w:rPr>
  </w:style>
  <w:style w:type="paragraph" w:customStyle="1" w:styleId="HeadingBase">
    <w:name w:val="Heading Base"/>
    <w:rsid w:val="00583D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3D61"/>
    <w:pPr>
      <w:tabs>
        <w:tab w:val="right" w:leader="dot" w:pos="9072"/>
      </w:tabs>
      <w:ind w:left="567"/>
    </w:pPr>
    <w:rPr>
      <w:szCs w:val="22"/>
    </w:rPr>
  </w:style>
  <w:style w:type="paragraph" w:customStyle="1" w:styleId="TOCBase">
    <w:name w:val="TOC Base"/>
    <w:rsid w:val="00583D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3D61"/>
    <w:pPr>
      <w:tabs>
        <w:tab w:val="right" w:leader="dot" w:pos="9072"/>
      </w:tabs>
      <w:spacing w:before="40" w:after="40"/>
      <w:ind w:left="284"/>
    </w:pPr>
    <w:rPr>
      <w:rFonts w:ascii="Times New Roman" w:hAnsi="Times New Roman"/>
    </w:rPr>
  </w:style>
  <w:style w:type="paragraph" w:styleId="TOC1">
    <w:name w:val="toc 1"/>
    <w:basedOn w:val="TOCBase"/>
    <w:next w:val="Normal"/>
    <w:rsid w:val="00583D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3D61"/>
    <w:pPr>
      <w:spacing w:before="5040"/>
      <w:jc w:val="center"/>
    </w:pPr>
    <w:rPr>
      <w:sz w:val="48"/>
      <w:szCs w:val="72"/>
      <w:lang w:val="en-US"/>
    </w:rPr>
  </w:style>
  <w:style w:type="character" w:customStyle="1" w:styleId="TitleChar">
    <w:name w:val="Title Char"/>
    <w:link w:val="Title"/>
    <w:rsid w:val="00583D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3D61"/>
    <w:pPr>
      <w:tabs>
        <w:tab w:val="left" w:pos="3600"/>
        <w:tab w:val="left" w:pos="3958"/>
      </w:tabs>
    </w:pPr>
  </w:style>
  <w:style w:type="paragraph" w:customStyle="1" w:styleId="Note">
    <w:name w:val="Note"/>
    <w:basedOn w:val="BodyText"/>
    <w:rsid w:val="00583D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3D61"/>
    <w:pPr>
      <w:framePr w:wrap="auto" w:hAnchor="text" w:y="6049"/>
    </w:pPr>
    <w:rPr>
      <w:color w:val="000000"/>
      <w:sz w:val="40"/>
    </w:rPr>
  </w:style>
  <w:style w:type="paragraph" w:customStyle="1" w:styleId="TOCTitle">
    <w:name w:val="TOCTitle"/>
    <w:basedOn w:val="Heading1"/>
    <w:rsid w:val="00583D61"/>
    <w:pPr>
      <w:spacing w:after="240"/>
      <w:jc w:val="center"/>
      <w:outlineLvl w:val="9"/>
    </w:pPr>
    <w:rPr>
      <w:caps/>
    </w:rPr>
  </w:style>
  <w:style w:type="paragraph" w:customStyle="1" w:styleId="Version">
    <w:name w:val="Version"/>
    <w:rsid w:val="00583D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3D61"/>
    <w:pPr>
      <w:keepNext w:val="0"/>
      <w:tabs>
        <w:tab w:val="right" w:pos="4176"/>
      </w:tabs>
      <w:ind w:left="198" w:hanging="198"/>
    </w:pPr>
    <w:rPr>
      <w:rFonts w:ascii="Garamond" w:hAnsi="Garamond"/>
    </w:rPr>
  </w:style>
  <w:style w:type="paragraph" w:styleId="IndexHeading">
    <w:name w:val="index heading"/>
    <w:basedOn w:val="Normal"/>
    <w:next w:val="Index1"/>
    <w:semiHidden/>
    <w:rsid w:val="00583D61"/>
    <w:pPr>
      <w:spacing w:before="120" w:after="120"/>
    </w:pPr>
    <w:rPr>
      <w:rFonts w:ascii="Arial" w:hAnsi="Arial"/>
      <w:b/>
      <w:color w:val="918585"/>
      <w:sz w:val="24"/>
    </w:rPr>
  </w:style>
  <w:style w:type="paragraph" w:customStyle="1" w:styleId="Chapter">
    <w:name w:val="Chapter"/>
    <w:basedOn w:val="Normal"/>
    <w:rsid w:val="00583D61"/>
    <w:pPr>
      <w:spacing w:before="240"/>
    </w:pPr>
    <w:rPr>
      <w:rFonts w:ascii="Times New Roman" w:hAnsi="Times New Roman"/>
      <w:smallCaps/>
      <w:spacing w:val="80"/>
      <w:sz w:val="28"/>
    </w:rPr>
  </w:style>
  <w:style w:type="paragraph" w:customStyle="1" w:styleId="InChapter">
    <w:name w:val="InChapter"/>
    <w:basedOn w:val="Heading3"/>
    <w:rsid w:val="00583D61"/>
    <w:pPr>
      <w:spacing w:after="240"/>
      <w:outlineLvl w:val="9"/>
    </w:pPr>
    <w:rPr>
      <w:noProof/>
    </w:rPr>
  </w:style>
  <w:style w:type="paragraph" w:styleId="Index2">
    <w:name w:val="index 2"/>
    <w:basedOn w:val="Normal"/>
    <w:next w:val="Normal"/>
    <w:semiHidden/>
    <w:rsid w:val="00583D61"/>
    <w:pPr>
      <w:tabs>
        <w:tab w:val="right" w:pos="4176"/>
      </w:tabs>
      <w:ind w:left="568" w:hanging="284"/>
    </w:pPr>
    <w:rPr>
      <w:rFonts w:ascii="Garamond" w:hAnsi="Garamond"/>
    </w:rPr>
  </w:style>
  <w:style w:type="paragraph" w:customStyle="1" w:styleId="Byline">
    <w:name w:val="Byline"/>
    <w:rsid w:val="00583D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3D61"/>
    <w:pPr>
      <w:tabs>
        <w:tab w:val="clear" w:pos="3600"/>
        <w:tab w:val="clear" w:pos="3958"/>
      </w:tabs>
      <w:jc w:val="right"/>
    </w:pPr>
  </w:style>
  <w:style w:type="character" w:styleId="Emphasis">
    <w:name w:val="Emphasis"/>
    <w:qFormat/>
    <w:rsid w:val="00583D61"/>
    <w:rPr>
      <w:i/>
    </w:rPr>
  </w:style>
  <w:style w:type="paragraph" w:styleId="Caption">
    <w:name w:val="caption"/>
    <w:basedOn w:val="BodyText"/>
    <w:next w:val="Normal"/>
    <w:qFormat/>
    <w:rsid w:val="00583D61"/>
    <w:pPr>
      <w:framePr w:w="2268" w:hSpace="181" w:vSpace="181" w:wrap="around" w:vAnchor="text" w:hAnchor="page" w:x="1135" w:y="285" w:anchorLock="1"/>
    </w:pPr>
    <w:rPr>
      <w:i/>
    </w:rPr>
  </w:style>
  <w:style w:type="paragraph" w:customStyle="1" w:styleId="MiniTOCTitle">
    <w:name w:val="MiniTOCTitle"/>
    <w:basedOn w:val="Heading4"/>
    <w:rsid w:val="00583D61"/>
    <w:pPr>
      <w:spacing w:before="240"/>
      <w:outlineLvl w:val="9"/>
    </w:pPr>
    <w:rPr>
      <w:noProof/>
      <w:sz w:val="24"/>
    </w:rPr>
  </w:style>
  <w:style w:type="paragraph" w:customStyle="1" w:styleId="MiniTOCItem">
    <w:name w:val="MiniTOCItem"/>
    <w:basedOn w:val="ListBullet"/>
    <w:rsid w:val="00583D61"/>
    <w:pPr>
      <w:numPr>
        <w:numId w:val="0"/>
      </w:numPr>
      <w:tabs>
        <w:tab w:val="right" w:leader="dot" w:pos="6521"/>
      </w:tabs>
      <w:spacing w:before="0" w:after="0"/>
    </w:pPr>
  </w:style>
  <w:style w:type="paragraph" w:customStyle="1" w:styleId="TOFTitle">
    <w:name w:val="TOFTitle"/>
    <w:basedOn w:val="TOCTitle"/>
    <w:rsid w:val="00583D61"/>
  </w:style>
  <w:style w:type="paragraph" w:styleId="TableofFigures">
    <w:name w:val="table of figures"/>
    <w:basedOn w:val="Normal"/>
    <w:next w:val="Normal"/>
    <w:semiHidden/>
    <w:rsid w:val="00583D61"/>
    <w:pPr>
      <w:tabs>
        <w:tab w:val="right" w:leader="dot" w:pos="9072"/>
      </w:tabs>
      <w:ind w:left="970" w:hanging="403"/>
    </w:pPr>
    <w:rPr>
      <w:rFonts w:ascii="Times New Roman" w:hAnsi="Times New Roman"/>
      <w:b/>
    </w:rPr>
  </w:style>
  <w:style w:type="paragraph" w:styleId="ListNumber">
    <w:name w:val="List Number"/>
    <w:basedOn w:val="List"/>
    <w:rsid w:val="00583D61"/>
    <w:pPr>
      <w:numPr>
        <w:numId w:val="12"/>
      </w:numPr>
    </w:pPr>
  </w:style>
  <w:style w:type="character" w:customStyle="1" w:styleId="WingdingSymbols">
    <w:name w:val="Wingding Symbols"/>
    <w:rsid w:val="00583D61"/>
    <w:rPr>
      <w:rFonts w:ascii="Wingdings" w:hAnsi="Wingdings"/>
    </w:rPr>
  </w:style>
  <w:style w:type="paragraph" w:customStyle="1" w:styleId="TableHeading">
    <w:name w:val="Table Heading"/>
    <w:basedOn w:val="HeadingBase"/>
    <w:rsid w:val="00583D61"/>
    <w:pPr>
      <w:keepLines/>
      <w:pBdr>
        <w:bottom w:val="single" w:sz="6" w:space="1" w:color="918585"/>
      </w:pBdr>
      <w:spacing w:before="240"/>
    </w:pPr>
  </w:style>
  <w:style w:type="character" w:customStyle="1" w:styleId="HotSpot">
    <w:name w:val="HotSpot"/>
    <w:rsid w:val="00583D61"/>
    <w:rPr>
      <w:color w:val="0033CC"/>
      <w:u w:val="none"/>
    </w:rPr>
  </w:style>
  <w:style w:type="paragraph" w:customStyle="1" w:styleId="BodyTextRight">
    <w:name w:val="Body Text Right"/>
    <w:basedOn w:val="BodyText"/>
    <w:rsid w:val="00583D61"/>
    <w:pPr>
      <w:spacing w:before="0" w:after="0"/>
      <w:jc w:val="right"/>
    </w:pPr>
  </w:style>
  <w:style w:type="paragraph" w:styleId="Index3">
    <w:name w:val="index 3"/>
    <w:basedOn w:val="ListNumber2"/>
    <w:next w:val="Normal"/>
    <w:semiHidden/>
    <w:rsid w:val="00583D61"/>
    <w:pPr>
      <w:numPr>
        <w:numId w:val="0"/>
      </w:numPr>
      <w:tabs>
        <w:tab w:val="right" w:leader="dot" w:pos="4176"/>
      </w:tabs>
    </w:pPr>
  </w:style>
  <w:style w:type="paragraph" w:styleId="ListNumber2">
    <w:name w:val="List Number 2"/>
    <w:basedOn w:val="List2"/>
    <w:rsid w:val="00583D61"/>
    <w:pPr>
      <w:numPr>
        <w:numId w:val="11"/>
      </w:numPr>
      <w:tabs>
        <w:tab w:val="clear" w:pos="1060"/>
      </w:tabs>
    </w:pPr>
  </w:style>
  <w:style w:type="paragraph" w:customStyle="1" w:styleId="MarginNote">
    <w:name w:val="Margin Note"/>
    <w:basedOn w:val="BodyText"/>
    <w:rsid w:val="00583D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3D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83D6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83D61"/>
    <w:rPr>
      <w:sz w:val="32"/>
    </w:rPr>
  </w:style>
  <w:style w:type="paragraph" w:customStyle="1" w:styleId="HeadingProcedure">
    <w:name w:val="Heading Procedure"/>
    <w:basedOn w:val="HeadingBase"/>
    <w:next w:val="Normal"/>
    <w:rsid w:val="00583D61"/>
    <w:pPr>
      <w:tabs>
        <w:tab w:val="left" w:pos="0"/>
      </w:tabs>
      <w:spacing w:before="120" w:after="60"/>
    </w:pPr>
    <w:rPr>
      <w:i/>
      <w:color w:val="918585"/>
      <w:sz w:val="22"/>
    </w:rPr>
  </w:style>
  <w:style w:type="paragraph" w:customStyle="1" w:styleId="TableBodyText">
    <w:name w:val="Table Body Text"/>
    <w:basedOn w:val="BodyText"/>
    <w:rsid w:val="00583D61"/>
    <w:pPr>
      <w:spacing w:before="60" w:after="60"/>
    </w:pPr>
  </w:style>
  <w:style w:type="paragraph" w:styleId="ListContinue">
    <w:name w:val="List Continue"/>
    <w:basedOn w:val="List"/>
    <w:rsid w:val="00583D61"/>
    <w:pPr>
      <w:ind w:firstLine="0"/>
    </w:pPr>
  </w:style>
  <w:style w:type="paragraph" w:customStyle="1" w:styleId="ListNote">
    <w:name w:val="List Note"/>
    <w:basedOn w:val="List"/>
    <w:rsid w:val="00583D61"/>
    <w:pPr>
      <w:pBdr>
        <w:top w:val="single" w:sz="6" w:space="2" w:color="918585"/>
        <w:bottom w:val="single" w:sz="6" w:space="2" w:color="918585"/>
      </w:pBdr>
      <w:tabs>
        <w:tab w:val="left" w:pos="1021"/>
      </w:tabs>
      <w:ind w:firstLine="0"/>
    </w:pPr>
  </w:style>
  <w:style w:type="paragraph" w:customStyle="1" w:styleId="Warning">
    <w:name w:val="Warning"/>
    <w:basedOn w:val="BodyText"/>
    <w:rsid w:val="00583D61"/>
    <w:pPr>
      <w:shd w:val="clear" w:color="auto" w:fill="D9D9D9"/>
      <w:tabs>
        <w:tab w:val="left" w:pos="992"/>
      </w:tabs>
      <w:ind w:left="119" w:right="119"/>
    </w:pPr>
    <w:rPr>
      <w:sz w:val="20"/>
    </w:rPr>
  </w:style>
  <w:style w:type="paragraph" w:customStyle="1" w:styleId="MarginIcons">
    <w:name w:val="Margin Icons"/>
    <w:basedOn w:val="BodyText"/>
    <w:rsid w:val="00583D6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83D61"/>
    <w:rPr>
      <w:rFonts w:ascii="Courier New" w:hAnsi="Courier New"/>
    </w:rPr>
  </w:style>
  <w:style w:type="paragraph" w:customStyle="1" w:styleId="NoteBullet">
    <w:name w:val="Note Bullet"/>
    <w:basedOn w:val="Note"/>
    <w:rsid w:val="00583D61"/>
    <w:pPr>
      <w:tabs>
        <w:tab w:val="clear" w:pos="680"/>
      </w:tabs>
      <w:spacing w:before="60" w:after="60"/>
    </w:pPr>
  </w:style>
  <w:style w:type="paragraph" w:customStyle="1" w:styleId="SubHeading2">
    <w:name w:val="SubHeading2"/>
    <w:basedOn w:val="HeadingBase"/>
    <w:rsid w:val="00583D61"/>
    <w:pPr>
      <w:spacing w:before="240" w:after="60"/>
    </w:pPr>
    <w:rPr>
      <w:sz w:val="20"/>
    </w:rPr>
  </w:style>
  <w:style w:type="paragraph" w:customStyle="1" w:styleId="SubHeading1">
    <w:name w:val="SubHeading1"/>
    <w:basedOn w:val="HeadingBase"/>
    <w:rsid w:val="00583D61"/>
    <w:pPr>
      <w:spacing w:before="240" w:after="60"/>
    </w:pPr>
    <w:rPr>
      <w:color w:val="918585"/>
      <w:sz w:val="22"/>
    </w:rPr>
  </w:style>
  <w:style w:type="paragraph" w:customStyle="1" w:styleId="SideHeading">
    <w:name w:val="Side Heading"/>
    <w:basedOn w:val="HeadingBase"/>
    <w:rsid w:val="00583D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3D61"/>
    <w:pPr>
      <w:numPr>
        <w:numId w:val="13"/>
      </w:numPr>
    </w:pPr>
  </w:style>
  <w:style w:type="paragraph" w:styleId="PlainText">
    <w:name w:val="Plain Text"/>
    <w:basedOn w:val="Normal"/>
    <w:link w:val="PlainTextChar"/>
    <w:rsid w:val="00583D61"/>
    <w:rPr>
      <w:sz w:val="20"/>
    </w:rPr>
  </w:style>
  <w:style w:type="character" w:customStyle="1" w:styleId="PlainTextChar">
    <w:name w:val="Plain Text Char"/>
    <w:basedOn w:val="DefaultParagraphFont"/>
    <w:link w:val="PlainText"/>
    <w:rsid w:val="00583D61"/>
    <w:rPr>
      <w:rFonts w:ascii="Courier New" w:eastAsia="Times New Roman" w:hAnsi="Courier New" w:cs="Times New Roman"/>
      <w:sz w:val="20"/>
      <w:szCs w:val="20"/>
      <w:lang w:val="en-US" w:eastAsia="en-US"/>
    </w:rPr>
  </w:style>
  <w:style w:type="character" w:customStyle="1" w:styleId="MenuOption">
    <w:name w:val="Menu Option"/>
    <w:rsid w:val="00583D61"/>
    <w:rPr>
      <w:b/>
      <w:smallCaps/>
    </w:rPr>
  </w:style>
  <w:style w:type="paragraph" w:customStyle="1" w:styleId="TableListNumber">
    <w:name w:val="Table List Number"/>
    <w:basedOn w:val="ListNumber"/>
    <w:rsid w:val="00583D61"/>
    <w:pPr>
      <w:numPr>
        <w:numId w:val="0"/>
      </w:numPr>
    </w:pPr>
  </w:style>
  <w:style w:type="paragraph" w:styleId="TOC4">
    <w:name w:val="toc 4"/>
    <w:basedOn w:val="TOCBase"/>
    <w:next w:val="Normal"/>
    <w:semiHidden/>
    <w:rsid w:val="00583D61"/>
    <w:pPr>
      <w:tabs>
        <w:tab w:val="right" w:leader="dot" w:pos="9071"/>
      </w:tabs>
      <w:ind w:left="1701"/>
    </w:pPr>
  </w:style>
  <w:style w:type="paragraph" w:customStyle="1" w:styleId="ListAlpha">
    <w:name w:val="List Alpha"/>
    <w:basedOn w:val="List"/>
    <w:rsid w:val="00583D61"/>
    <w:pPr>
      <w:numPr>
        <w:numId w:val="10"/>
      </w:numPr>
    </w:pPr>
  </w:style>
  <w:style w:type="paragraph" w:customStyle="1" w:styleId="ListAlpha2">
    <w:name w:val="List Alpha 2"/>
    <w:basedOn w:val="List2"/>
    <w:rsid w:val="00583D61"/>
    <w:pPr>
      <w:numPr>
        <w:numId w:val="9"/>
      </w:numPr>
    </w:pPr>
  </w:style>
  <w:style w:type="paragraph" w:styleId="List3">
    <w:name w:val="List 3"/>
    <w:basedOn w:val="BodyText"/>
    <w:rsid w:val="00583D61"/>
    <w:pPr>
      <w:tabs>
        <w:tab w:val="left" w:pos="1021"/>
      </w:tabs>
      <w:spacing w:before="60" w:after="60"/>
      <w:ind w:left="1020" w:hanging="340"/>
    </w:pPr>
  </w:style>
  <w:style w:type="paragraph" w:styleId="List4">
    <w:name w:val="List 4"/>
    <w:basedOn w:val="BodyText"/>
    <w:rsid w:val="00583D61"/>
    <w:pPr>
      <w:tabs>
        <w:tab w:val="left" w:pos="1361"/>
      </w:tabs>
      <w:spacing w:before="60" w:after="60"/>
      <w:ind w:left="1361" w:hanging="340"/>
    </w:pPr>
  </w:style>
  <w:style w:type="paragraph" w:styleId="List5">
    <w:name w:val="List 5"/>
    <w:basedOn w:val="BodyText"/>
    <w:rsid w:val="00583D61"/>
    <w:pPr>
      <w:tabs>
        <w:tab w:val="left" w:pos="1701"/>
      </w:tabs>
      <w:spacing w:before="60" w:after="60"/>
      <w:ind w:left="1701" w:hanging="340"/>
    </w:pPr>
  </w:style>
  <w:style w:type="paragraph" w:styleId="ListBullet4">
    <w:name w:val="List Bullet 4"/>
    <w:basedOn w:val="List4"/>
    <w:rsid w:val="00583D61"/>
    <w:pPr>
      <w:numPr>
        <w:numId w:val="4"/>
      </w:numPr>
    </w:pPr>
  </w:style>
  <w:style w:type="paragraph" w:styleId="ListBullet5">
    <w:name w:val="List Bullet 5"/>
    <w:basedOn w:val="List5"/>
    <w:rsid w:val="00583D61"/>
    <w:pPr>
      <w:numPr>
        <w:numId w:val="5"/>
      </w:numPr>
    </w:pPr>
  </w:style>
  <w:style w:type="paragraph" w:styleId="ListContinue2">
    <w:name w:val="List Continue 2"/>
    <w:basedOn w:val="List2"/>
    <w:rsid w:val="00583D61"/>
    <w:pPr>
      <w:ind w:firstLine="0"/>
    </w:pPr>
  </w:style>
  <w:style w:type="paragraph" w:styleId="ListContinue3">
    <w:name w:val="List Continue 3"/>
    <w:basedOn w:val="List3"/>
    <w:rsid w:val="00583D61"/>
    <w:pPr>
      <w:ind w:left="1021" w:firstLine="0"/>
    </w:pPr>
  </w:style>
  <w:style w:type="paragraph" w:styleId="ListContinue4">
    <w:name w:val="List Continue 4"/>
    <w:basedOn w:val="List4"/>
    <w:rsid w:val="00583D61"/>
    <w:pPr>
      <w:ind w:firstLine="0"/>
    </w:pPr>
  </w:style>
  <w:style w:type="paragraph" w:styleId="ListContinue5">
    <w:name w:val="List Continue 5"/>
    <w:basedOn w:val="List5"/>
    <w:rsid w:val="00583D61"/>
    <w:pPr>
      <w:ind w:firstLine="0"/>
    </w:pPr>
  </w:style>
  <w:style w:type="paragraph" w:styleId="ListNumber3">
    <w:name w:val="List Number 3"/>
    <w:basedOn w:val="List3"/>
    <w:rsid w:val="00583D61"/>
    <w:pPr>
      <w:numPr>
        <w:numId w:val="6"/>
      </w:numPr>
    </w:pPr>
  </w:style>
  <w:style w:type="paragraph" w:styleId="ListNumber4">
    <w:name w:val="List Number 4"/>
    <w:basedOn w:val="List4"/>
    <w:rsid w:val="00583D61"/>
    <w:pPr>
      <w:numPr>
        <w:numId w:val="7"/>
      </w:numPr>
    </w:pPr>
  </w:style>
  <w:style w:type="paragraph" w:styleId="ListNumber5">
    <w:name w:val="List Number 5"/>
    <w:basedOn w:val="List5"/>
    <w:rsid w:val="00583D61"/>
    <w:pPr>
      <w:numPr>
        <w:numId w:val="8"/>
      </w:numPr>
    </w:pPr>
  </w:style>
  <w:style w:type="paragraph" w:styleId="BlockText">
    <w:name w:val="Block Text"/>
    <w:basedOn w:val="Normal"/>
    <w:rsid w:val="00583D61"/>
    <w:pPr>
      <w:spacing w:after="120"/>
      <w:ind w:left="1440" w:right="1440"/>
    </w:pPr>
  </w:style>
  <w:style w:type="character" w:customStyle="1" w:styleId="Subscript">
    <w:name w:val="Subscript"/>
    <w:rsid w:val="00583D61"/>
    <w:rPr>
      <w:sz w:val="16"/>
      <w:vertAlign w:val="subscript"/>
    </w:rPr>
  </w:style>
  <w:style w:type="character" w:customStyle="1" w:styleId="Superscript">
    <w:name w:val="Superscript"/>
    <w:rsid w:val="00583D61"/>
    <w:rPr>
      <w:sz w:val="16"/>
      <w:vertAlign w:val="superscript"/>
    </w:rPr>
  </w:style>
  <w:style w:type="character" w:customStyle="1" w:styleId="Symbols">
    <w:name w:val="Symbols"/>
    <w:rsid w:val="00583D61"/>
    <w:rPr>
      <w:rFonts w:ascii="Symbol" w:hAnsi="Symbol"/>
    </w:rPr>
  </w:style>
  <w:style w:type="character" w:customStyle="1" w:styleId="MenuOptions">
    <w:name w:val="Menu Options"/>
    <w:rsid w:val="00583D61"/>
    <w:rPr>
      <w:rFonts w:ascii="Arial Narrow" w:hAnsi="Arial Narrow"/>
      <w:smallCaps/>
    </w:rPr>
  </w:style>
  <w:style w:type="character" w:customStyle="1" w:styleId="Buttons">
    <w:name w:val="Buttons"/>
    <w:rsid w:val="00583D61"/>
    <w:rPr>
      <w:b/>
    </w:rPr>
  </w:style>
  <w:style w:type="character" w:customStyle="1" w:styleId="Underlined">
    <w:name w:val="Underlined"/>
    <w:rsid w:val="00583D61"/>
    <w:rPr>
      <w:u w:val="single"/>
    </w:rPr>
  </w:style>
  <w:style w:type="paragraph" w:customStyle="1" w:styleId="TableBodyTextRight">
    <w:name w:val="Table Body Text Right"/>
    <w:basedOn w:val="TableBodyText"/>
    <w:rsid w:val="00583D61"/>
    <w:pPr>
      <w:widowControl w:val="0"/>
      <w:autoSpaceDE w:val="0"/>
      <w:autoSpaceDN w:val="0"/>
      <w:adjustRightInd w:val="0"/>
      <w:jc w:val="right"/>
    </w:pPr>
    <w:rPr>
      <w:rFonts w:cs="Arial"/>
      <w:szCs w:val="18"/>
    </w:rPr>
  </w:style>
  <w:style w:type="paragraph" w:customStyle="1" w:styleId="CopyrightText">
    <w:name w:val="Copyright Text"/>
    <w:basedOn w:val="BodyText"/>
    <w:rsid w:val="00583D61"/>
    <w:rPr>
      <w:sz w:val="18"/>
    </w:rPr>
  </w:style>
  <w:style w:type="paragraph" w:customStyle="1" w:styleId="BodySmallRight">
    <w:name w:val="Body Small Right"/>
    <w:basedOn w:val="BodyTextRight"/>
    <w:rsid w:val="00583D61"/>
    <w:rPr>
      <w:sz w:val="18"/>
      <w:szCs w:val="18"/>
    </w:rPr>
  </w:style>
  <w:style w:type="paragraph" w:customStyle="1" w:styleId="MarginEdition">
    <w:name w:val="Margin Edition"/>
    <w:basedOn w:val="MarginNote"/>
    <w:rsid w:val="00583D61"/>
    <w:pPr>
      <w:spacing w:before="0" w:after="0"/>
    </w:pPr>
    <w:rPr>
      <w:rFonts w:ascii="Times New Roman" w:hAnsi="Times New Roman"/>
      <w:color w:val="999999"/>
    </w:rPr>
  </w:style>
  <w:style w:type="paragraph" w:customStyle="1" w:styleId="Spacer">
    <w:name w:val="Spacer"/>
    <w:basedOn w:val="Normal"/>
    <w:rsid w:val="00583D61"/>
    <w:rPr>
      <w:sz w:val="2"/>
      <w:szCs w:val="2"/>
    </w:rPr>
  </w:style>
  <w:style w:type="character" w:customStyle="1" w:styleId="Small">
    <w:name w:val="Small"/>
    <w:rsid w:val="00583D61"/>
    <w:rPr>
      <w:sz w:val="16"/>
    </w:rPr>
  </w:style>
  <w:style w:type="paragraph" w:customStyle="1" w:styleId="WideTable">
    <w:name w:val="Wide Table"/>
    <w:basedOn w:val="Normal"/>
    <w:rsid w:val="00583D61"/>
    <w:pPr>
      <w:ind w:left="-1418"/>
    </w:pPr>
    <w:rPr>
      <w:sz w:val="2"/>
      <w:szCs w:val="2"/>
    </w:rPr>
  </w:style>
  <w:style w:type="character" w:styleId="PageNumber">
    <w:name w:val="page number"/>
    <w:rsid w:val="00583D61"/>
  </w:style>
  <w:style w:type="paragraph" w:styleId="Quote">
    <w:name w:val="Quote"/>
    <w:basedOn w:val="Heading1"/>
    <w:link w:val="QuoteChar"/>
    <w:qFormat/>
    <w:rsid w:val="00583D61"/>
    <w:rPr>
      <w:b w:val="0"/>
      <w:sz w:val="72"/>
      <w:szCs w:val="72"/>
      <w:lang w:val="en-NZ"/>
    </w:rPr>
  </w:style>
  <w:style w:type="character" w:customStyle="1" w:styleId="QuoteChar">
    <w:name w:val="Quote Char"/>
    <w:link w:val="Quote"/>
    <w:rsid w:val="00583D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3D61"/>
    <w:pPr>
      <w:pageBreakBefore/>
    </w:pPr>
  </w:style>
  <w:style w:type="paragraph" w:customStyle="1" w:styleId="Border">
    <w:name w:val="Border"/>
    <w:basedOn w:val="Normal"/>
    <w:qFormat/>
    <w:rsid w:val="00583D61"/>
    <w:pPr>
      <w:pBdr>
        <w:top w:val="single" w:sz="18" w:space="1" w:color="auto"/>
      </w:pBdr>
    </w:pPr>
    <w:rPr>
      <w:rFonts w:ascii="Times New Roman" w:hAnsi="Times New Roman"/>
      <w:color w:val="FFFFFF"/>
      <w:sz w:val="2"/>
    </w:rPr>
  </w:style>
  <w:style w:type="character" w:styleId="IntenseEmphasis">
    <w:name w:val="Intense Emphasis"/>
    <w:uiPriority w:val="21"/>
    <w:qFormat/>
    <w:rsid w:val="00583D61"/>
    <w:rPr>
      <w:b/>
      <w:bCs/>
      <w:i/>
      <w:iCs/>
      <w:color w:val="auto"/>
    </w:rPr>
  </w:style>
  <w:style w:type="paragraph" w:styleId="IntenseQuote">
    <w:name w:val="Intense Quote"/>
    <w:basedOn w:val="Normal"/>
    <w:next w:val="Normal"/>
    <w:link w:val="IntenseQuoteChar"/>
    <w:uiPriority w:val="30"/>
    <w:qFormat/>
    <w:rsid w:val="00583D6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83D61"/>
    <w:rPr>
      <w:rFonts w:ascii="Courier New" w:eastAsia="Times New Roman" w:hAnsi="Courier New" w:cs="Times New Roman"/>
      <w:b/>
      <w:bCs/>
      <w:i/>
      <w:iCs/>
      <w:szCs w:val="20"/>
      <w:lang w:val="en-US" w:eastAsia="en-US"/>
    </w:rPr>
  </w:style>
  <w:style w:type="character" w:styleId="SubtleReference">
    <w:name w:val="Subtle Reference"/>
    <w:uiPriority w:val="31"/>
    <w:qFormat/>
    <w:rsid w:val="00583D61"/>
    <w:rPr>
      <w:smallCaps/>
      <w:color w:val="auto"/>
      <w:u w:val="single"/>
    </w:rPr>
  </w:style>
  <w:style w:type="character" w:styleId="IntenseReference">
    <w:name w:val="Intense Reference"/>
    <w:uiPriority w:val="32"/>
    <w:qFormat/>
    <w:rsid w:val="00583D61"/>
    <w:rPr>
      <w:b/>
      <w:bCs/>
      <w:smallCaps/>
      <w:color w:val="auto"/>
      <w:spacing w:val="5"/>
      <w:u w:val="single"/>
    </w:rPr>
  </w:style>
  <w:style w:type="paragraph" w:customStyle="1" w:styleId="2ColumnHeading">
    <w:name w:val="2Column Heading"/>
    <w:basedOn w:val="BodyText"/>
    <w:qFormat/>
    <w:rsid w:val="00583D61"/>
    <w:pPr>
      <w:spacing w:after="60"/>
      <w:ind w:left="-2268"/>
    </w:pPr>
    <w:rPr>
      <w:b/>
    </w:rPr>
  </w:style>
  <w:style w:type="paragraph" w:customStyle="1" w:styleId="Heading1TOC">
    <w:name w:val="Heading1 TOC"/>
    <w:basedOn w:val="Normal"/>
    <w:qFormat/>
    <w:rsid w:val="00583D61"/>
    <w:pPr>
      <w:spacing w:before="240" w:after="120"/>
    </w:pPr>
    <w:rPr>
      <w:rFonts w:ascii="Times New Roman" w:hAnsi="Times New Roman"/>
      <w:b/>
      <w:sz w:val="32"/>
    </w:rPr>
  </w:style>
  <w:style w:type="paragraph" w:customStyle="1" w:styleId="Heading2TOC">
    <w:name w:val="Heading2 TOC"/>
    <w:basedOn w:val="Normal"/>
    <w:qFormat/>
    <w:rsid w:val="00583D61"/>
    <w:pPr>
      <w:spacing w:before="240" w:after="60"/>
    </w:pPr>
    <w:rPr>
      <w:rFonts w:ascii="Times New Roman" w:hAnsi="Times New Roman"/>
      <w:b/>
      <w:sz w:val="28"/>
    </w:rPr>
  </w:style>
  <w:style w:type="character" w:customStyle="1" w:styleId="Underline">
    <w:name w:val="Underline"/>
    <w:qFormat/>
    <w:rsid w:val="00583D61"/>
    <w:rPr>
      <w:u w:val="single"/>
    </w:rPr>
  </w:style>
  <w:style w:type="paragraph" w:styleId="BalloonText">
    <w:name w:val="Balloon Text"/>
    <w:basedOn w:val="Normal"/>
    <w:link w:val="BalloonTextChar"/>
    <w:rsid w:val="00583D61"/>
    <w:rPr>
      <w:rFonts w:ascii="Tahoma" w:hAnsi="Tahoma" w:cs="Tahoma"/>
      <w:sz w:val="16"/>
      <w:szCs w:val="16"/>
    </w:rPr>
  </w:style>
  <w:style w:type="character" w:customStyle="1" w:styleId="BalloonTextChar">
    <w:name w:val="Balloon Text Char"/>
    <w:link w:val="BalloonText"/>
    <w:rsid w:val="00583D6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83D6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83D6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1385</Words>
  <Characters>8795</Characters>
  <Application>Microsoft Office Word</Application>
  <DocSecurity>0</DocSecurity>
  <Lines>294</Lines>
  <Paragraphs>128</Paragraphs>
  <ScaleCrop>false</ScaleCrop>
  <Company>Author-it Software Corporation Ltd.</Company>
  <LinksUpToDate>false</LinksUpToDate>
  <CharactersWithSpaces>10107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CPCCBC4039A Undertake the heritage restoration process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2012-05-26T05:18:00Z</dcterms:created>
  <dcterms:modified xsi:type="dcterms:W3CDTF">2012-05-26T05:18:00Z</dcterms:modified>
</cp:coreProperties>
</file>