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072F8" w:rsidP="004072F8">
      <w:pPr>
        <w:pStyle w:val="Title"/>
      </w:pPr>
      <w:r>
        <w:fldChar w:fldCharType="begin"/>
      </w:r>
      <w:r>
        <w:instrText xml:space="preserve"> TITLE   \* MERGEFORMAT </w:instrText>
      </w:r>
      <w:r>
        <w:fldChar w:fldCharType="separate"/>
      </w:r>
      <w:r>
        <w:t>CPCCBC4036A Prepare to undertake the heritage restoration process</w:t>
      </w:r>
      <w:r>
        <w:fldChar w:fldCharType="end"/>
      </w:r>
    </w:p>
    <w:p w:rsidR="004072F8" w:rsidP="004072F8">
      <w:pPr>
        <w:pStyle w:val="Version"/>
        <w:sectPr w:rsidSect="00BB249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B2494" w:rsidP="00BB2494">
      <w:pPr>
        <w:pStyle w:val="SuperHeading"/>
      </w:pPr>
      <w:r w:rsidRPr="00BB2494">
        <w:t>CPCCBC4036A Prepare to undertake the heritage restoration process</w:t>
      </w:r>
    </w:p>
    <w:p w:rsidR="00000000" w:rsidRPr="00BB2494" w:rsidP="00BB2494">
      <w:pPr>
        <w:pStyle w:val="Heading1"/>
      </w:pPr>
      <w:bookmarkStart w:id="1" w:name="O_269433"/>
      <w:bookmarkEnd w:id="1"/>
      <w:r w:rsidRPr="00BB2494">
        <w:t>Modification History</w:t>
      </w:r>
    </w:p>
    <w:p w:rsidR="00000000" w:rsidRPr="00BB2494" w:rsidP="00BB2494">
      <w:pPr>
        <w:pStyle w:val="BodyText"/>
      </w:pPr>
      <w:r w:rsidRPr="00BB2494">
        <w:t>Not Applicable</w:t>
      </w:r>
    </w:p>
    <w:p w:rsidR="00000000" w:rsidRPr="00BB2494" w:rsidP="00BB2494">
      <w:pPr>
        <w:pStyle w:val="AllowPageBreak"/>
      </w:pPr>
    </w:p>
    <w:p w:rsidR="00000000" w:rsidRPr="00BB2494" w:rsidP="00BB2494">
      <w:pPr>
        <w:pStyle w:val="Heading1"/>
      </w:pPr>
      <w:bookmarkStart w:id="2" w:name="O_196891"/>
      <w:bookmarkEnd w:id="2"/>
      <w:r w:rsidRPr="00BB2494">
        <w:t>Unit Descriptor</w:t>
      </w:r>
    </w:p>
    <w:tbl>
      <w:tblPr>
        <w:tblW w:w="0" w:type="auto"/>
        <w:tblLayout w:type="fixed"/>
        <w:tblCellMar>
          <w:left w:w="62" w:type="dxa"/>
          <w:right w:w="62" w:type="dxa"/>
        </w:tblCellMar>
        <w:tblLook w:val="0000"/>
      </w:tblPr>
      <w:tblGrid>
        <w:gridCol w:w="2642"/>
        <w:gridCol w:w="5880"/>
      </w:tblGrid>
      <w:tr w:rsidTr="004072F8">
        <w:tblPrEx>
          <w:tblW w:w="0" w:type="auto"/>
          <w:tblLayout w:type="fixed"/>
          <w:tblCellMar>
            <w:left w:w="62" w:type="dxa"/>
            <w:right w:w="62" w:type="dxa"/>
          </w:tblCellMar>
          <w:tblLook w:val="0000"/>
        </w:tblPrEx>
        <w:trPr>
          <w:tblHeader/>
        </w:trPr>
        <w:tc>
          <w:tcPr>
            <w:tcW w:w="2642" w:type="dxa"/>
            <w:tcBorders>
              <w:top w:val="nil"/>
              <w:left w:val="nil"/>
              <w:bottom w:val="nil"/>
              <w:right w:val="nil"/>
            </w:tcBorders>
            <w:tcMar>
              <w:top w:w="0" w:type="dxa"/>
              <w:left w:w="62" w:type="dxa"/>
              <w:bottom w:w="0" w:type="dxa"/>
              <w:right w:w="62" w:type="dxa"/>
            </w:tcMar>
          </w:tcPr>
          <w:p w:rsidR="00000000" w:rsidP="00BB2494">
            <w:pPr>
              <w:pStyle w:val="BodyText"/>
              <w:rPr>
                <w:lang w:val="en-NZ"/>
              </w:rPr>
            </w:pPr>
            <w:r w:rsidRPr="00BB2494">
              <w:rPr>
                <w:rStyle w:val="SpecialBold"/>
              </w:rPr>
              <w:t>Unit descriptor</w:t>
            </w:r>
          </w:p>
        </w:tc>
        <w:tc>
          <w:tcPr>
            <w:tcW w:w="5880" w:type="dxa"/>
            <w:tcBorders>
              <w:top w:val="nil"/>
              <w:left w:val="nil"/>
              <w:bottom w:val="nil"/>
              <w:right w:val="nil"/>
            </w:tcBorders>
            <w:tcMar>
              <w:top w:w="0" w:type="dxa"/>
              <w:left w:w="62" w:type="dxa"/>
              <w:bottom w:w="0" w:type="dxa"/>
              <w:right w:w="62" w:type="dxa"/>
            </w:tcMar>
          </w:tcPr>
          <w:p w:rsidR="00000000" w:rsidRPr="00BB2494" w:rsidP="00BB2494">
            <w:pPr>
              <w:pStyle w:val="BodyText"/>
            </w:pPr>
            <w:r w:rsidRPr="00BB2494">
              <w:t xml:space="preserve">This unit of competency specifies the outcomes required to undertake the preparation </w:t>
            </w:r>
            <w:r w:rsidRPr="00BB2494">
              <w:t>of the heritage restoration job by skilled and experienced tradespersons.</w:t>
            </w:r>
          </w:p>
        </w:tc>
      </w:tr>
    </w:tbl>
    <w:p w:rsidR="004072F8" w:rsidP="00BB2494">
      <w:pPr>
        <w:pStyle w:val="BodyText"/>
      </w:pPr>
    </w:p>
    <w:p w:rsidR="004072F8" w:rsidP="00BB2494">
      <w:pPr>
        <w:pStyle w:val="BodyText"/>
      </w:pPr>
    </w:p>
    <w:p w:rsidR="00000000" w:rsidRPr="00BB2494" w:rsidP="00BB2494">
      <w:pPr>
        <w:pStyle w:val="Heading1"/>
      </w:pPr>
      <w:bookmarkStart w:id="3" w:name="O_196895"/>
      <w:bookmarkEnd w:id="3"/>
      <w:r w:rsidRPr="00BB2494">
        <w:t>Application of the Unit</w:t>
      </w:r>
    </w:p>
    <w:tbl>
      <w:tblPr>
        <w:tblW w:w="0" w:type="auto"/>
        <w:tblLayout w:type="fixed"/>
        <w:tblCellMar>
          <w:left w:w="62" w:type="dxa"/>
          <w:right w:w="62" w:type="dxa"/>
        </w:tblCellMar>
        <w:tblLook w:val="0000"/>
      </w:tblPr>
      <w:tblGrid>
        <w:gridCol w:w="2729"/>
        <w:gridCol w:w="5793"/>
      </w:tblGrid>
      <w:tr w:rsidTr="004072F8">
        <w:tblPrEx>
          <w:tblW w:w="0" w:type="auto"/>
          <w:tblLayout w:type="fixed"/>
          <w:tblCellMar>
            <w:left w:w="62" w:type="dxa"/>
            <w:right w:w="62" w:type="dxa"/>
          </w:tblCellMar>
          <w:tblLook w:val="0000"/>
        </w:tblPrEx>
        <w:tc>
          <w:tcPr>
            <w:tcW w:w="2729" w:type="dxa"/>
            <w:tcBorders>
              <w:top w:val="nil"/>
              <w:left w:val="nil"/>
              <w:bottom w:val="nil"/>
              <w:right w:val="nil"/>
            </w:tcBorders>
            <w:tcMar>
              <w:top w:w="0" w:type="dxa"/>
              <w:left w:w="62" w:type="dxa"/>
              <w:bottom w:w="0" w:type="dxa"/>
              <w:right w:w="62" w:type="dxa"/>
            </w:tcMar>
          </w:tcPr>
          <w:p w:rsidR="00000000" w:rsidP="00BB2494">
            <w:pPr>
              <w:pStyle w:val="BodyText"/>
              <w:rPr>
                <w:lang w:val="en-NZ"/>
              </w:rPr>
            </w:pPr>
            <w:r w:rsidRPr="00BB2494">
              <w:rPr>
                <w:rStyle w:val="SpecialBold"/>
              </w:rPr>
              <w:t>Application of the unit</w:t>
            </w:r>
          </w:p>
        </w:tc>
        <w:tc>
          <w:tcPr>
            <w:tcW w:w="5793" w:type="dxa"/>
            <w:tcBorders>
              <w:top w:val="nil"/>
              <w:left w:val="nil"/>
              <w:bottom w:val="nil"/>
              <w:right w:val="nil"/>
            </w:tcBorders>
            <w:tcMar>
              <w:top w:w="0" w:type="dxa"/>
              <w:left w:w="62" w:type="dxa"/>
              <w:bottom w:w="0" w:type="dxa"/>
              <w:right w:w="62" w:type="dxa"/>
            </w:tcMar>
          </w:tcPr>
          <w:p w:rsidR="00000000" w:rsidRPr="00BB2494" w:rsidP="00BB2494">
            <w:pPr>
              <w:pStyle w:val="BodyText"/>
            </w:pPr>
            <w:r w:rsidRPr="00BB2494">
              <w:t xml:space="preserve">This unit of competency supports the range of tradespersons across disciplines who are involved in heritage restoration. It is not the intent of this or related units to replicate the technical processes associated with the performance of the trade skills </w:t>
            </w:r>
            <w:r w:rsidRPr="00BB2494">
              <w:t xml:space="preserve">necessary to complete the work. The unit applies to the particular processes associated with the application of existing high-level trade skills in the specialist heritage restoration environment. </w:t>
            </w:r>
          </w:p>
        </w:tc>
      </w:tr>
    </w:tbl>
    <w:p w:rsidR="004072F8" w:rsidP="00BB2494">
      <w:pPr>
        <w:pStyle w:val="BodyText"/>
      </w:pPr>
    </w:p>
    <w:p w:rsidR="004072F8" w:rsidP="00BB2494">
      <w:pPr>
        <w:pStyle w:val="BodyText"/>
      </w:pPr>
    </w:p>
    <w:p w:rsidR="00000000" w:rsidRPr="00BB2494" w:rsidP="00BB2494">
      <w:pPr>
        <w:pStyle w:val="Heading1"/>
      </w:pPr>
      <w:bookmarkStart w:id="4" w:name="O_277693"/>
      <w:bookmarkEnd w:id="4"/>
      <w:r w:rsidRPr="00BB2494">
        <w:t>Licensing/Regulatory Information</w:t>
      </w:r>
    </w:p>
    <w:p w:rsidR="00000000" w:rsidRPr="00BB2494" w:rsidP="00BB2494">
      <w:pPr>
        <w:pStyle w:val="BodyText"/>
      </w:pPr>
      <w:r w:rsidRPr="00BB2494">
        <w:t>Not A</w:t>
      </w:r>
      <w:r w:rsidRPr="00BB2494">
        <w:t>pplicable</w:t>
      </w:r>
    </w:p>
    <w:p w:rsidR="00000000" w:rsidRPr="00BB2494" w:rsidP="00BB2494">
      <w:pPr>
        <w:pStyle w:val="AllowPageBreak"/>
      </w:pPr>
    </w:p>
    <w:p w:rsidR="00000000" w:rsidRPr="00BB2494" w:rsidP="00BB2494">
      <w:pPr>
        <w:pStyle w:val="Heading1"/>
      </w:pPr>
      <w:bookmarkStart w:id="5" w:name="O_196893"/>
      <w:bookmarkEnd w:id="5"/>
      <w:r w:rsidRPr="00BB2494">
        <w:t>Pre-Requisites</w:t>
      </w:r>
    </w:p>
    <w:tbl>
      <w:tblPr>
        <w:tblW w:w="0" w:type="auto"/>
        <w:tblLayout w:type="fixed"/>
        <w:tblCellMar>
          <w:left w:w="62" w:type="dxa"/>
          <w:right w:w="62" w:type="dxa"/>
        </w:tblCellMar>
        <w:tblLook w:val="0000"/>
      </w:tblPr>
      <w:tblGrid>
        <w:gridCol w:w="2740"/>
        <w:gridCol w:w="5782"/>
      </w:tblGrid>
      <w:tr w:rsidTr="004072F8">
        <w:tblPrEx>
          <w:tblW w:w="0" w:type="auto"/>
          <w:tblLayout w:type="fixed"/>
          <w:tblCellMar>
            <w:left w:w="62" w:type="dxa"/>
            <w:right w:w="62" w:type="dxa"/>
          </w:tblCellMar>
          <w:tblLook w:val="0000"/>
        </w:tblPrEx>
        <w:trPr>
          <w:tblHeader/>
        </w:trPr>
        <w:tc>
          <w:tcPr>
            <w:tcW w:w="2740" w:type="dxa"/>
            <w:tcBorders>
              <w:top w:val="nil"/>
              <w:left w:val="nil"/>
              <w:bottom w:val="nil"/>
              <w:right w:val="nil"/>
            </w:tcBorders>
            <w:tcMar>
              <w:top w:w="0" w:type="dxa"/>
              <w:left w:w="62" w:type="dxa"/>
              <w:bottom w:w="0" w:type="dxa"/>
              <w:right w:w="62" w:type="dxa"/>
            </w:tcMar>
          </w:tcPr>
          <w:p w:rsidR="00000000" w:rsidP="00BB2494">
            <w:pPr>
              <w:pStyle w:val="BodyText"/>
              <w:rPr>
                <w:lang w:val="en-NZ"/>
              </w:rPr>
            </w:pPr>
            <w:r w:rsidRPr="00BB2494">
              <w:rPr>
                <w:rStyle w:val="SpecialBold"/>
              </w:rPr>
              <w:t>Prerequisite units</w:t>
            </w:r>
          </w:p>
        </w:tc>
        <w:tc>
          <w:tcPr>
            <w:tcW w:w="5782" w:type="dxa"/>
            <w:tcBorders>
              <w:top w:val="nil"/>
              <w:left w:val="nil"/>
              <w:bottom w:val="nil"/>
              <w:right w:val="nil"/>
            </w:tcBorders>
            <w:tcMar>
              <w:top w:w="0" w:type="dxa"/>
              <w:left w:w="62" w:type="dxa"/>
              <w:bottom w:w="0" w:type="dxa"/>
              <w:right w:w="62" w:type="dxa"/>
            </w:tcMar>
          </w:tcPr>
          <w:p w:rsidR="00000000" w:rsidRPr="00BB2494" w:rsidP="00BB2494">
            <w:pPr>
              <w:pStyle w:val="BodyText"/>
            </w:pPr>
            <w:r w:rsidRPr="00BB2494">
              <w:t>Nil</w:t>
            </w:r>
          </w:p>
        </w:tc>
      </w:tr>
    </w:tbl>
    <w:p w:rsidR="004072F8" w:rsidP="00BB2494">
      <w:pPr>
        <w:pStyle w:val="BodyText"/>
      </w:pPr>
    </w:p>
    <w:p w:rsidR="004072F8" w:rsidP="00BB2494">
      <w:pPr>
        <w:pStyle w:val="BodyText"/>
      </w:pPr>
    </w:p>
    <w:p w:rsidR="00000000" w:rsidRPr="00BB2494" w:rsidP="00BB2494">
      <w:pPr>
        <w:pStyle w:val="Heading1"/>
      </w:pPr>
      <w:bookmarkStart w:id="6" w:name="O_196892"/>
      <w:bookmarkEnd w:id="6"/>
      <w:r w:rsidRPr="00BB2494">
        <w:t>Employability Skills Information</w:t>
      </w:r>
    </w:p>
    <w:tbl>
      <w:tblPr>
        <w:tblW w:w="0" w:type="auto"/>
        <w:tblLayout w:type="fixed"/>
        <w:tblCellMar>
          <w:left w:w="62" w:type="dxa"/>
          <w:right w:w="62" w:type="dxa"/>
        </w:tblCellMar>
        <w:tblLook w:val="0000"/>
      </w:tblPr>
      <w:tblGrid>
        <w:gridCol w:w="2773"/>
        <w:gridCol w:w="5749"/>
      </w:tblGrid>
      <w:tr w:rsidTr="004072F8">
        <w:tblPrEx>
          <w:tblW w:w="0" w:type="auto"/>
          <w:tblLayout w:type="fixed"/>
          <w:tblCellMar>
            <w:left w:w="62" w:type="dxa"/>
            <w:right w:w="62" w:type="dxa"/>
          </w:tblCellMar>
          <w:tblLook w:val="0000"/>
        </w:tblPrEx>
        <w:trPr>
          <w:tblHeader/>
        </w:trPr>
        <w:tc>
          <w:tcPr>
            <w:tcW w:w="2773" w:type="dxa"/>
            <w:tcBorders>
              <w:top w:val="nil"/>
              <w:left w:val="nil"/>
              <w:bottom w:val="nil"/>
              <w:right w:val="nil"/>
            </w:tcBorders>
            <w:tcMar>
              <w:top w:w="0" w:type="dxa"/>
              <w:left w:w="62" w:type="dxa"/>
              <w:bottom w:w="0" w:type="dxa"/>
              <w:right w:w="62" w:type="dxa"/>
            </w:tcMar>
          </w:tcPr>
          <w:p w:rsidR="00000000" w:rsidP="00BB2494">
            <w:pPr>
              <w:pStyle w:val="BodyText"/>
              <w:rPr>
                <w:lang w:val="en-NZ"/>
              </w:rPr>
            </w:pPr>
            <w:r w:rsidRPr="00BB2494">
              <w:rPr>
                <w:rStyle w:val="SpecialBold"/>
              </w:rPr>
              <w:t>Employability skills</w:t>
            </w:r>
          </w:p>
        </w:tc>
        <w:tc>
          <w:tcPr>
            <w:tcW w:w="5749" w:type="dxa"/>
            <w:tcBorders>
              <w:top w:val="nil"/>
              <w:left w:val="nil"/>
              <w:bottom w:val="nil"/>
              <w:right w:val="nil"/>
            </w:tcBorders>
            <w:tcMar>
              <w:top w:w="0" w:type="dxa"/>
              <w:left w:w="62" w:type="dxa"/>
              <w:bottom w:w="0" w:type="dxa"/>
              <w:right w:w="62" w:type="dxa"/>
            </w:tcMar>
          </w:tcPr>
          <w:p w:rsidR="00000000" w:rsidRPr="00BB2494" w:rsidP="00BB2494">
            <w:pPr>
              <w:pStyle w:val="BodyText"/>
            </w:pPr>
            <w:r w:rsidRPr="00BB2494">
              <w:t>This unit contains employability skills.</w:t>
            </w:r>
          </w:p>
        </w:tc>
      </w:tr>
    </w:tbl>
    <w:p w:rsidR="004072F8" w:rsidP="00BB2494">
      <w:pPr>
        <w:pStyle w:val="BodyText"/>
      </w:pPr>
    </w:p>
    <w:p w:rsidR="004072F8" w:rsidP="00BB2494">
      <w:pPr>
        <w:pStyle w:val="BodyText"/>
      </w:pPr>
    </w:p>
    <w:p w:rsidR="00000000" w:rsidRPr="00BB2494" w:rsidP="00BB2494">
      <w:pPr>
        <w:pStyle w:val="Heading1"/>
      </w:pPr>
      <w:bookmarkStart w:id="7" w:name="O_287479"/>
      <w:bookmarkEnd w:id="7"/>
      <w:r w:rsidRPr="00BB2494">
        <w:t>Elements and Performance Criteria Pre-Content</w:t>
      </w:r>
    </w:p>
    <w:tbl>
      <w:tblPr>
        <w:tblW w:w="0" w:type="auto"/>
        <w:tblLayout w:type="fixed"/>
        <w:tblCellMar>
          <w:left w:w="62" w:type="dxa"/>
          <w:right w:w="62" w:type="dxa"/>
        </w:tblCellMar>
        <w:tblLook w:val="0000"/>
      </w:tblPr>
      <w:tblGrid>
        <w:gridCol w:w="2567"/>
        <w:gridCol w:w="5955"/>
      </w:tblGrid>
      <w:tr w:rsidTr="004072F8">
        <w:tblPrEx>
          <w:tblW w:w="0" w:type="auto"/>
          <w:tblLayout w:type="fixed"/>
          <w:tblCellMar>
            <w:left w:w="62" w:type="dxa"/>
            <w:right w:w="62" w:type="dxa"/>
          </w:tblCellMar>
          <w:tblLook w:val="0000"/>
        </w:tblPrEx>
        <w:tc>
          <w:tcPr>
            <w:tcW w:w="2567" w:type="dxa"/>
            <w:tcBorders>
              <w:top w:val="single" w:sz="6" w:space="0" w:color="auto"/>
              <w:left w:val="nil"/>
              <w:bottom w:val="nil"/>
              <w:right w:val="nil"/>
            </w:tcBorders>
            <w:tcMar>
              <w:top w:w="0" w:type="dxa"/>
              <w:left w:w="62" w:type="dxa"/>
              <w:bottom w:w="0" w:type="dxa"/>
              <w:right w:w="62" w:type="dxa"/>
            </w:tcMar>
          </w:tcPr>
          <w:p w:rsidR="00000000" w:rsidP="00BB2494">
            <w:pPr>
              <w:pStyle w:val="BodyText"/>
              <w:rPr>
                <w:lang w:val="en-NZ"/>
              </w:rPr>
            </w:pPr>
            <w:r w:rsidRPr="00BB2494">
              <w:t>Elements describe the essential outcomes of a unit of competency.</w:t>
            </w:r>
          </w:p>
        </w:tc>
        <w:tc>
          <w:tcPr>
            <w:tcW w:w="5955" w:type="dxa"/>
            <w:tcBorders>
              <w:top w:val="single" w:sz="6" w:space="0" w:color="auto"/>
              <w:left w:val="nil"/>
              <w:bottom w:val="nil"/>
              <w:right w:val="nil"/>
            </w:tcBorders>
            <w:tcMar>
              <w:top w:w="0" w:type="dxa"/>
              <w:left w:w="62" w:type="dxa"/>
              <w:bottom w:w="0" w:type="dxa"/>
              <w:right w:w="62" w:type="dxa"/>
            </w:tcMar>
          </w:tcPr>
          <w:p w:rsidR="00000000" w:rsidRPr="00BB2494" w:rsidP="00BB2494">
            <w:pPr>
              <w:pStyle w:val="BodyText"/>
            </w:pPr>
            <w:r w:rsidRPr="00BB2494">
              <w:t>Performance criteria describe the performance needed to demonstrate achievement of the element. Where bold italicised text is used, further information is detailed in the required skills and</w:t>
            </w:r>
            <w:r w:rsidRPr="00BB2494">
              <w:t xml:space="preserve"> knowledge section and the range statement. Assessment of performance is to be consistent with the evidence guide.</w:t>
            </w:r>
          </w:p>
        </w:tc>
      </w:tr>
    </w:tbl>
    <w:p w:rsidR="00000000" w:rsidRPr="00BB2494" w:rsidP="00BB2494">
      <w:pPr>
        <w:pStyle w:val="BodyText"/>
      </w:pPr>
    </w:p>
    <w:p w:rsidR="00000000" w:rsidRPr="00BB2494" w:rsidP="00BB2494">
      <w:pPr>
        <w:pStyle w:val="AllowPageBreak"/>
      </w:pPr>
    </w:p>
    <w:p w:rsidR="00000000" w:rsidRPr="00BB2494" w:rsidP="00BB2494">
      <w:pPr>
        <w:pStyle w:val="Heading1"/>
      </w:pPr>
      <w:bookmarkStart w:id="8" w:name="O_234146"/>
      <w:bookmarkEnd w:id="8"/>
      <w:r w:rsidRPr="00BB2494">
        <w:t>Elements and Performance Criteria</w:t>
      </w:r>
    </w:p>
    <w:tbl>
      <w:tblPr>
        <w:tblW w:w="0" w:type="auto"/>
        <w:tblLayout w:type="fixed"/>
        <w:tblCellMar>
          <w:left w:w="62" w:type="dxa"/>
          <w:right w:w="62" w:type="dxa"/>
        </w:tblCellMar>
        <w:tblLook w:val="0000"/>
      </w:tblPr>
      <w:tblGrid>
        <w:gridCol w:w="2567"/>
        <w:gridCol w:w="5955"/>
      </w:tblGrid>
      <w:tr w:rsidTr="004072F8">
        <w:tblPrEx>
          <w:tblW w:w="0" w:type="auto"/>
          <w:tblLayout w:type="fixed"/>
          <w:tblCellMar>
            <w:left w:w="62" w:type="dxa"/>
            <w:right w:w="62" w:type="dxa"/>
          </w:tblCellMar>
          <w:tblLook w:val="0000"/>
        </w:tblPrEx>
        <w:trPr>
          <w:tblHeader/>
        </w:trPr>
        <w:tc>
          <w:tcPr>
            <w:tcW w:w="2567" w:type="dxa"/>
            <w:tcBorders>
              <w:top w:val="nil"/>
              <w:left w:val="nil"/>
              <w:bottom w:val="single" w:sz="6" w:space="0" w:color="auto"/>
              <w:right w:val="nil"/>
            </w:tcBorders>
            <w:tcMar>
              <w:top w:w="0" w:type="dxa"/>
              <w:left w:w="62" w:type="dxa"/>
              <w:bottom w:w="0" w:type="dxa"/>
              <w:right w:w="62" w:type="dxa"/>
            </w:tcMar>
          </w:tcPr>
          <w:p w:rsidR="00000000" w:rsidRPr="00BB2494" w:rsidP="00BB2494">
            <w:pPr>
              <w:pStyle w:val="BodyText"/>
            </w:pPr>
            <w:r w:rsidRPr="00BB2494">
              <w:rPr>
                <w:rStyle w:val="SpecialBold"/>
              </w:rPr>
              <w:t>ELEMENT</w:t>
            </w:r>
          </w:p>
        </w:tc>
        <w:tc>
          <w:tcPr>
            <w:tcW w:w="5955" w:type="dxa"/>
            <w:tcBorders>
              <w:top w:val="nil"/>
              <w:left w:val="nil"/>
              <w:bottom w:val="single" w:sz="6" w:space="0" w:color="auto"/>
              <w:right w:val="nil"/>
            </w:tcBorders>
            <w:tcMar>
              <w:top w:w="0" w:type="dxa"/>
              <w:left w:w="62" w:type="dxa"/>
              <w:bottom w:w="0" w:type="dxa"/>
              <w:right w:w="62" w:type="dxa"/>
            </w:tcMar>
          </w:tcPr>
          <w:p w:rsidR="00000000" w:rsidP="00BB2494">
            <w:pPr>
              <w:pStyle w:val="BodyText"/>
              <w:rPr>
                <w:lang w:val="en-NZ"/>
              </w:rPr>
            </w:pPr>
            <w:r w:rsidRPr="00BB2494">
              <w:rPr>
                <w:rStyle w:val="SpecialBold"/>
              </w:rPr>
              <w:t>PERFORMANCE CRITERIA</w:t>
            </w:r>
          </w:p>
        </w:tc>
      </w:tr>
      <w:tr w:rsidTr="004072F8">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BB2494">
            <w:pPr>
              <w:pStyle w:val="List"/>
              <w:rPr>
                <w:lang w:val="en-NZ"/>
              </w:rPr>
            </w:pPr>
            <w:r w:rsidRPr="00BB2494">
              <w:t>1.</w:t>
            </w:r>
            <w:r w:rsidRPr="00BB2494">
              <w:tab/>
              <w:t>Ensure compliance with conservation and workplace s</w:t>
            </w:r>
            <w:r w:rsidRPr="00BB2494">
              <w:t>tandards.</w:t>
            </w:r>
          </w:p>
        </w:tc>
        <w:tc>
          <w:tcPr>
            <w:tcW w:w="5955" w:type="dxa"/>
            <w:tcBorders>
              <w:top w:val="nil"/>
              <w:left w:val="nil"/>
              <w:bottom w:val="nil"/>
              <w:right w:val="nil"/>
            </w:tcBorders>
            <w:tcMar>
              <w:top w:w="0" w:type="dxa"/>
              <w:left w:w="62" w:type="dxa"/>
              <w:bottom w:w="0" w:type="dxa"/>
              <w:right w:w="62" w:type="dxa"/>
            </w:tcMar>
          </w:tcPr>
          <w:p w:rsidR="00000000" w:rsidRPr="00BB2494" w:rsidP="00BB2494">
            <w:pPr>
              <w:pStyle w:val="List2"/>
            </w:pPr>
            <w:r w:rsidRPr="00BB2494">
              <w:t>1.1.</w:t>
            </w:r>
            <w:r w:rsidRPr="00BB2494">
              <w:tab/>
              <w:t>Conservation requirements and processes associated with the preservation of historically significant buildings are identified.</w:t>
            </w:r>
          </w:p>
          <w:p w:rsidR="00000000" w:rsidRPr="00BB2494" w:rsidP="00BB2494">
            <w:pPr>
              <w:pStyle w:val="List2"/>
            </w:pPr>
            <w:r w:rsidRPr="00BB2494">
              <w:t>1.2.</w:t>
            </w:r>
            <w:r w:rsidRPr="00BB2494">
              <w:tab/>
            </w:r>
            <w:r w:rsidRPr="00BB2494">
              <w:rPr>
                <w:rStyle w:val="BoldandItalics"/>
              </w:rPr>
              <w:t>Quality assurance</w:t>
            </w:r>
            <w:r w:rsidRPr="00BB2494">
              <w:t xml:space="preserve"> requirements associated with the performance of the relevant trade skill are identified. </w:t>
            </w:r>
          </w:p>
          <w:p w:rsidR="00000000" w:rsidRPr="00BB2494" w:rsidP="00BB2494">
            <w:pPr>
              <w:pStyle w:val="List2"/>
            </w:pPr>
            <w:r w:rsidRPr="00BB2494">
              <w:t>1.3.</w:t>
            </w:r>
            <w:r w:rsidRPr="00BB2494">
              <w:tab/>
            </w:r>
            <w:r w:rsidRPr="00BB2494">
              <w:rPr>
                <w:rStyle w:val="BoldandItalics"/>
              </w:rPr>
              <w:t>OHS requirements</w:t>
            </w:r>
            <w:r w:rsidRPr="00BB2494">
              <w:t xml:space="preserve">, including the identification of </w:t>
            </w:r>
            <w:r w:rsidRPr="00BB2494">
              <w:rPr>
                <w:rStyle w:val="BoldandItalics"/>
              </w:rPr>
              <w:t>personal protective equipment</w:t>
            </w:r>
            <w:r w:rsidRPr="00BB2494">
              <w:t xml:space="preserve"> are identified. </w:t>
            </w:r>
          </w:p>
          <w:p w:rsidR="00000000" w:rsidP="00BB2494">
            <w:pPr>
              <w:pStyle w:val="List2"/>
              <w:rPr>
                <w:lang w:val="en-NZ"/>
              </w:rPr>
            </w:pPr>
            <w:r w:rsidRPr="00BB2494">
              <w:t>1.4.</w:t>
            </w:r>
            <w:r w:rsidRPr="00BB2494">
              <w:tab/>
            </w:r>
            <w:r w:rsidRPr="00BB2494">
              <w:rPr>
                <w:rStyle w:val="BoldandItalics"/>
              </w:rPr>
              <w:t>Safety hazards</w:t>
            </w:r>
            <w:r w:rsidRPr="00BB2494">
              <w:t xml:space="preserve"> are identified and correct procedures to minimise risk to self and others are identified and implemented. </w:t>
            </w:r>
          </w:p>
        </w:tc>
      </w:tr>
      <w:tr w:rsidTr="004072F8">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BB2494">
            <w:pPr>
              <w:pStyle w:val="List"/>
              <w:rPr>
                <w:lang w:val="en-NZ"/>
              </w:rPr>
            </w:pPr>
            <w:r w:rsidRPr="00BB2494">
              <w:t>2.</w:t>
            </w:r>
            <w:r w:rsidRPr="00BB2494">
              <w:tab/>
              <w:t>Identify and obtain his</w:t>
            </w:r>
            <w:r w:rsidRPr="00BB2494">
              <w:t>torical data.</w:t>
            </w:r>
          </w:p>
        </w:tc>
        <w:tc>
          <w:tcPr>
            <w:tcW w:w="5955" w:type="dxa"/>
            <w:tcBorders>
              <w:top w:val="nil"/>
              <w:left w:val="nil"/>
              <w:bottom w:val="nil"/>
              <w:right w:val="nil"/>
            </w:tcBorders>
            <w:tcMar>
              <w:top w:w="0" w:type="dxa"/>
              <w:left w:w="62" w:type="dxa"/>
              <w:bottom w:w="0" w:type="dxa"/>
              <w:right w:w="62" w:type="dxa"/>
            </w:tcMar>
          </w:tcPr>
          <w:p w:rsidR="00000000" w:rsidRPr="00BB2494" w:rsidP="00BB2494">
            <w:pPr>
              <w:pStyle w:val="List2"/>
            </w:pPr>
            <w:r w:rsidRPr="00BB2494">
              <w:t>2.1.</w:t>
            </w:r>
            <w:r w:rsidRPr="00BB2494">
              <w:tab/>
              <w:t>Period and style of construction of the building or structure are ascertained and recorded.</w:t>
            </w:r>
          </w:p>
          <w:p w:rsidR="00000000" w:rsidRPr="00BB2494" w:rsidP="00BB2494">
            <w:pPr>
              <w:pStyle w:val="List2"/>
            </w:pPr>
            <w:r w:rsidRPr="00BB2494">
              <w:t>2.2.</w:t>
            </w:r>
            <w:r w:rsidRPr="00BB2494">
              <w:tab/>
              <w:t xml:space="preserve">Available construction information is sourced from engineers and records and analysed for relevant and </w:t>
            </w:r>
            <w:r w:rsidRPr="00BB2494">
              <w:rPr>
                <w:rStyle w:val="BoldandItalics"/>
              </w:rPr>
              <w:t>historically accurate information</w:t>
            </w:r>
            <w:r w:rsidRPr="00BB2494">
              <w:t xml:space="preserve">. </w:t>
            </w:r>
          </w:p>
          <w:p w:rsidR="00000000" w:rsidRPr="00BB2494" w:rsidP="00BB2494">
            <w:pPr>
              <w:pStyle w:val="List2"/>
            </w:pPr>
            <w:r w:rsidRPr="00BB2494">
              <w:t>2</w:t>
            </w:r>
            <w:r w:rsidRPr="00BB2494">
              <w:t>.3.</w:t>
            </w:r>
            <w:r w:rsidRPr="00BB2494">
              <w:tab/>
            </w:r>
            <w:r w:rsidRPr="00BB2494">
              <w:rPr>
                <w:rStyle w:val="BoldandItalics"/>
              </w:rPr>
              <w:t>Materials</w:t>
            </w:r>
            <w:r w:rsidRPr="00BB2494">
              <w:t xml:space="preserve"> used for previous restoration work are identified, recorded and verified as appropriate for the work. </w:t>
            </w:r>
          </w:p>
          <w:p w:rsidR="00000000" w:rsidP="00BB2494">
            <w:pPr>
              <w:pStyle w:val="List2"/>
              <w:rPr>
                <w:lang w:val="en-NZ"/>
              </w:rPr>
            </w:pPr>
            <w:r w:rsidRPr="00BB2494">
              <w:t>2.4.</w:t>
            </w:r>
            <w:r w:rsidRPr="00BB2494">
              <w:tab/>
              <w:t>Information relevant to the location, structure and specifications of the building are photographed or collated using alternative mean</w:t>
            </w:r>
            <w:r w:rsidRPr="00BB2494">
              <w:t>s and recorded.</w:t>
            </w:r>
          </w:p>
        </w:tc>
      </w:tr>
      <w:tr w:rsidTr="004072F8">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BB2494">
            <w:pPr>
              <w:pStyle w:val="List"/>
              <w:rPr>
                <w:lang w:val="en-NZ"/>
              </w:rPr>
            </w:pPr>
            <w:r w:rsidRPr="00BB2494">
              <w:t>3.</w:t>
            </w:r>
            <w:r w:rsidRPr="00BB2494">
              <w:tab/>
              <w:t>Prepare work area and resources.</w:t>
            </w:r>
          </w:p>
        </w:tc>
        <w:tc>
          <w:tcPr>
            <w:tcW w:w="5955" w:type="dxa"/>
            <w:tcBorders>
              <w:top w:val="nil"/>
              <w:left w:val="nil"/>
              <w:bottom w:val="nil"/>
              <w:right w:val="nil"/>
            </w:tcBorders>
            <w:tcMar>
              <w:top w:w="0" w:type="dxa"/>
              <w:left w:w="62" w:type="dxa"/>
              <w:bottom w:w="0" w:type="dxa"/>
              <w:right w:w="62" w:type="dxa"/>
            </w:tcMar>
          </w:tcPr>
          <w:p w:rsidR="00000000" w:rsidRPr="00BB2494" w:rsidP="00BB2494">
            <w:pPr>
              <w:pStyle w:val="List2"/>
            </w:pPr>
            <w:r w:rsidRPr="00BB2494">
              <w:t>3.1.</w:t>
            </w:r>
            <w:r w:rsidRPr="00BB2494">
              <w:tab/>
              <w:t>Cover protection of nearby surfaces is carried out in accordance with restoration activities.</w:t>
            </w:r>
          </w:p>
          <w:p w:rsidR="00000000" w:rsidRPr="00BB2494" w:rsidP="00BB2494">
            <w:pPr>
              <w:pStyle w:val="List2"/>
            </w:pPr>
            <w:r w:rsidRPr="00BB2494">
              <w:t>3.2.</w:t>
            </w:r>
            <w:r w:rsidRPr="00BB2494">
              <w:tab/>
              <w:t>Scaffolding barricades and signage are erected to OHS regulations in accordance with job requiremen</w:t>
            </w:r>
            <w:r w:rsidRPr="00BB2494">
              <w:t>ts.</w:t>
            </w:r>
          </w:p>
          <w:p w:rsidR="00000000" w:rsidRPr="00BB2494" w:rsidP="00BB2494">
            <w:pPr>
              <w:pStyle w:val="List2"/>
            </w:pPr>
            <w:r w:rsidRPr="00BB2494">
              <w:t>3.3.</w:t>
            </w:r>
            <w:r w:rsidRPr="00BB2494">
              <w:tab/>
              <w:t>Appropriate lighting is erected at the site.</w:t>
            </w:r>
          </w:p>
          <w:p w:rsidR="00000000" w:rsidRPr="00BB2494" w:rsidP="00BB2494">
            <w:pPr>
              <w:pStyle w:val="List2"/>
            </w:pPr>
            <w:r w:rsidRPr="00BB2494">
              <w:t>3.4.</w:t>
            </w:r>
            <w:r w:rsidRPr="00BB2494">
              <w:tab/>
              <w:t>Materials required for the identified restoration work are calculated and acquired in accordance with organisational procedures.</w:t>
            </w:r>
          </w:p>
          <w:p w:rsidR="00000000" w:rsidP="00BB2494">
            <w:pPr>
              <w:pStyle w:val="List2"/>
              <w:rPr>
                <w:lang w:val="en-NZ"/>
              </w:rPr>
            </w:pPr>
            <w:r w:rsidRPr="00BB2494">
              <w:t>3.5.</w:t>
            </w:r>
            <w:r w:rsidRPr="00BB2494">
              <w:tab/>
            </w:r>
            <w:r w:rsidRPr="00BB2494">
              <w:rPr>
                <w:rStyle w:val="BoldandItalics"/>
              </w:rPr>
              <w:t>Tools and equipment</w:t>
            </w:r>
            <w:r w:rsidRPr="00BB2494">
              <w:t xml:space="preserve"> are selected and checked for serviceability</w:t>
            </w:r>
            <w:r w:rsidRPr="00BB2494">
              <w:t xml:space="preserve">. </w:t>
            </w:r>
          </w:p>
        </w:tc>
      </w:tr>
      <w:tr w:rsidTr="004072F8">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BB2494">
            <w:pPr>
              <w:pStyle w:val="List"/>
              <w:rPr>
                <w:lang w:val="en-NZ"/>
              </w:rPr>
            </w:pPr>
            <w:r w:rsidRPr="00BB2494">
              <w:t>4.</w:t>
            </w:r>
            <w:r w:rsidRPr="00BB2494">
              <w:tab/>
              <w:t>Establish and maintain records for restoration purposes.</w:t>
            </w:r>
          </w:p>
        </w:tc>
        <w:tc>
          <w:tcPr>
            <w:tcW w:w="5955" w:type="dxa"/>
            <w:tcBorders>
              <w:top w:val="nil"/>
              <w:left w:val="nil"/>
              <w:bottom w:val="nil"/>
              <w:right w:val="nil"/>
            </w:tcBorders>
            <w:tcMar>
              <w:top w:w="0" w:type="dxa"/>
              <w:left w:w="62" w:type="dxa"/>
              <w:bottom w:w="0" w:type="dxa"/>
              <w:right w:w="62" w:type="dxa"/>
            </w:tcMar>
          </w:tcPr>
          <w:p w:rsidR="00000000" w:rsidRPr="00BB2494" w:rsidP="00BB2494">
            <w:pPr>
              <w:pStyle w:val="List2"/>
            </w:pPr>
            <w:r w:rsidRPr="00BB2494">
              <w:t>4.1.</w:t>
            </w:r>
            <w:r w:rsidRPr="00BB2494">
              <w:tab/>
              <w:t>Method of organising files is determined in accordance with organisational procedures.</w:t>
            </w:r>
          </w:p>
          <w:p w:rsidR="00000000" w:rsidRPr="00BB2494" w:rsidP="00BB2494">
            <w:pPr>
              <w:pStyle w:val="List2"/>
            </w:pPr>
            <w:r w:rsidRPr="00BB2494">
              <w:t>4.2.</w:t>
            </w:r>
            <w:r w:rsidRPr="00BB2494">
              <w:tab/>
              <w:t xml:space="preserve">System of presentation of the file is organised and a list made of </w:t>
            </w:r>
            <w:r w:rsidRPr="00BB2494">
              <w:rPr>
                <w:rStyle w:val="BoldandItalics"/>
              </w:rPr>
              <w:t>relevant categories of information</w:t>
            </w:r>
            <w:r w:rsidRPr="00BB2494">
              <w:t xml:space="preserve">. </w:t>
            </w:r>
          </w:p>
          <w:p w:rsidR="00000000" w:rsidRPr="00BB2494" w:rsidP="00BB2494">
            <w:pPr>
              <w:pStyle w:val="List2"/>
            </w:pPr>
            <w:r w:rsidRPr="00BB2494">
              <w:t>4.3.</w:t>
            </w:r>
            <w:r w:rsidRPr="00BB2494">
              <w:tab/>
              <w:t>Photographs of the current structure are taken and stored for future reference as required.</w:t>
            </w:r>
          </w:p>
          <w:p w:rsidR="00000000" w:rsidRPr="00BB2494" w:rsidP="00BB2494">
            <w:pPr>
              <w:pStyle w:val="List2"/>
            </w:pPr>
            <w:r w:rsidRPr="00BB2494">
              <w:t>4.4.</w:t>
            </w:r>
            <w:r w:rsidRPr="00BB2494">
              <w:tab/>
              <w:t>Details of materials used, including colour matches, are recorded and filed throughout the life of the restoration pr</w:t>
            </w:r>
            <w:r w:rsidRPr="00BB2494">
              <w:t>oject.</w:t>
            </w:r>
          </w:p>
        </w:tc>
      </w:tr>
    </w:tbl>
    <w:p w:rsidR="004072F8" w:rsidP="00BB2494">
      <w:pPr>
        <w:pStyle w:val="BodyText"/>
      </w:pPr>
    </w:p>
    <w:p w:rsidR="004072F8" w:rsidP="00BB2494">
      <w:pPr>
        <w:pStyle w:val="BodyText"/>
      </w:pPr>
    </w:p>
    <w:p w:rsidR="00000000" w:rsidRPr="00BB2494" w:rsidP="00BB2494">
      <w:pPr>
        <w:pStyle w:val="Heading1"/>
      </w:pPr>
      <w:bookmarkStart w:id="9" w:name="O_258096"/>
      <w:bookmarkEnd w:id="9"/>
      <w:r w:rsidRPr="00BB2494">
        <w:t>Required Skills and Knowledge</w:t>
      </w:r>
    </w:p>
    <w:tbl>
      <w:tblPr>
        <w:tblW w:w="0" w:type="auto"/>
        <w:tblLayout w:type="fixed"/>
        <w:tblCellMar>
          <w:left w:w="62" w:type="dxa"/>
          <w:right w:w="62" w:type="dxa"/>
        </w:tblCellMar>
        <w:tblLook w:val="0000"/>
      </w:tblPr>
      <w:tblGrid>
        <w:gridCol w:w="8522"/>
      </w:tblGrid>
      <w:tr w:rsidTr="004072F8">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BB2494">
            <w:pPr>
              <w:pStyle w:val="BodyText"/>
              <w:rPr>
                <w:lang w:val="en-NZ"/>
              </w:rPr>
            </w:pPr>
            <w:r w:rsidRPr="00BB2494">
              <w:rPr>
                <w:rStyle w:val="SpecialBold"/>
              </w:rPr>
              <w:t>REQUIRED SKILLS AND KNOWLEDGE</w:t>
            </w:r>
          </w:p>
        </w:tc>
      </w:tr>
      <w:tr w:rsidTr="004072F8">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BB2494">
            <w:pPr>
              <w:pStyle w:val="BodyText"/>
              <w:rPr>
                <w:lang w:val="en-NZ"/>
              </w:rPr>
            </w:pPr>
            <w:r w:rsidRPr="00BB2494">
              <w:t>This section describes the skills and knowledge required for this unit.</w:t>
            </w:r>
          </w:p>
        </w:tc>
      </w:tr>
      <w:tr w:rsidTr="004072F8">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BB2494">
            <w:pPr>
              <w:pStyle w:val="BodyText"/>
              <w:rPr>
                <w:lang w:val="en-NZ"/>
              </w:rPr>
            </w:pPr>
            <w:r w:rsidRPr="00BB2494">
              <w:rPr>
                <w:rStyle w:val="SpecialBold"/>
              </w:rPr>
              <w:t>Required skills</w:t>
            </w:r>
          </w:p>
        </w:tc>
      </w:tr>
      <w:tr w:rsidTr="004072F8">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BB2494" w:rsidP="00BB2494">
            <w:pPr>
              <w:pStyle w:val="BodyText"/>
            </w:pPr>
            <w:r w:rsidRPr="00BB2494">
              <w:t>Required skills for this unit are:</w:t>
            </w:r>
          </w:p>
          <w:p w:rsidR="00000000" w:rsidRPr="00BB2494" w:rsidP="00BB2494">
            <w:pPr>
              <w:pStyle w:val="ListBullet"/>
            </w:pPr>
            <w:r w:rsidRPr="00BB2494">
              <w:t>communication skills to:</w:t>
            </w:r>
          </w:p>
          <w:p w:rsidR="00000000" w:rsidRPr="00BB2494" w:rsidP="00BB2494">
            <w:pPr>
              <w:pStyle w:val="ListBullet2"/>
            </w:pPr>
            <w:r w:rsidRPr="00BB2494">
              <w:t>enable clear and direct communication, using questioning to identify and confirm requirements, share information, listen and understand</w:t>
            </w:r>
          </w:p>
          <w:p w:rsidR="00000000" w:rsidRPr="00BB2494" w:rsidP="00BB2494">
            <w:pPr>
              <w:pStyle w:val="ListBullet2"/>
            </w:pPr>
            <w:r w:rsidRPr="00BB2494">
              <w:t>communicate with team</w:t>
            </w:r>
          </w:p>
          <w:p w:rsidR="00000000" w:rsidRPr="00BB2494" w:rsidP="00BB2494">
            <w:pPr>
              <w:pStyle w:val="ListBullet2"/>
            </w:pPr>
            <w:r w:rsidRPr="00BB2494">
              <w:t>consult with technical specialists, client and other stakeholders</w:t>
            </w:r>
          </w:p>
          <w:p w:rsidR="00000000" w:rsidRPr="00BB2494" w:rsidP="00BB2494">
            <w:pPr>
              <w:pStyle w:val="ListBullet2"/>
            </w:pPr>
            <w:r w:rsidRPr="00BB2494">
              <w:t>facilitate discussions</w:t>
            </w:r>
          </w:p>
          <w:p w:rsidR="00000000" w:rsidRPr="00BB2494" w:rsidP="00BB2494">
            <w:pPr>
              <w:pStyle w:val="ListBullet2"/>
            </w:pPr>
            <w:r w:rsidRPr="00BB2494">
              <w:t xml:space="preserve">read and </w:t>
            </w:r>
            <w:r w:rsidRPr="00BB2494">
              <w:t>interpret:</w:t>
            </w:r>
          </w:p>
          <w:p w:rsidR="00000000" w:rsidRPr="00BB2494" w:rsidP="00BB2494">
            <w:pPr>
              <w:pStyle w:val="ListBullet3"/>
            </w:pPr>
            <w:r w:rsidRPr="00BB2494">
              <w:t>documentation from a variety of sources</w:t>
            </w:r>
          </w:p>
          <w:p w:rsidR="00000000" w:rsidRPr="00BB2494" w:rsidP="00BB2494">
            <w:pPr>
              <w:pStyle w:val="ListBullet3"/>
            </w:pPr>
            <w:r w:rsidRPr="00BB2494">
              <w:t>plans, specifications and drawings</w:t>
            </w:r>
          </w:p>
          <w:p w:rsidR="00000000" w:rsidRPr="00BB2494" w:rsidP="00BB2494">
            <w:pPr>
              <w:pStyle w:val="ListBullet2"/>
            </w:pPr>
            <w:r w:rsidRPr="00BB2494">
              <w:t>use and interpret non-verbal communication</w:t>
            </w:r>
          </w:p>
          <w:p w:rsidR="00000000" w:rsidRPr="00BB2494" w:rsidP="00BB2494">
            <w:pPr>
              <w:pStyle w:val="ListBullet2"/>
            </w:pPr>
            <w:r w:rsidRPr="00BB2494">
              <w:t>use language and concepts appropriate to cultural differences</w:t>
            </w:r>
          </w:p>
          <w:p w:rsidR="00000000" w:rsidRPr="00BB2494" w:rsidP="00BB2494">
            <w:pPr>
              <w:pStyle w:val="ListBullet2"/>
            </w:pPr>
            <w:r w:rsidRPr="00BB2494">
              <w:t>written skills to record relevant information</w:t>
            </w:r>
          </w:p>
          <w:p w:rsidR="00000000" w:rsidRPr="00BB2494" w:rsidP="00BB2494">
            <w:pPr>
              <w:pStyle w:val="ListBullet"/>
            </w:pPr>
            <w:r w:rsidRPr="00BB2494">
              <w:t>numeracy skills to apply measurements and calculations</w:t>
            </w:r>
          </w:p>
          <w:p w:rsidR="00000000" w:rsidP="00BB2494">
            <w:pPr>
              <w:pStyle w:val="ListBullet"/>
              <w:rPr>
                <w:lang w:val="en-NZ"/>
              </w:rPr>
            </w:pPr>
            <w:r w:rsidRPr="00BB2494">
              <w:t>organisational skills, including the ability to plan for and set out work.</w:t>
            </w:r>
          </w:p>
        </w:tc>
      </w:tr>
      <w:tr w:rsidTr="004072F8">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BB2494">
            <w:pPr>
              <w:pStyle w:val="BodyText"/>
              <w:rPr>
                <w:lang w:val="en-NZ"/>
              </w:rPr>
            </w:pPr>
            <w:r w:rsidRPr="00BB2494">
              <w:rPr>
                <w:rStyle w:val="SpecialBold"/>
              </w:rPr>
              <w:t>Required knowledge</w:t>
            </w:r>
          </w:p>
        </w:tc>
      </w:tr>
      <w:tr w:rsidTr="004072F8">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BB2494" w:rsidP="00BB2494">
            <w:pPr>
              <w:pStyle w:val="BodyText"/>
            </w:pPr>
            <w:r w:rsidRPr="00BB2494">
              <w:t>Required knowledge for this unit is:</w:t>
            </w:r>
          </w:p>
          <w:p w:rsidR="00000000" w:rsidRPr="00BB2494" w:rsidP="00BB2494">
            <w:pPr>
              <w:pStyle w:val="ListBullet"/>
            </w:pPr>
            <w:r w:rsidRPr="00BB2494">
              <w:t>Building Code of Australia (BCA) and other Australian standards relevant to the nature of work and materials being used</w:t>
            </w:r>
          </w:p>
          <w:p w:rsidR="00000000" w:rsidRPr="00BB2494" w:rsidP="00BB2494">
            <w:pPr>
              <w:pStyle w:val="ListBullet"/>
            </w:pPr>
            <w:r w:rsidRPr="00BB2494">
              <w:t>conservation processes, including good conservation practice arising from principles of Burra Charter</w:t>
            </w:r>
          </w:p>
          <w:p w:rsidR="00000000" w:rsidRPr="00BB2494" w:rsidP="00BB2494">
            <w:pPr>
              <w:pStyle w:val="ListBullet"/>
            </w:pPr>
            <w:r w:rsidRPr="00BB2494">
              <w:t xml:space="preserve">methods and processes relating to </w:t>
            </w:r>
            <w:r w:rsidRPr="00BB2494">
              <w:t>historic building construction, including the range and use of building materials, structure of buildings and drafting techniques</w:t>
            </w:r>
          </w:p>
          <w:p w:rsidR="00000000" w:rsidRPr="00BB2494" w:rsidP="00BB2494">
            <w:pPr>
              <w:pStyle w:val="ListBullet"/>
            </w:pPr>
            <w:r w:rsidRPr="00BB2494">
              <w:t>relevant architectural knowledge, including orders of architecture, and characteristics and features of period architecture an</w:t>
            </w:r>
            <w:r w:rsidRPr="00BB2494">
              <w:t>d period plastering associated with historic buildings</w:t>
            </w:r>
          </w:p>
          <w:p w:rsidR="00000000" w:rsidRPr="00BB2494" w:rsidP="00BB2494">
            <w:pPr>
              <w:pStyle w:val="ListBullet"/>
            </w:pPr>
            <w:r w:rsidRPr="00BB2494">
              <w:t>workplace and equipment safety requirements, including relevant statutory regulations, codes and standards.</w:t>
            </w:r>
          </w:p>
        </w:tc>
      </w:tr>
    </w:tbl>
    <w:p w:rsidR="004072F8" w:rsidP="00BB2494">
      <w:pPr>
        <w:pStyle w:val="BodyText"/>
      </w:pPr>
    </w:p>
    <w:p w:rsidR="004072F8" w:rsidP="00BB2494">
      <w:pPr>
        <w:pStyle w:val="BodyText"/>
      </w:pPr>
    </w:p>
    <w:p w:rsidR="00000000" w:rsidRPr="00BB2494" w:rsidP="00BB2494">
      <w:pPr>
        <w:pStyle w:val="AllowPageBreak"/>
      </w:pPr>
    </w:p>
    <w:p w:rsidR="00000000" w:rsidRPr="00BB2494" w:rsidP="00BB2494">
      <w:pPr>
        <w:pStyle w:val="Heading1"/>
      </w:pPr>
      <w:bookmarkStart w:id="10" w:name="O_242130"/>
      <w:bookmarkEnd w:id="10"/>
      <w:r w:rsidRPr="00BB2494">
        <w:t>Evidence Guide</w:t>
      </w:r>
    </w:p>
    <w:tbl>
      <w:tblPr>
        <w:tblW w:w="0" w:type="auto"/>
        <w:tblLayout w:type="fixed"/>
        <w:tblCellMar>
          <w:left w:w="62" w:type="dxa"/>
          <w:right w:w="62" w:type="dxa"/>
        </w:tblCellMar>
        <w:tblLook w:val="0000"/>
      </w:tblPr>
      <w:tblGrid>
        <w:gridCol w:w="3514"/>
        <w:gridCol w:w="5008"/>
      </w:tblGrid>
      <w:tr w:rsidTr="004072F8">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BB2494">
            <w:pPr>
              <w:pStyle w:val="BodyText"/>
              <w:rPr>
                <w:lang w:val="en-NZ"/>
              </w:rPr>
            </w:pPr>
            <w:r w:rsidRPr="00BB2494">
              <w:rPr>
                <w:rStyle w:val="SpecialBold"/>
              </w:rPr>
              <w:t>EVIDENCE GUIDE</w:t>
            </w:r>
          </w:p>
        </w:tc>
      </w:tr>
      <w:tr w:rsidTr="004072F8">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BB2494">
            <w:pPr>
              <w:pStyle w:val="BodyText"/>
              <w:rPr>
                <w:lang w:val="en-NZ"/>
              </w:rPr>
            </w:pPr>
            <w:r w:rsidRPr="00BB2494">
              <w:t>The evidence guide provides advice on assessment and must be read in conjunction with the performance criteria, required skills and knowledge, range statement and the Assessment Guidelines for the Training Package.</w:t>
            </w:r>
          </w:p>
        </w:tc>
      </w:tr>
      <w:tr w:rsidTr="004072F8">
        <w:tblPrEx>
          <w:tblW w:w="0" w:type="auto"/>
          <w:tblLayout w:type="fixed"/>
          <w:tblCellMar>
            <w:left w:w="62" w:type="dxa"/>
            <w:right w:w="62" w:type="dxa"/>
          </w:tblCellMar>
          <w:tblLook w:val="0000"/>
        </w:tblPrEx>
        <w:tc>
          <w:tcPr>
            <w:tcW w:w="3514" w:type="dxa"/>
            <w:tcBorders>
              <w:top w:val="nil"/>
              <w:left w:val="nil"/>
              <w:bottom w:val="nil"/>
              <w:right w:val="nil"/>
            </w:tcBorders>
            <w:tcMar>
              <w:top w:w="0" w:type="dxa"/>
              <w:left w:w="62" w:type="dxa"/>
              <w:bottom w:w="0" w:type="dxa"/>
              <w:right w:w="62" w:type="dxa"/>
            </w:tcMar>
          </w:tcPr>
          <w:p w:rsidR="00000000" w:rsidP="00BB2494">
            <w:pPr>
              <w:pStyle w:val="BodyText"/>
              <w:rPr>
                <w:lang w:val="en-NZ"/>
              </w:rPr>
            </w:pPr>
            <w:r w:rsidRPr="00BB2494">
              <w:rPr>
                <w:rStyle w:val="SpecialBold"/>
              </w:rPr>
              <w:t>Overview of assessment</w:t>
            </w:r>
          </w:p>
        </w:tc>
        <w:tc>
          <w:tcPr>
            <w:tcW w:w="5008" w:type="dxa"/>
            <w:tcBorders>
              <w:top w:val="nil"/>
              <w:left w:val="nil"/>
              <w:bottom w:val="nil"/>
              <w:right w:val="nil"/>
            </w:tcBorders>
            <w:tcMar>
              <w:top w:w="0" w:type="dxa"/>
              <w:left w:w="62" w:type="dxa"/>
              <w:bottom w:w="0" w:type="dxa"/>
              <w:right w:w="62" w:type="dxa"/>
            </w:tcMar>
          </w:tcPr>
          <w:p w:rsidR="00000000" w:rsidRPr="00BB2494" w:rsidP="00BB2494">
            <w:pPr>
              <w:pStyle w:val="BodyText"/>
            </w:pPr>
            <w:r w:rsidRPr="00BB2494">
              <w:t>This unit of com</w:t>
            </w:r>
            <w:r w:rsidRPr="00BB2494">
              <w:t>petency could be assessed by carrying out all processes required to prepare for a restoration project.</w:t>
            </w:r>
          </w:p>
          <w:p w:rsidR="00000000" w:rsidP="00BB2494">
            <w:pPr>
              <w:pStyle w:val="BodyText"/>
              <w:rPr>
                <w:lang w:val="en-NZ"/>
              </w:rPr>
            </w:pPr>
            <w:r w:rsidRPr="00BB2494">
              <w:t>This unit of competency can be assessed in the workplace or a close simulation of the workplace environment, provided that simulated or project-based ass</w:t>
            </w:r>
            <w:r w:rsidRPr="00BB2494">
              <w:t xml:space="preserve">essment techniques fully replicate construction workplace conditions, materials, activities, responsibilities and procedures. </w:t>
            </w:r>
          </w:p>
        </w:tc>
      </w:tr>
      <w:tr w:rsidTr="004072F8">
        <w:tblPrEx>
          <w:tblW w:w="0" w:type="auto"/>
          <w:tblLayout w:type="fixed"/>
          <w:tblCellMar>
            <w:left w:w="62" w:type="dxa"/>
            <w:right w:w="62" w:type="dxa"/>
          </w:tblCellMar>
          <w:tblLook w:val="0000"/>
        </w:tblPrEx>
        <w:tc>
          <w:tcPr>
            <w:tcW w:w="3514" w:type="dxa"/>
            <w:tcBorders>
              <w:top w:val="nil"/>
              <w:left w:val="nil"/>
              <w:bottom w:val="nil"/>
              <w:right w:val="nil"/>
            </w:tcBorders>
            <w:tcMar>
              <w:top w:w="0" w:type="dxa"/>
              <w:left w:w="62" w:type="dxa"/>
              <w:bottom w:w="0" w:type="dxa"/>
              <w:right w:w="62" w:type="dxa"/>
            </w:tcMar>
          </w:tcPr>
          <w:p w:rsidR="00000000" w:rsidP="00BB2494">
            <w:pPr>
              <w:pStyle w:val="BodyText"/>
              <w:rPr>
                <w:lang w:val="en-NZ"/>
              </w:rPr>
            </w:pPr>
            <w:r w:rsidRPr="00BB2494">
              <w:rPr>
                <w:rStyle w:val="SpecialBold"/>
              </w:rPr>
              <w:t>Critical aspects for assessment and evidence required to demonstrate competency in this unit</w:t>
            </w:r>
          </w:p>
        </w:tc>
        <w:tc>
          <w:tcPr>
            <w:tcW w:w="5008" w:type="dxa"/>
            <w:tcBorders>
              <w:top w:val="nil"/>
              <w:left w:val="nil"/>
              <w:bottom w:val="nil"/>
              <w:right w:val="nil"/>
            </w:tcBorders>
            <w:tcMar>
              <w:top w:w="0" w:type="dxa"/>
              <w:left w:w="62" w:type="dxa"/>
              <w:bottom w:w="0" w:type="dxa"/>
              <w:right w:w="62" w:type="dxa"/>
            </w:tcMar>
          </w:tcPr>
          <w:p w:rsidR="00000000" w:rsidRPr="00BB2494" w:rsidP="00BB2494">
            <w:pPr>
              <w:pStyle w:val="BodyText"/>
            </w:pPr>
            <w:r w:rsidRPr="00BB2494">
              <w:t>A person who demonstrates competenc</w:t>
            </w:r>
            <w:r w:rsidRPr="00BB2494">
              <w:t>y in this unit must be able to provide evidence of the ability to:</w:t>
            </w:r>
          </w:p>
          <w:p w:rsidR="00000000" w:rsidRPr="00BB2494" w:rsidP="00BB2494">
            <w:pPr>
              <w:pStyle w:val="ListBullet"/>
            </w:pPr>
            <w:r w:rsidRPr="00BB2494">
              <w:t>apply conservation considerations and consultative processes to determine desired restoration application and finish</w:t>
            </w:r>
          </w:p>
          <w:p w:rsidR="00000000" w:rsidRPr="00BB2494" w:rsidP="00BB2494">
            <w:pPr>
              <w:pStyle w:val="ListBullet"/>
            </w:pPr>
            <w:r w:rsidRPr="00BB2494">
              <w:t>demonstrate understanding of preservation of fabric</w:t>
            </w:r>
          </w:p>
          <w:p w:rsidR="00000000" w:rsidRPr="00BB2494" w:rsidP="00BB2494">
            <w:pPr>
              <w:pStyle w:val="ListBullet"/>
            </w:pPr>
            <w:r w:rsidRPr="00BB2494">
              <w:t>comply with OHS regulations applicable to workplace operations</w:t>
            </w:r>
          </w:p>
          <w:p w:rsidR="00000000" w:rsidRPr="00BB2494" w:rsidP="00BB2494">
            <w:pPr>
              <w:pStyle w:val="ListBullet"/>
            </w:pPr>
            <w:r w:rsidRPr="00BB2494">
              <w:t>apply organisational quality procedures and processes within the context of heritage restorations</w:t>
            </w:r>
          </w:p>
          <w:p w:rsidR="00000000" w:rsidRPr="00BB2494" w:rsidP="00BB2494">
            <w:pPr>
              <w:pStyle w:val="ListBullet"/>
            </w:pPr>
            <w:r w:rsidRPr="00BB2494">
              <w:t>record and identify materials used</w:t>
            </w:r>
          </w:p>
          <w:p w:rsidR="00000000" w:rsidRPr="00BB2494" w:rsidP="00BB2494">
            <w:pPr>
              <w:pStyle w:val="ListBullet"/>
            </w:pPr>
            <w:r w:rsidRPr="00BB2494">
              <w:t>use appropriate techniques to provide cover protection</w:t>
            </w:r>
          </w:p>
          <w:p w:rsidR="00000000" w:rsidRPr="00BB2494" w:rsidP="00BB2494">
            <w:pPr>
              <w:pStyle w:val="ListBullet"/>
            </w:pPr>
            <w:r w:rsidRPr="00BB2494">
              <w:t>use s</w:t>
            </w:r>
            <w:r w:rsidRPr="00BB2494">
              <w:t>afe and effective procedures to handle hazardous materials</w:t>
            </w:r>
          </w:p>
          <w:p w:rsidR="00000000" w:rsidRPr="00BB2494" w:rsidP="00BB2494">
            <w:pPr>
              <w:pStyle w:val="ListBullet"/>
            </w:pPr>
            <w:r w:rsidRPr="00BB2494">
              <w:t>identify typical faults and problems that occur and take necessary action to rectify</w:t>
            </w:r>
          </w:p>
          <w:p w:rsidR="00000000" w:rsidP="00BB2494">
            <w:pPr>
              <w:pStyle w:val="ListBullet"/>
              <w:rPr>
                <w:lang w:val="en-NZ"/>
              </w:rPr>
            </w:pPr>
            <w:r w:rsidRPr="00BB2494">
              <w:t>interact with others to ensure safe and effective work site operations.</w:t>
            </w:r>
          </w:p>
        </w:tc>
      </w:tr>
      <w:tr w:rsidTr="004072F8">
        <w:tblPrEx>
          <w:tblW w:w="0" w:type="auto"/>
          <w:tblLayout w:type="fixed"/>
          <w:tblCellMar>
            <w:left w:w="62" w:type="dxa"/>
            <w:right w:w="62" w:type="dxa"/>
          </w:tblCellMar>
          <w:tblLook w:val="0000"/>
        </w:tblPrEx>
        <w:tc>
          <w:tcPr>
            <w:tcW w:w="3514" w:type="dxa"/>
            <w:tcBorders>
              <w:top w:val="nil"/>
              <w:left w:val="nil"/>
              <w:bottom w:val="nil"/>
              <w:right w:val="nil"/>
            </w:tcBorders>
            <w:tcMar>
              <w:top w:w="0" w:type="dxa"/>
              <w:left w:w="62" w:type="dxa"/>
              <w:bottom w:w="0" w:type="dxa"/>
              <w:right w:w="62" w:type="dxa"/>
            </w:tcMar>
          </w:tcPr>
          <w:p w:rsidR="00000000" w:rsidP="00BB2494">
            <w:pPr>
              <w:pStyle w:val="BodyText"/>
              <w:rPr>
                <w:lang w:val="en-NZ"/>
              </w:rPr>
            </w:pPr>
            <w:r w:rsidRPr="00BB2494">
              <w:rPr>
                <w:rStyle w:val="SpecialBold"/>
              </w:rPr>
              <w:t>Context of and specific resources for a</w:t>
            </w:r>
            <w:r w:rsidRPr="00BB2494">
              <w:rPr>
                <w:rStyle w:val="SpecialBold"/>
              </w:rPr>
              <w:t>ssessment</w:t>
            </w:r>
          </w:p>
        </w:tc>
        <w:tc>
          <w:tcPr>
            <w:tcW w:w="5008" w:type="dxa"/>
            <w:tcBorders>
              <w:top w:val="nil"/>
              <w:left w:val="nil"/>
              <w:bottom w:val="nil"/>
              <w:right w:val="nil"/>
            </w:tcBorders>
            <w:tcMar>
              <w:top w:w="0" w:type="dxa"/>
              <w:left w:w="62" w:type="dxa"/>
              <w:bottom w:w="0" w:type="dxa"/>
              <w:right w:w="62" w:type="dxa"/>
            </w:tcMar>
          </w:tcPr>
          <w:p w:rsidR="00000000" w:rsidRPr="00BB2494" w:rsidP="00BB2494">
            <w:pPr>
              <w:pStyle w:val="BodyText"/>
            </w:pPr>
            <w:r w:rsidRPr="00BB2494">
              <w:t>This competency is to be assessed using standard and authorised work practices, safety requirements and environmental constraints.</w:t>
            </w:r>
          </w:p>
          <w:p w:rsidR="00000000" w:rsidRPr="00BB2494" w:rsidP="00BB2494">
            <w:pPr>
              <w:pStyle w:val="BodyText"/>
            </w:pPr>
            <w:r w:rsidRPr="00BB2494">
              <w:t>Assessment of essential underpinning knowledge will usually be conducted in an off-site context.</w:t>
            </w:r>
          </w:p>
          <w:p w:rsidR="00000000" w:rsidRPr="00BB2494" w:rsidP="00BB2494">
            <w:pPr>
              <w:pStyle w:val="BodyText"/>
            </w:pPr>
            <w:r w:rsidRPr="00BB2494">
              <w:t>Assessment is to c</w:t>
            </w:r>
            <w:r w:rsidRPr="00BB2494">
              <w:t>omply with relevant regulatory or Australian standards' requirements.</w:t>
            </w:r>
          </w:p>
          <w:p w:rsidR="00000000" w:rsidRPr="00BB2494" w:rsidP="00BB2494">
            <w:pPr>
              <w:pStyle w:val="BodyText"/>
            </w:pPr>
            <w:r w:rsidRPr="00BB2494">
              <w:t>Resource implications for assessment include:</w:t>
            </w:r>
          </w:p>
          <w:p w:rsidR="00000000" w:rsidRPr="00BB2494" w:rsidP="00BB2494">
            <w:pPr>
              <w:pStyle w:val="ListBullet"/>
            </w:pPr>
            <w:r w:rsidRPr="00BB2494">
              <w:t>historic work locations appropriate to competency range and activities</w:t>
            </w:r>
          </w:p>
          <w:p w:rsidR="00000000" w:rsidRPr="00BB2494" w:rsidP="00BB2494">
            <w:pPr>
              <w:pStyle w:val="ListBullet"/>
            </w:pPr>
            <w:r w:rsidRPr="00BB2494">
              <w:t>materials appropriate to application activities</w:t>
            </w:r>
          </w:p>
          <w:p w:rsidR="00000000" w:rsidRPr="00BB2494" w:rsidP="00BB2494">
            <w:pPr>
              <w:pStyle w:val="ListBullet"/>
            </w:pPr>
            <w:r w:rsidRPr="00BB2494">
              <w:t>appropriate documentation and data related to tasks</w:t>
            </w:r>
          </w:p>
          <w:p w:rsidR="00000000" w:rsidRPr="00BB2494" w:rsidP="00BB2494">
            <w:pPr>
              <w:pStyle w:val="ListBullet"/>
            </w:pPr>
            <w:r w:rsidRPr="00BB2494">
              <w:t>scaffolding equipment, plant, tools and equipment relevant to activity processes.</w:t>
            </w:r>
          </w:p>
          <w:p w:rsidR="00000000" w:rsidP="00BB2494">
            <w:pPr>
              <w:pStyle w:val="BodyText"/>
              <w:rPr>
                <w:lang w:val="en-NZ"/>
              </w:rPr>
            </w:pPr>
            <w:r w:rsidRPr="00BB2494">
              <w:t>Reasonable adjustments for people with disabilities must be made to assessment processes where required. This could includ</w:t>
            </w:r>
            <w:r w:rsidRPr="00BB2494">
              <w:t xml:space="preserve">e access to modified equipment and other physical resources, and the provision of appropriate assessment support. </w:t>
            </w:r>
          </w:p>
        </w:tc>
      </w:tr>
      <w:tr w:rsidTr="004072F8">
        <w:tblPrEx>
          <w:tblW w:w="0" w:type="auto"/>
          <w:tblLayout w:type="fixed"/>
          <w:tblCellMar>
            <w:left w:w="62" w:type="dxa"/>
            <w:right w:w="62" w:type="dxa"/>
          </w:tblCellMar>
          <w:tblLook w:val="0000"/>
        </w:tblPrEx>
        <w:tc>
          <w:tcPr>
            <w:tcW w:w="3514" w:type="dxa"/>
            <w:tcBorders>
              <w:top w:val="nil"/>
              <w:left w:val="nil"/>
              <w:bottom w:val="nil"/>
              <w:right w:val="nil"/>
            </w:tcBorders>
            <w:tcMar>
              <w:top w:w="0" w:type="dxa"/>
              <w:left w:w="62" w:type="dxa"/>
              <w:bottom w:w="0" w:type="dxa"/>
              <w:right w:w="62" w:type="dxa"/>
            </w:tcMar>
          </w:tcPr>
          <w:p w:rsidR="00000000" w:rsidP="00BB2494">
            <w:pPr>
              <w:pStyle w:val="BodyText"/>
              <w:rPr>
                <w:lang w:val="en-NZ"/>
              </w:rPr>
            </w:pPr>
            <w:r w:rsidRPr="00BB2494">
              <w:rPr>
                <w:rStyle w:val="SpecialBold"/>
              </w:rPr>
              <w:t>Method of assessment</w:t>
            </w:r>
          </w:p>
        </w:tc>
        <w:tc>
          <w:tcPr>
            <w:tcW w:w="5008" w:type="dxa"/>
            <w:tcBorders>
              <w:top w:val="nil"/>
              <w:left w:val="nil"/>
              <w:bottom w:val="nil"/>
              <w:right w:val="nil"/>
            </w:tcBorders>
            <w:tcMar>
              <w:top w:w="0" w:type="dxa"/>
              <w:left w:w="62" w:type="dxa"/>
              <w:bottom w:w="0" w:type="dxa"/>
              <w:right w:w="62" w:type="dxa"/>
            </w:tcMar>
          </w:tcPr>
          <w:p w:rsidR="00000000" w:rsidRPr="00BB2494" w:rsidP="00BB2494">
            <w:pPr>
              <w:pStyle w:val="BodyText"/>
            </w:pPr>
            <w:r w:rsidRPr="00BB2494">
              <w:t>Assessment methods must:</w:t>
            </w:r>
          </w:p>
          <w:p w:rsidR="00000000" w:rsidRPr="00BB2494" w:rsidP="00BB2494">
            <w:pPr>
              <w:pStyle w:val="ListBullet"/>
            </w:pPr>
            <w:r w:rsidRPr="00BB2494">
              <w:t xml:space="preserve">satisfy the endorsed Assessment Guidelines of the Construction, Plumbing and Services </w:t>
            </w:r>
            <w:r w:rsidRPr="00BB2494">
              <w:t>Training Package</w:t>
            </w:r>
          </w:p>
          <w:p w:rsidR="00000000" w:rsidRPr="00BB2494" w:rsidP="00BB2494">
            <w:pPr>
              <w:pStyle w:val="ListBullet"/>
            </w:pPr>
            <w:r w:rsidRPr="00BB2494">
              <w:t>include direct observation of tasks in real or simulated work conditions, with questioning to confirm the ability to consistently identify and correctly interpret the essential underpinning knowledge required for practical application</w:t>
            </w:r>
          </w:p>
          <w:p w:rsidR="00000000" w:rsidRPr="00BB2494" w:rsidP="00BB2494">
            <w:pPr>
              <w:pStyle w:val="ListBullet"/>
            </w:pPr>
            <w:r w:rsidRPr="00BB2494">
              <w:t>rein</w:t>
            </w:r>
            <w:r w:rsidRPr="00BB2494">
              <w:t>force the integration of employability skills with workplace tasks and job roles</w:t>
            </w:r>
          </w:p>
          <w:p w:rsidR="00000000" w:rsidRPr="00BB2494" w:rsidP="00BB2494">
            <w:pPr>
              <w:pStyle w:val="ListBullet"/>
            </w:pPr>
            <w:r w:rsidRPr="00BB2494">
              <w:t>confirm that competency is verified and able to be transferred to other circumstances and environments.</w:t>
            </w:r>
          </w:p>
          <w:p w:rsidR="00000000" w:rsidRPr="00BB2494" w:rsidP="00BB2494">
            <w:pPr>
              <w:pStyle w:val="BodyText"/>
            </w:pPr>
            <w:r w:rsidRPr="00BB2494">
              <w:t>Validity and sufficiency of evidence requires that:</w:t>
            </w:r>
          </w:p>
          <w:p w:rsidR="00000000" w:rsidRPr="00BB2494" w:rsidP="00BB2494">
            <w:pPr>
              <w:pStyle w:val="ListBullet"/>
            </w:pPr>
            <w:r w:rsidRPr="00BB2494">
              <w:t>competency will ne</w:t>
            </w:r>
            <w:r w:rsidRPr="00BB2494">
              <w:t>ed to be demonstrated over a period of time reflecting the scope of the role and the practical requirements of the workplace</w:t>
            </w:r>
          </w:p>
          <w:p w:rsidR="00000000" w:rsidRPr="00BB2494" w:rsidP="00BB2494">
            <w:pPr>
              <w:pStyle w:val="ListBullet"/>
            </w:pPr>
            <w:r w:rsidRPr="00BB2494">
              <w:t>where the assessment is part of a structured learning experience the evidence collected must relate to a number of performances ass</w:t>
            </w:r>
            <w:r w:rsidRPr="00BB2494">
              <w:t>essed at different points in time and separated by further learning and practice, with a decision on competency only taken at the point when the assessor has complete confidence in the person's demonstrated ability and applied knowledge</w:t>
            </w:r>
          </w:p>
          <w:p w:rsidR="00000000" w:rsidRPr="00BB2494" w:rsidP="00BB2494">
            <w:pPr>
              <w:pStyle w:val="ListBullet"/>
            </w:pPr>
            <w:r w:rsidRPr="00BB2494">
              <w:t>all assessment that is part of a structured learning experience must include a combination of direct, indirect and supplementary evidence.</w:t>
            </w:r>
          </w:p>
          <w:p w:rsidR="00000000" w:rsidRPr="00BB2494" w:rsidP="00BB2494">
            <w:pPr>
              <w:pStyle w:val="BodyText"/>
            </w:pPr>
            <w:r w:rsidRPr="00BB2494">
              <w:t>Assessment processes and techniques should as far as is practical take into account the language, literacy and numera</w:t>
            </w:r>
            <w:r w:rsidRPr="00BB2494">
              <w:t>cy capacity of the candidate in relation to the competency being assessed.</w:t>
            </w:r>
          </w:p>
          <w:p w:rsidR="00000000" w:rsidRPr="00BB2494" w:rsidP="00BB2494">
            <w:pPr>
              <w:pStyle w:val="BodyText"/>
            </w:pPr>
            <w:r w:rsidRPr="00BB2494">
              <w:t xml:space="preserve">Supplementary evidence of competency may be obtained from relevant authenticated documentation from third parties, such as existing supervisors, team leaders or specialist training </w:t>
            </w:r>
            <w:r w:rsidRPr="00BB2494">
              <w:t xml:space="preserve">staff. </w:t>
            </w:r>
          </w:p>
        </w:tc>
      </w:tr>
    </w:tbl>
    <w:p w:rsidR="004072F8" w:rsidP="00BB2494">
      <w:pPr>
        <w:pStyle w:val="BodyText"/>
      </w:pPr>
    </w:p>
    <w:p w:rsidR="004072F8" w:rsidP="00BB2494">
      <w:pPr>
        <w:pStyle w:val="BodyText"/>
      </w:pPr>
    </w:p>
    <w:p w:rsidR="00000000" w:rsidRPr="00BB2494" w:rsidP="00BB2494">
      <w:pPr>
        <w:pStyle w:val="Heading1"/>
      </w:pPr>
      <w:bookmarkStart w:id="11" w:name="O_250113"/>
      <w:bookmarkEnd w:id="11"/>
      <w:r w:rsidRPr="00BB2494">
        <w:t>Range Statement</w:t>
      </w:r>
    </w:p>
    <w:tbl>
      <w:tblPr>
        <w:tblW w:w="0" w:type="auto"/>
        <w:tblLayout w:type="fixed"/>
        <w:tblCellMar>
          <w:left w:w="62" w:type="dxa"/>
          <w:right w:w="62" w:type="dxa"/>
        </w:tblCellMar>
        <w:tblLook w:val="0000"/>
      </w:tblPr>
      <w:tblGrid>
        <w:gridCol w:w="3493"/>
        <w:gridCol w:w="5029"/>
      </w:tblGrid>
      <w:tr w:rsidTr="004072F8">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BB2494">
            <w:pPr>
              <w:pStyle w:val="BodyText"/>
              <w:rPr>
                <w:lang w:val="en-NZ"/>
              </w:rPr>
            </w:pPr>
            <w:r w:rsidRPr="00BB2494">
              <w:rPr>
                <w:rStyle w:val="SpecialBold"/>
              </w:rPr>
              <w:t>RANGE STATEMENT</w:t>
            </w:r>
          </w:p>
        </w:tc>
      </w:tr>
      <w:tr w:rsidTr="004072F8">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BB2494">
            <w:pPr>
              <w:pStyle w:val="BodyText"/>
              <w:rPr>
                <w:lang w:val="en-NZ"/>
              </w:rPr>
            </w:pPr>
            <w:r w:rsidRPr="00BB2494">
              <w:t xml:space="preserve">The range statement relates to the unit of competency as a whole. It allows for different work environments and situations that may affect </w:t>
            </w:r>
            <w:r w:rsidRPr="00BB2494">
              <w:t>performance. Bold italicised wording, if used in the performance criteria, is detailed below. Essential operating conditions that may be present with training and assessment (depending on the work situation, needs of the candidate, accessibility of the ite</w:t>
            </w:r>
            <w:r w:rsidRPr="00BB2494">
              <w:t>m, and local industry and regional contexts) may also be included.</w:t>
            </w:r>
          </w:p>
        </w:tc>
      </w:tr>
      <w:tr w:rsidTr="004072F8">
        <w:tblPrEx>
          <w:tblW w:w="0" w:type="auto"/>
          <w:tblLayout w:type="fixed"/>
          <w:tblCellMar>
            <w:left w:w="62" w:type="dxa"/>
            <w:right w:w="62" w:type="dxa"/>
          </w:tblCellMar>
          <w:tblLook w:val="0000"/>
        </w:tblPrEx>
        <w:tc>
          <w:tcPr>
            <w:tcW w:w="3493" w:type="dxa"/>
            <w:tcBorders>
              <w:top w:val="nil"/>
              <w:left w:val="nil"/>
              <w:bottom w:val="nil"/>
              <w:right w:val="nil"/>
            </w:tcBorders>
            <w:tcMar>
              <w:top w:w="0" w:type="dxa"/>
              <w:left w:w="62" w:type="dxa"/>
              <w:bottom w:w="0" w:type="dxa"/>
              <w:right w:w="62" w:type="dxa"/>
            </w:tcMar>
          </w:tcPr>
          <w:p w:rsidR="00000000" w:rsidP="00BB2494">
            <w:pPr>
              <w:pStyle w:val="BodyText"/>
              <w:rPr>
                <w:lang w:val="en-NZ"/>
              </w:rPr>
            </w:pPr>
            <w:r w:rsidRPr="00BB2494">
              <w:rPr>
                <w:rStyle w:val="BoldandItalics"/>
              </w:rPr>
              <w:t>Quality assurance</w:t>
            </w:r>
            <w:r w:rsidRPr="00BB2494">
              <w:t xml:space="preserve"> includes: </w:t>
            </w:r>
          </w:p>
        </w:tc>
        <w:tc>
          <w:tcPr>
            <w:tcW w:w="5029" w:type="dxa"/>
            <w:tcBorders>
              <w:top w:val="nil"/>
              <w:left w:val="nil"/>
              <w:bottom w:val="nil"/>
              <w:right w:val="nil"/>
            </w:tcBorders>
            <w:tcMar>
              <w:top w:w="0" w:type="dxa"/>
              <w:left w:w="62" w:type="dxa"/>
              <w:bottom w:w="0" w:type="dxa"/>
              <w:right w:w="62" w:type="dxa"/>
            </w:tcMar>
          </w:tcPr>
          <w:p w:rsidR="00000000" w:rsidRPr="00BB2494" w:rsidP="00BB2494">
            <w:pPr>
              <w:pStyle w:val="ListBullet"/>
            </w:pPr>
            <w:r w:rsidRPr="00BB2494">
              <w:t>application techniques</w:t>
            </w:r>
          </w:p>
          <w:p w:rsidR="00000000" w:rsidRPr="00BB2494" w:rsidP="00BB2494">
            <w:pPr>
              <w:pStyle w:val="ListBullet"/>
            </w:pPr>
            <w:r w:rsidRPr="00BB2494">
              <w:t>attention to specifications of work</w:t>
            </w:r>
          </w:p>
          <w:p w:rsidR="00000000" w:rsidRPr="00BB2494" w:rsidP="00BB2494">
            <w:pPr>
              <w:pStyle w:val="ListBullet"/>
            </w:pPr>
            <w:r w:rsidRPr="00BB2494">
              <w:t>cleanliness of surfaces</w:t>
            </w:r>
          </w:p>
          <w:p w:rsidR="00000000" w:rsidRPr="00BB2494" w:rsidP="00BB2494">
            <w:pPr>
              <w:pStyle w:val="ListBullet"/>
            </w:pPr>
            <w:r w:rsidRPr="00BB2494">
              <w:t>preparation of surfaces</w:t>
            </w:r>
          </w:p>
          <w:p w:rsidR="00000000" w:rsidRPr="00BB2494" w:rsidP="00BB2494">
            <w:pPr>
              <w:pStyle w:val="ListBullet"/>
            </w:pPr>
            <w:r w:rsidRPr="00BB2494">
              <w:t>quality of materials</w:t>
            </w:r>
          </w:p>
          <w:p w:rsidR="00000000" w:rsidRPr="00BB2494" w:rsidP="00BB2494">
            <w:pPr>
              <w:pStyle w:val="ListBullet"/>
            </w:pPr>
            <w:r w:rsidRPr="00BB2494">
              <w:t>quality of tools</w:t>
            </w:r>
          </w:p>
          <w:p w:rsidR="00000000" w:rsidRPr="00BB2494" w:rsidP="00BB2494">
            <w:pPr>
              <w:pStyle w:val="ListBullet"/>
            </w:pPr>
            <w:r w:rsidRPr="00BB2494">
              <w:t>quality records</w:t>
            </w:r>
          </w:p>
          <w:p w:rsidR="00000000" w:rsidP="00BB2494">
            <w:pPr>
              <w:pStyle w:val="ListBullet"/>
              <w:rPr>
                <w:lang w:val="en-NZ"/>
              </w:rPr>
            </w:pPr>
            <w:r w:rsidRPr="00BB2494">
              <w:t>workplace operations and procedures.</w:t>
            </w:r>
          </w:p>
        </w:tc>
      </w:tr>
      <w:tr w:rsidTr="004072F8">
        <w:tblPrEx>
          <w:tblW w:w="0" w:type="auto"/>
          <w:tblLayout w:type="fixed"/>
          <w:tblCellMar>
            <w:left w:w="62" w:type="dxa"/>
            <w:right w:w="62" w:type="dxa"/>
          </w:tblCellMar>
          <w:tblLook w:val="0000"/>
        </w:tblPrEx>
        <w:tc>
          <w:tcPr>
            <w:tcW w:w="3493" w:type="dxa"/>
            <w:tcBorders>
              <w:top w:val="nil"/>
              <w:left w:val="nil"/>
              <w:bottom w:val="nil"/>
              <w:right w:val="nil"/>
            </w:tcBorders>
            <w:tcMar>
              <w:top w:w="0" w:type="dxa"/>
              <w:left w:w="62" w:type="dxa"/>
              <w:bottom w:w="0" w:type="dxa"/>
              <w:right w:w="62" w:type="dxa"/>
            </w:tcMar>
          </w:tcPr>
          <w:p w:rsidR="00000000" w:rsidP="00BB2494">
            <w:pPr>
              <w:pStyle w:val="BodyText"/>
              <w:rPr>
                <w:lang w:val="en-NZ"/>
              </w:rPr>
            </w:pPr>
            <w:r w:rsidRPr="00BB2494">
              <w:rPr>
                <w:rStyle w:val="BoldandItalics"/>
              </w:rPr>
              <w:t>OHS requirements</w:t>
            </w:r>
            <w:r w:rsidRPr="00BB2494">
              <w:t xml:space="preserve"> cover: </w:t>
            </w:r>
          </w:p>
        </w:tc>
        <w:tc>
          <w:tcPr>
            <w:tcW w:w="5029" w:type="dxa"/>
            <w:tcBorders>
              <w:top w:val="nil"/>
              <w:left w:val="nil"/>
              <w:bottom w:val="nil"/>
              <w:right w:val="nil"/>
            </w:tcBorders>
            <w:tcMar>
              <w:top w:w="0" w:type="dxa"/>
              <w:left w:w="62" w:type="dxa"/>
              <w:bottom w:w="0" w:type="dxa"/>
              <w:right w:w="62" w:type="dxa"/>
            </w:tcMar>
          </w:tcPr>
          <w:p w:rsidR="00000000" w:rsidRPr="00BB2494" w:rsidP="00BB2494">
            <w:pPr>
              <w:pStyle w:val="ListBullet"/>
            </w:pPr>
            <w:r w:rsidRPr="00BB2494">
              <w:t>handling materials</w:t>
            </w:r>
          </w:p>
          <w:p w:rsidR="00000000" w:rsidRPr="00BB2494" w:rsidP="00BB2494">
            <w:pPr>
              <w:pStyle w:val="ListBullet"/>
            </w:pPr>
            <w:r w:rsidRPr="00BB2494">
              <w:t>protective clothing and equipment</w:t>
            </w:r>
          </w:p>
          <w:p w:rsidR="00000000" w:rsidRPr="00BB2494" w:rsidP="00BB2494">
            <w:pPr>
              <w:pStyle w:val="ListBullet"/>
            </w:pPr>
            <w:r w:rsidRPr="00BB2494">
              <w:t>use of ladders</w:t>
            </w:r>
          </w:p>
          <w:p w:rsidR="00000000" w:rsidRPr="00BB2494" w:rsidP="00BB2494">
            <w:pPr>
              <w:pStyle w:val="ListBullet"/>
            </w:pPr>
            <w:r w:rsidRPr="00BB2494">
              <w:t>use of tools and equipment</w:t>
            </w:r>
          </w:p>
          <w:p w:rsidR="00000000" w:rsidRPr="00BB2494" w:rsidP="00BB2494">
            <w:pPr>
              <w:pStyle w:val="ListBullet"/>
            </w:pPr>
            <w:r w:rsidRPr="00BB2494">
              <w:t>working platforms and scaffolding</w:t>
            </w:r>
          </w:p>
          <w:p w:rsidR="00000000" w:rsidP="00BB2494">
            <w:pPr>
              <w:pStyle w:val="ListBullet"/>
              <w:rPr>
                <w:lang w:val="en-NZ"/>
              </w:rPr>
            </w:pPr>
            <w:r w:rsidRPr="00BB2494">
              <w:t>workplace environment and safety.</w:t>
            </w:r>
          </w:p>
        </w:tc>
      </w:tr>
      <w:tr w:rsidTr="004072F8">
        <w:tblPrEx>
          <w:tblW w:w="0" w:type="auto"/>
          <w:tblLayout w:type="fixed"/>
          <w:tblCellMar>
            <w:left w:w="62" w:type="dxa"/>
            <w:right w:w="62" w:type="dxa"/>
          </w:tblCellMar>
          <w:tblLook w:val="0000"/>
        </w:tblPrEx>
        <w:tc>
          <w:tcPr>
            <w:tcW w:w="3493" w:type="dxa"/>
            <w:tcBorders>
              <w:top w:val="nil"/>
              <w:left w:val="nil"/>
              <w:bottom w:val="nil"/>
              <w:right w:val="nil"/>
            </w:tcBorders>
            <w:tcMar>
              <w:top w:w="0" w:type="dxa"/>
              <w:left w:w="62" w:type="dxa"/>
              <w:bottom w:w="0" w:type="dxa"/>
              <w:right w:w="62" w:type="dxa"/>
            </w:tcMar>
          </w:tcPr>
          <w:p w:rsidR="00000000" w:rsidP="00BB2494">
            <w:pPr>
              <w:pStyle w:val="BodyText"/>
              <w:rPr>
                <w:lang w:val="en-NZ"/>
              </w:rPr>
            </w:pPr>
            <w:r w:rsidRPr="00BB2494">
              <w:rPr>
                <w:rStyle w:val="BoldandItalics"/>
              </w:rPr>
              <w:t>Personal protective equipment</w:t>
            </w:r>
            <w:r w:rsidRPr="00BB2494">
              <w:t xml:space="preserve"> includes: </w:t>
            </w:r>
          </w:p>
        </w:tc>
        <w:tc>
          <w:tcPr>
            <w:tcW w:w="5029" w:type="dxa"/>
            <w:tcBorders>
              <w:top w:val="nil"/>
              <w:left w:val="nil"/>
              <w:bottom w:val="nil"/>
              <w:right w:val="nil"/>
            </w:tcBorders>
            <w:tcMar>
              <w:top w:w="0" w:type="dxa"/>
              <w:left w:w="62" w:type="dxa"/>
              <w:bottom w:w="0" w:type="dxa"/>
              <w:right w:w="62" w:type="dxa"/>
            </w:tcMar>
          </w:tcPr>
          <w:p w:rsidR="00000000" w:rsidRPr="00BB2494" w:rsidP="00BB2494">
            <w:pPr>
              <w:pStyle w:val="ListBullet"/>
            </w:pPr>
            <w:r w:rsidRPr="00BB2494">
              <w:t>boots</w:t>
            </w:r>
          </w:p>
          <w:p w:rsidR="00000000" w:rsidRPr="00BB2494" w:rsidP="00BB2494">
            <w:pPr>
              <w:pStyle w:val="ListBullet"/>
            </w:pPr>
            <w:r w:rsidRPr="00BB2494">
              <w:t>caps</w:t>
            </w:r>
          </w:p>
          <w:p w:rsidR="00000000" w:rsidRPr="00BB2494" w:rsidP="00BB2494">
            <w:pPr>
              <w:pStyle w:val="ListBullet"/>
            </w:pPr>
            <w:r w:rsidRPr="00BB2494">
              <w:t>ear plugs and muffs</w:t>
            </w:r>
          </w:p>
          <w:p w:rsidR="00000000" w:rsidRPr="00BB2494" w:rsidP="00BB2494">
            <w:pPr>
              <w:pStyle w:val="ListBullet"/>
            </w:pPr>
            <w:r w:rsidRPr="00BB2494">
              <w:t>gloves</w:t>
            </w:r>
          </w:p>
          <w:p w:rsidR="00000000" w:rsidRPr="00BB2494" w:rsidP="00BB2494">
            <w:pPr>
              <w:pStyle w:val="ListBullet"/>
            </w:pPr>
            <w:r w:rsidRPr="00BB2494">
              <w:t>masks and respirators</w:t>
            </w:r>
          </w:p>
          <w:p w:rsidR="00000000" w:rsidP="00BB2494">
            <w:pPr>
              <w:pStyle w:val="ListBullet"/>
              <w:rPr>
                <w:lang w:val="en-NZ"/>
              </w:rPr>
            </w:pPr>
            <w:r w:rsidRPr="00BB2494">
              <w:t>safety glasses and goggles.</w:t>
            </w:r>
          </w:p>
        </w:tc>
      </w:tr>
      <w:tr w:rsidTr="004072F8">
        <w:tblPrEx>
          <w:tblW w:w="0" w:type="auto"/>
          <w:tblLayout w:type="fixed"/>
          <w:tblCellMar>
            <w:left w:w="62" w:type="dxa"/>
            <w:right w:w="62" w:type="dxa"/>
          </w:tblCellMar>
          <w:tblLook w:val="0000"/>
        </w:tblPrEx>
        <w:tc>
          <w:tcPr>
            <w:tcW w:w="3493" w:type="dxa"/>
            <w:tcBorders>
              <w:top w:val="nil"/>
              <w:left w:val="nil"/>
              <w:bottom w:val="nil"/>
              <w:right w:val="nil"/>
            </w:tcBorders>
            <w:tcMar>
              <w:top w:w="0" w:type="dxa"/>
              <w:left w:w="62" w:type="dxa"/>
              <w:bottom w:w="0" w:type="dxa"/>
              <w:right w:w="62" w:type="dxa"/>
            </w:tcMar>
          </w:tcPr>
          <w:p w:rsidR="00000000" w:rsidP="00BB2494">
            <w:pPr>
              <w:pStyle w:val="BodyText"/>
              <w:rPr>
                <w:lang w:val="en-NZ"/>
              </w:rPr>
            </w:pPr>
            <w:r w:rsidRPr="00BB2494">
              <w:rPr>
                <w:rStyle w:val="BoldandItalics"/>
              </w:rPr>
              <w:t>Safety hazards</w:t>
            </w:r>
            <w:r w:rsidRPr="00BB2494">
              <w:t xml:space="preserve"> include: </w:t>
            </w:r>
          </w:p>
        </w:tc>
        <w:tc>
          <w:tcPr>
            <w:tcW w:w="5029" w:type="dxa"/>
            <w:tcBorders>
              <w:top w:val="nil"/>
              <w:left w:val="nil"/>
              <w:bottom w:val="nil"/>
              <w:right w:val="nil"/>
            </w:tcBorders>
            <w:tcMar>
              <w:top w:w="0" w:type="dxa"/>
              <w:left w:w="62" w:type="dxa"/>
              <w:bottom w:w="0" w:type="dxa"/>
              <w:right w:w="62" w:type="dxa"/>
            </w:tcMar>
          </w:tcPr>
          <w:p w:rsidR="00000000" w:rsidRPr="00BB2494" w:rsidP="00BB2494">
            <w:pPr>
              <w:pStyle w:val="ListBullet"/>
            </w:pPr>
            <w:r w:rsidRPr="00BB2494">
              <w:t>cutting back loose surfaces</w:t>
            </w:r>
          </w:p>
          <w:p w:rsidR="00000000" w:rsidRPr="00BB2494" w:rsidP="00BB2494">
            <w:pPr>
              <w:pStyle w:val="ListBullet"/>
            </w:pPr>
            <w:r w:rsidRPr="00BB2494">
              <w:t>dust</w:t>
            </w:r>
          </w:p>
          <w:p w:rsidR="00000000" w:rsidRPr="00BB2494" w:rsidP="00BB2494">
            <w:pPr>
              <w:pStyle w:val="ListBullet"/>
            </w:pPr>
            <w:r w:rsidRPr="00BB2494">
              <w:t>handling hazardous materials</w:t>
            </w:r>
          </w:p>
          <w:p w:rsidR="00000000" w:rsidRPr="00BB2494" w:rsidP="00BB2494">
            <w:pPr>
              <w:pStyle w:val="ListBullet"/>
            </w:pPr>
            <w:r w:rsidRPr="00BB2494">
              <w:t>wind</w:t>
            </w:r>
          </w:p>
          <w:p w:rsidR="00000000" w:rsidP="00BB2494">
            <w:pPr>
              <w:pStyle w:val="ListBullet"/>
              <w:rPr>
                <w:lang w:val="en-NZ"/>
              </w:rPr>
            </w:pPr>
            <w:r w:rsidRPr="00BB2494">
              <w:t>working from platforms.</w:t>
            </w:r>
          </w:p>
        </w:tc>
      </w:tr>
      <w:tr w:rsidTr="004072F8">
        <w:tblPrEx>
          <w:tblW w:w="0" w:type="auto"/>
          <w:tblLayout w:type="fixed"/>
          <w:tblCellMar>
            <w:left w:w="62" w:type="dxa"/>
            <w:right w:w="62" w:type="dxa"/>
          </w:tblCellMar>
          <w:tblLook w:val="0000"/>
        </w:tblPrEx>
        <w:tc>
          <w:tcPr>
            <w:tcW w:w="3493" w:type="dxa"/>
            <w:tcBorders>
              <w:top w:val="nil"/>
              <w:left w:val="nil"/>
              <w:bottom w:val="nil"/>
              <w:right w:val="nil"/>
            </w:tcBorders>
            <w:tcMar>
              <w:top w:w="0" w:type="dxa"/>
              <w:left w:w="62" w:type="dxa"/>
              <w:bottom w:w="0" w:type="dxa"/>
              <w:right w:w="62" w:type="dxa"/>
            </w:tcMar>
          </w:tcPr>
          <w:p w:rsidR="00000000" w:rsidP="00BB2494">
            <w:pPr>
              <w:pStyle w:val="BodyText"/>
              <w:rPr>
                <w:lang w:val="en-NZ"/>
              </w:rPr>
            </w:pPr>
            <w:r w:rsidRPr="00BB2494">
              <w:rPr>
                <w:rStyle w:val="BoldandItalics"/>
              </w:rPr>
              <w:t>Historically accurate information</w:t>
            </w:r>
            <w:r w:rsidRPr="00BB2494">
              <w:t xml:space="preserve"> includes from sources such as: </w:t>
            </w:r>
          </w:p>
        </w:tc>
        <w:tc>
          <w:tcPr>
            <w:tcW w:w="5029" w:type="dxa"/>
            <w:tcBorders>
              <w:top w:val="nil"/>
              <w:left w:val="nil"/>
              <w:bottom w:val="nil"/>
              <w:right w:val="nil"/>
            </w:tcBorders>
            <w:tcMar>
              <w:top w:w="0" w:type="dxa"/>
              <w:left w:w="62" w:type="dxa"/>
              <w:bottom w:w="0" w:type="dxa"/>
              <w:right w:w="62" w:type="dxa"/>
            </w:tcMar>
          </w:tcPr>
          <w:p w:rsidR="00000000" w:rsidRPr="00BB2494" w:rsidP="00BB2494">
            <w:pPr>
              <w:pStyle w:val="ListBullet"/>
            </w:pPr>
            <w:r w:rsidRPr="00BB2494">
              <w:t>building trusts</w:t>
            </w:r>
          </w:p>
          <w:p w:rsidR="00000000" w:rsidRPr="00BB2494" w:rsidP="00BB2494">
            <w:pPr>
              <w:pStyle w:val="ListBullet"/>
            </w:pPr>
            <w:r w:rsidRPr="00BB2494">
              <w:t>elderly local residents</w:t>
            </w:r>
          </w:p>
          <w:p w:rsidR="00000000" w:rsidRPr="00BB2494" w:rsidP="00BB2494">
            <w:pPr>
              <w:pStyle w:val="ListBullet"/>
            </w:pPr>
            <w:r w:rsidRPr="00BB2494">
              <w:t>historical societies</w:t>
            </w:r>
          </w:p>
          <w:p w:rsidR="00000000" w:rsidRPr="00BB2494" w:rsidP="00BB2494">
            <w:pPr>
              <w:pStyle w:val="ListBullet"/>
            </w:pPr>
            <w:r w:rsidRPr="00BB2494">
              <w:t>municipal building records</w:t>
            </w:r>
          </w:p>
          <w:p w:rsidR="00000000" w:rsidRPr="00BB2494" w:rsidP="00BB2494">
            <w:pPr>
              <w:pStyle w:val="ListBullet"/>
            </w:pPr>
            <w:r w:rsidRPr="00BB2494">
              <w:t>National Trust</w:t>
            </w:r>
          </w:p>
          <w:p w:rsidR="00000000" w:rsidP="00BB2494">
            <w:pPr>
              <w:pStyle w:val="ListBullet"/>
              <w:rPr>
                <w:lang w:val="en-NZ"/>
              </w:rPr>
            </w:pPr>
            <w:r w:rsidRPr="00BB2494">
              <w:t>restoration contractors.</w:t>
            </w:r>
          </w:p>
        </w:tc>
      </w:tr>
      <w:tr w:rsidTr="004072F8">
        <w:tblPrEx>
          <w:tblW w:w="0" w:type="auto"/>
          <w:tblLayout w:type="fixed"/>
          <w:tblCellMar>
            <w:left w:w="62" w:type="dxa"/>
            <w:right w:w="62" w:type="dxa"/>
          </w:tblCellMar>
          <w:tblLook w:val="0000"/>
        </w:tblPrEx>
        <w:tc>
          <w:tcPr>
            <w:tcW w:w="3493" w:type="dxa"/>
            <w:tcBorders>
              <w:top w:val="nil"/>
              <w:left w:val="nil"/>
              <w:bottom w:val="nil"/>
              <w:right w:val="nil"/>
            </w:tcBorders>
            <w:tcMar>
              <w:top w:w="0" w:type="dxa"/>
              <w:left w:w="62" w:type="dxa"/>
              <w:bottom w:w="0" w:type="dxa"/>
              <w:right w:w="62" w:type="dxa"/>
            </w:tcMar>
          </w:tcPr>
          <w:p w:rsidR="00000000" w:rsidP="00BB2494">
            <w:pPr>
              <w:pStyle w:val="BodyText"/>
              <w:rPr>
                <w:lang w:val="en-NZ"/>
              </w:rPr>
            </w:pPr>
            <w:r w:rsidRPr="00BB2494">
              <w:rPr>
                <w:rStyle w:val="BoldandItalics"/>
              </w:rPr>
              <w:t>Materials</w:t>
            </w:r>
            <w:r w:rsidRPr="00BB2494">
              <w:t xml:space="preserve"> may include: </w:t>
            </w:r>
          </w:p>
        </w:tc>
        <w:tc>
          <w:tcPr>
            <w:tcW w:w="5029" w:type="dxa"/>
            <w:tcBorders>
              <w:top w:val="nil"/>
              <w:left w:val="nil"/>
              <w:bottom w:val="nil"/>
              <w:right w:val="nil"/>
            </w:tcBorders>
            <w:tcMar>
              <w:top w:w="0" w:type="dxa"/>
              <w:left w:w="62" w:type="dxa"/>
              <w:bottom w:w="0" w:type="dxa"/>
              <w:right w:w="62" w:type="dxa"/>
            </w:tcMar>
          </w:tcPr>
          <w:p w:rsidR="00000000" w:rsidRPr="00BB2494" w:rsidP="00BB2494">
            <w:pPr>
              <w:pStyle w:val="ListBullet"/>
            </w:pPr>
            <w:r w:rsidRPr="00BB2494">
              <w:t>fixings and fasteners of the period</w:t>
            </w:r>
            <w:r w:rsidRPr="00BB2494">
              <w:t xml:space="preserve"> era</w:t>
            </w:r>
          </w:p>
          <w:p w:rsidR="00000000" w:rsidRPr="00BB2494" w:rsidP="00BB2494">
            <w:pPr>
              <w:pStyle w:val="ListBullet"/>
            </w:pPr>
            <w:r w:rsidRPr="00BB2494">
              <w:t>paints</w:t>
            </w:r>
          </w:p>
          <w:p w:rsidR="00000000" w:rsidRPr="00BB2494" w:rsidP="00BB2494">
            <w:pPr>
              <w:pStyle w:val="ListBullet"/>
            </w:pPr>
            <w:r w:rsidRPr="00BB2494">
              <w:t>plaster mixes</w:t>
            </w:r>
          </w:p>
          <w:p w:rsidR="00000000" w:rsidRPr="00BB2494" w:rsidP="00BB2494">
            <w:pPr>
              <w:pStyle w:val="ListBullet"/>
            </w:pPr>
            <w:r w:rsidRPr="00BB2494">
              <w:t>specialist materials of the relevant period era</w:t>
            </w:r>
          </w:p>
          <w:p w:rsidR="00000000" w:rsidP="00BB2494">
            <w:pPr>
              <w:pStyle w:val="ListBullet"/>
              <w:rPr>
                <w:lang w:val="en-NZ"/>
              </w:rPr>
            </w:pPr>
            <w:r w:rsidRPr="00BB2494">
              <w:t>tiles.</w:t>
            </w:r>
          </w:p>
        </w:tc>
      </w:tr>
      <w:tr w:rsidTr="004072F8">
        <w:tblPrEx>
          <w:tblW w:w="0" w:type="auto"/>
          <w:tblLayout w:type="fixed"/>
          <w:tblCellMar>
            <w:left w:w="62" w:type="dxa"/>
            <w:right w:w="62" w:type="dxa"/>
          </w:tblCellMar>
          <w:tblLook w:val="0000"/>
        </w:tblPrEx>
        <w:tc>
          <w:tcPr>
            <w:tcW w:w="3493" w:type="dxa"/>
            <w:tcBorders>
              <w:top w:val="nil"/>
              <w:left w:val="nil"/>
              <w:bottom w:val="nil"/>
              <w:right w:val="nil"/>
            </w:tcBorders>
            <w:tcMar>
              <w:top w:w="0" w:type="dxa"/>
              <w:left w:w="62" w:type="dxa"/>
              <w:bottom w:w="0" w:type="dxa"/>
              <w:right w:w="62" w:type="dxa"/>
            </w:tcMar>
          </w:tcPr>
          <w:p w:rsidR="00000000" w:rsidP="00BB2494">
            <w:pPr>
              <w:pStyle w:val="BodyText"/>
              <w:rPr>
                <w:lang w:val="en-NZ"/>
              </w:rPr>
            </w:pPr>
            <w:r w:rsidRPr="00BB2494">
              <w:rPr>
                <w:rStyle w:val="BoldandItalics"/>
              </w:rPr>
              <w:t>Tools and equipment</w:t>
            </w:r>
            <w:r w:rsidRPr="00BB2494">
              <w:t xml:space="preserve"> include: </w:t>
            </w:r>
          </w:p>
        </w:tc>
        <w:tc>
          <w:tcPr>
            <w:tcW w:w="5029" w:type="dxa"/>
            <w:tcBorders>
              <w:top w:val="nil"/>
              <w:left w:val="nil"/>
              <w:bottom w:val="nil"/>
              <w:right w:val="nil"/>
            </w:tcBorders>
            <w:tcMar>
              <w:top w:w="0" w:type="dxa"/>
              <w:left w:w="62" w:type="dxa"/>
              <w:bottom w:w="0" w:type="dxa"/>
              <w:right w:w="62" w:type="dxa"/>
            </w:tcMar>
          </w:tcPr>
          <w:p w:rsidR="00000000" w:rsidRPr="00BB2494" w:rsidP="00BB2494">
            <w:pPr>
              <w:pStyle w:val="ListBullet"/>
            </w:pPr>
            <w:r w:rsidRPr="00BB2494">
              <w:t>bricklaying: shovels, wheelbarrows and string lines</w:t>
            </w:r>
          </w:p>
          <w:p w:rsidR="00000000" w:rsidRPr="00BB2494" w:rsidP="00BB2494">
            <w:pPr>
              <w:pStyle w:val="ListBullet"/>
            </w:pPr>
            <w:r w:rsidRPr="00BB2494">
              <w:t>carpentry: measuring tapes and rules, hammers, spirit levels, hand saws, scrapers, power leads, trowels, mortar boards and straight edges</w:t>
            </w:r>
          </w:p>
          <w:p w:rsidR="00000000" w:rsidRPr="00BB2494" w:rsidP="00BB2494">
            <w:pPr>
              <w:pStyle w:val="ListBullet"/>
            </w:pPr>
            <w:r w:rsidRPr="00BB2494">
              <w:t>general construction: shovels, modelling tools, brooms, wheelbarrows and trowels</w:t>
            </w:r>
          </w:p>
          <w:p w:rsidR="00000000" w:rsidRPr="00BB2494" w:rsidP="00BB2494">
            <w:pPr>
              <w:pStyle w:val="ListBullet"/>
            </w:pPr>
            <w:r w:rsidRPr="00BB2494">
              <w:t>painting: brushes, straight edges and</w:t>
            </w:r>
            <w:r w:rsidRPr="00BB2494">
              <w:t xml:space="preserve"> ladders</w:t>
            </w:r>
          </w:p>
          <w:p w:rsidR="00000000" w:rsidRPr="00BB2494" w:rsidP="00BB2494">
            <w:pPr>
              <w:pStyle w:val="ListBullet"/>
            </w:pPr>
            <w:r w:rsidRPr="00BB2494">
              <w:t>plastering: wood floats, steal floats, hawk, spirit levels and trowels</w:t>
            </w:r>
          </w:p>
          <w:p w:rsidR="00000000" w:rsidRPr="00BB2494" w:rsidP="00BB2494">
            <w:pPr>
              <w:pStyle w:val="ListBullet"/>
            </w:pPr>
            <w:r w:rsidRPr="00BB2494">
              <w:t>plumbing: hammers, mallets and blow torches</w:t>
            </w:r>
          </w:p>
          <w:p w:rsidR="00000000" w:rsidRPr="00BB2494" w:rsidP="00BB2494">
            <w:pPr>
              <w:pStyle w:val="ListBullet"/>
            </w:pPr>
            <w:r w:rsidRPr="00BB2494">
              <w:t>stonemasonry: chisels, wheelbarrows and modelling tools</w:t>
            </w:r>
          </w:p>
          <w:p w:rsidR="00000000" w:rsidP="00BB2494">
            <w:pPr>
              <w:pStyle w:val="ListBullet"/>
              <w:rPr>
                <w:lang w:val="en-NZ"/>
              </w:rPr>
            </w:pPr>
            <w:r w:rsidRPr="00BB2494">
              <w:t xml:space="preserve">tiling: squares, scrapers, power leads, trowels, mortar boards and straight </w:t>
            </w:r>
            <w:r w:rsidRPr="00BB2494">
              <w:t>edges.</w:t>
            </w:r>
          </w:p>
        </w:tc>
      </w:tr>
      <w:tr w:rsidTr="004072F8">
        <w:tblPrEx>
          <w:tblW w:w="0" w:type="auto"/>
          <w:tblLayout w:type="fixed"/>
          <w:tblCellMar>
            <w:left w:w="62" w:type="dxa"/>
            <w:right w:w="62" w:type="dxa"/>
          </w:tblCellMar>
          <w:tblLook w:val="0000"/>
        </w:tblPrEx>
        <w:tc>
          <w:tcPr>
            <w:tcW w:w="3493" w:type="dxa"/>
            <w:tcBorders>
              <w:top w:val="nil"/>
              <w:left w:val="nil"/>
              <w:bottom w:val="nil"/>
              <w:right w:val="nil"/>
            </w:tcBorders>
            <w:tcMar>
              <w:top w:w="0" w:type="dxa"/>
              <w:left w:w="62" w:type="dxa"/>
              <w:bottom w:w="0" w:type="dxa"/>
              <w:right w:w="62" w:type="dxa"/>
            </w:tcMar>
          </w:tcPr>
          <w:p w:rsidR="00000000" w:rsidP="00BB2494">
            <w:pPr>
              <w:pStyle w:val="BodyText"/>
              <w:rPr>
                <w:lang w:val="en-NZ"/>
              </w:rPr>
            </w:pPr>
            <w:r w:rsidRPr="00BB2494">
              <w:rPr>
                <w:rStyle w:val="BoldandItalics"/>
              </w:rPr>
              <w:t>Relevant categories of information</w:t>
            </w:r>
            <w:r w:rsidRPr="00BB2494">
              <w:t xml:space="preserve"> include: </w:t>
            </w:r>
          </w:p>
        </w:tc>
        <w:tc>
          <w:tcPr>
            <w:tcW w:w="5029" w:type="dxa"/>
            <w:tcBorders>
              <w:top w:val="nil"/>
              <w:left w:val="nil"/>
              <w:bottom w:val="nil"/>
              <w:right w:val="nil"/>
            </w:tcBorders>
            <w:tcMar>
              <w:top w:w="0" w:type="dxa"/>
              <w:left w:w="62" w:type="dxa"/>
              <w:bottom w:w="0" w:type="dxa"/>
              <w:right w:w="62" w:type="dxa"/>
            </w:tcMar>
          </w:tcPr>
          <w:p w:rsidR="00000000" w:rsidRPr="00BB2494" w:rsidP="00BB2494">
            <w:pPr>
              <w:pStyle w:val="ListBullet"/>
            </w:pPr>
            <w:r w:rsidRPr="00BB2494">
              <w:t>construction technical data</w:t>
            </w:r>
          </w:p>
          <w:p w:rsidR="00000000" w:rsidRPr="00BB2494" w:rsidP="00BB2494">
            <w:pPr>
              <w:pStyle w:val="ListBullet"/>
            </w:pPr>
            <w:r w:rsidRPr="00BB2494">
              <w:t>drawings, sketches and photographs</w:t>
            </w:r>
          </w:p>
          <w:p w:rsidR="00000000" w:rsidRPr="00BB2494" w:rsidP="00BB2494">
            <w:pPr>
              <w:pStyle w:val="ListBullet"/>
            </w:pPr>
            <w:r w:rsidRPr="00BB2494">
              <w:t>material technical data</w:t>
            </w:r>
          </w:p>
          <w:p w:rsidR="00000000" w:rsidRPr="00BB2494" w:rsidP="00BB2494">
            <w:pPr>
              <w:pStyle w:val="ListBullet"/>
            </w:pPr>
            <w:r w:rsidRPr="00BB2494">
              <w:t>materials and suppliers</w:t>
            </w:r>
          </w:p>
          <w:p w:rsidR="00000000" w:rsidRPr="00BB2494" w:rsidP="00BB2494">
            <w:pPr>
              <w:pStyle w:val="ListBullet"/>
            </w:pPr>
            <w:r w:rsidRPr="00BB2494">
              <w:t>materials in construction and finishing</w:t>
            </w:r>
          </w:p>
          <w:p w:rsidR="00000000" w:rsidRPr="00BB2494" w:rsidP="00BB2494">
            <w:pPr>
              <w:pStyle w:val="ListBullet"/>
            </w:pPr>
            <w:r w:rsidRPr="00BB2494">
              <w:t>OHS building regulations</w:t>
            </w:r>
          </w:p>
          <w:p w:rsidR="00000000" w:rsidRPr="00BB2494" w:rsidP="00BB2494">
            <w:pPr>
              <w:pStyle w:val="ListBullet"/>
            </w:pPr>
            <w:r w:rsidRPr="00BB2494">
              <w:t>original structure and construction</w:t>
            </w:r>
          </w:p>
          <w:p w:rsidR="00000000" w:rsidRPr="00BB2494" w:rsidP="00BB2494">
            <w:pPr>
              <w:pStyle w:val="ListBullet"/>
            </w:pPr>
            <w:r w:rsidRPr="00BB2494">
              <w:t>reference notes</w:t>
            </w:r>
          </w:p>
          <w:p w:rsidR="00000000" w:rsidRPr="00BB2494" w:rsidP="00BB2494">
            <w:pPr>
              <w:pStyle w:val="ListBullet"/>
            </w:pPr>
            <w:r w:rsidRPr="00BB2494">
              <w:t>restoration records</w:t>
            </w:r>
          </w:p>
          <w:p w:rsidR="00000000" w:rsidRPr="00BB2494" w:rsidP="00BB2494">
            <w:pPr>
              <w:pStyle w:val="ListBullet"/>
            </w:pPr>
            <w:r w:rsidRPr="00BB2494">
              <w:t>restoration work carried out</w:t>
            </w:r>
          </w:p>
          <w:p w:rsidR="00000000" w:rsidRPr="00BB2494" w:rsidP="00BB2494">
            <w:pPr>
              <w:pStyle w:val="ListBullet"/>
            </w:pPr>
            <w:r w:rsidRPr="00BB2494">
              <w:t>specialist materials for the period era</w:t>
            </w:r>
          </w:p>
          <w:p w:rsidR="00000000" w:rsidRPr="00BB2494" w:rsidP="00BB2494">
            <w:pPr>
              <w:pStyle w:val="ListBullet"/>
            </w:pPr>
            <w:r w:rsidRPr="00BB2494">
              <w:t>specifications</w:t>
            </w:r>
          </w:p>
          <w:p w:rsidR="00000000" w:rsidRPr="00BB2494" w:rsidP="00BB2494">
            <w:pPr>
              <w:pStyle w:val="ListBullet"/>
            </w:pPr>
            <w:r w:rsidRPr="00BB2494">
              <w:t>technical brochures.</w:t>
            </w:r>
          </w:p>
        </w:tc>
      </w:tr>
    </w:tbl>
    <w:p w:rsidR="004072F8" w:rsidP="00BB2494">
      <w:pPr>
        <w:pStyle w:val="BodyText"/>
      </w:pPr>
    </w:p>
    <w:p w:rsidR="004072F8" w:rsidP="00BB2494">
      <w:pPr>
        <w:pStyle w:val="BodyText"/>
      </w:pPr>
    </w:p>
    <w:p w:rsidR="00000000" w:rsidRPr="00BB2494" w:rsidP="00BB2494">
      <w:pPr>
        <w:pStyle w:val="Heading1"/>
      </w:pPr>
      <w:bookmarkStart w:id="12" w:name="O_196897"/>
      <w:bookmarkEnd w:id="12"/>
      <w:r w:rsidRPr="00BB2494">
        <w:t>Unit Sector(s)</w:t>
      </w:r>
    </w:p>
    <w:tbl>
      <w:tblPr>
        <w:tblW w:w="0" w:type="auto"/>
        <w:tblLayout w:type="fixed"/>
        <w:tblCellMar>
          <w:left w:w="62" w:type="dxa"/>
          <w:right w:w="62" w:type="dxa"/>
        </w:tblCellMar>
        <w:tblLook w:val="0000"/>
      </w:tblPr>
      <w:tblGrid>
        <w:gridCol w:w="2597"/>
        <w:gridCol w:w="5925"/>
      </w:tblGrid>
      <w:tr w:rsidTr="004072F8">
        <w:tblPrEx>
          <w:tblW w:w="0" w:type="auto"/>
          <w:tblLayout w:type="fixed"/>
          <w:tblCellMar>
            <w:left w:w="62" w:type="dxa"/>
            <w:right w:w="62" w:type="dxa"/>
          </w:tblCellMar>
          <w:tblLook w:val="0000"/>
        </w:tblPrEx>
        <w:trPr>
          <w:tblHeader/>
        </w:trPr>
        <w:tc>
          <w:tcPr>
            <w:tcW w:w="2597" w:type="dxa"/>
            <w:tcBorders>
              <w:top w:val="nil"/>
              <w:left w:val="nil"/>
              <w:bottom w:val="nil"/>
              <w:right w:val="nil"/>
            </w:tcBorders>
            <w:tcMar>
              <w:top w:w="0" w:type="dxa"/>
              <w:left w:w="62" w:type="dxa"/>
              <w:bottom w:w="0" w:type="dxa"/>
              <w:right w:w="62" w:type="dxa"/>
            </w:tcMar>
          </w:tcPr>
          <w:p w:rsidR="00000000" w:rsidP="00BB2494">
            <w:pPr>
              <w:pStyle w:val="BodyText"/>
              <w:rPr>
                <w:lang w:val="en-NZ"/>
              </w:rPr>
            </w:pPr>
            <w:r w:rsidRPr="00BB2494">
              <w:rPr>
                <w:rStyle w:val="SpecialBold"/>
              </w:rPr>
              <w:t>Unit sector</w:t>
            </w:r>
          </w:p>
        </w:tc>
        <w:tc>
          <w:tcPr>
            <w:tcW w:w="5925" w:type="dxa"/>
            <w:tcBorders>
              <w:top w:val="nil"/>
              <w:left w:val="nil"/>
              <w:bottom w:val="nil"/>
              <w:right w:val="nil"/>
            </w:tcBorders>
            <w:tcMar>
              <w:top w:w="0" w:type="dxa"/>
              <w:left w:w="62" w:type="dxa"/>
              <w:bottom w:w="0" w:type="dxa"/>
              <w:right w:w="62" w:type="dxa"/>
            </w:tcMar>
          </w:tcPr>
          <w:p w:rsidR="00000000" w:rsidRPr="00BB2494" w:rsidP="00BB2494">
            <w:pPr>
              <w:pStyle w:val="BodyText"/>
            </w:pPr>
            <w:r w:rsidRPr="00BB2494">
              <w:t>Construction</w:t>
            </w:r>
          </w:p>
        </w:tc>
      </w:tr>
    </w:tbl>
    <w:p w:rsidR="004072F8" w:rsidP="00BB2494">
      <w:pPr>
        <w:pStyle w:val="BodyText"/>
      </w:pPr>
    </w:p>
    <w:p w:rsidR="004072F8" w:rsidP="00BB2494">
      <w:pPr>
        <w:pStyle w:val="BodyText"/>
      </w:pPr>
    </w:p>
    <w:p w:rsidR="00000000" w:rsidRPr="00BB2494" w:rsidP="00BB2494">
      <w:pPr>
        <w:pStyle w:val="Heading1"/>
      </w:pPr>
      <w:bookmarkStart w:id="13" w:name="O_196894"/>
      <w:bookmarkEnd w:id="13"/>
      <w:r w:rsidRPr="00BB2494">
        <w:t>Co-requisite units</w:t>
      </w:r>
    </w:p>
    <w:tbl>
      <w:tblPr>
        <w:tblW w:w="0" w:type="auto"/>
        <w:tblLayout w:type="fixed"/>
        <w:tblCellMar>
          <w:left w:w="62" w:type="dxa"/>
          <w:right w:w="62" w:type="dxa"/>
        </w:tblCellMar>
        <w:tblLook w:val="0000"/>
      </w:tblPr>
      <w:tblGrid>
        <w:gridCol w:w="2614"/>
        <w:gridCol w:w="5908"/>
      </w:tblGrid>
      <w:tr w:rsidTr="004072F8">
        <w:tblPrEx>
          <w:tblW w:w="0" w:type="auto"/>
          <w:tblLayout w:type="fixed"/>
          <w:tblCellMar>
            <w:left w:w="62" w:type="dxa"/>
            <w:right w:w="62" w:type="dxa"/>
          </w:tblCellMar>
          <w:tblLook w:val="0000"/>
        </w:tblPrEx>
        <w:trPr>
          <w:tblHeader/>
        </w:trPr>
        <w:tc>
          <w:tcPr>
            <w:tcW w:w="2614" w:type="dxa"/>
            <w:tcBorders>
              <w:top w:val="nil"/>
              <w:left w:val="nil"/>
              <w:bottom w:val="nil"/>
              <w:right w:val="nil"/>
            </w:tcBorders>
            <w:tcMar>
              <w:top w:w="0" w:type="dxa"/>
              <w:left w:w="62" w:type="dxa"/>
              <w:bottom w:w="0" w:type="dxa"/>
              <w:right w:w="62" w:type="dxa"/>
            </w:tcMar>
          </w:tcPr>
          <w:p w:rsidR="00000000" w:rsidP="00BB2494">
            <w:pPr>
              <w:pStyle w:val="BodyText"/>
              <w:rPr>
                <w:lang w:val="en-NZ"/>
              </w:rPr>
            </w:pPr>
            <w:r w:rsidRPr="00BB2494">
              <w:rPr>
                <w:rStyle w:val="SpecialBold"/>
              </w:rPr>
              <w:t>Co-requisite units</w:t>
            </w:r>
          </w:p>
        </w:tc>
        <w:tc>
          <w:tcPr>
            <w:tcW w:w="5908" w:type="dxa"/>
            <w:tcBorders>
              <w:top w:val="nil"/>
              <w:left w:val="nil"/>
              <w:bottom w:val="nil"/>
              <w:right w:val="nil"/>
            </w:tcBorders>
            <w:tcMar>
              <w:top w:w="0" w:type="dxa"/>
              <w:left w:w="62" w:type="dxa"/>
              <w:bottom w:w="0" w:type="dxa"/>
              <w:right w:w="62" w:type="dxa"/>
            </w:tcMar>
          </w:tcPr>
          <w:p w:rsidR="00000000" w:rsidRPr="00BB2494" w:rsidP="00BB2494">
            <w:pPr>
              <w:pStyle w:val="BodyText"/>
            </w:pPr>
            <w:r w:rsidRPr="00BB2494">
              <w:t>Nil</w:t>
            </w:r>
          </w:p>
        </w:tc>
      </w:tr>
    </w:tbl>
    <w:p w:rsidR="004072F8" w:rsidP="00BB2494">
      <w:pPr>
        <w:pStyle w:val="BodyText"/>
      </w:pPr>
    </w:p>
    <w:p w:rsidR="004072F8" w:rsidP="00BB2494">
      <w:pPr>
        <w:pStyle w:val="BodyText"/>
      </w:pPr>
    </w:p>
    <w:p w:rsidR="00000000" w:rsidRPr="00BB2494" w:rsidP="00BB2494">
      <w:pPr>
        <w:pStyle w:val="Heading1"/>
      </w:pPr>
      <w:bookmarkStart w:id="14" w:name="O_196896"/>
      <w:bookmarkEnd w:id="14"/>
      <w:r w:rsidRPr="00BB2494">
        <w:t>Functional area</w:t>
      </w:r>
    </w:p>
    <w:tbl>
      <w:tblPr>
        <w:tblW w:w="0" w:type="auto"/>
        <w:tblLayout w:type="fixed"/>
        <w:tblCellMar>
          <w:left w:w="62" w:type="dxa"/>
          <w:right w:w="62" w:type="dxa"/>
        </w:tblCellMar>
        <w:tblLook w:val="0000"/>
      </w:tblPr>
      <w:tblGrid>
        <w:gridCol w:w="2729"/>
        <w:gridCol w:w="5793"/>
      </w:tblGrid>
      <w:tr w:rsidTr="004072F8">
        <w:tblPrEx>
          <w:tblW w:w="0" w:type="auto"/>
          <w:tblLayout w:type="fixed"/>
          <w:tblCellMar>
            <w:left w:w="62" w:type="dxa"/>
            <w:right w:w="62" w:type="dxa"/>
          </w:tblCellMar>
          <w:tblLook w:val="0000"/>
        </w:tblPrEx>
        <w:trPr>
          <w:tblHeader/>
        </w:trPr>
        <w:tc>
          <w:tcPr>
            <w:tcW w:w="2729" w:type="dxa"/>
            <w:tcBorders>
              <w:top w:val="nil"/>
              <w:left w:val="nil"/>
              <w:bottom w:val="nil"/>
              <w:right w:val="nil"/>
            </w:tcBorders>
            <w:tcMar>
              <w:top w:w="0" w:type="dxa"/>
              <w:left w:w="62" w:type="dxa"/>
              <w:bottom w:w="0" w:type="dxa"/>
              <w:right w:w="62" w:type="dxa"/>
            </w:tcMar>
          </w:tcPr>
          <w:p w:rsidR="00000000" w:rsidP="00BB2494">
            <w:pPr>
              <w:pStyle w:val="BodyText"/>
              <w:rPr>
                <w:lang w:val="en-NZ"/>
              </w:rPr>
            </w:pPr>
            <w:r w:rsidRPr="00BB2494">
              <w:rPr>
                <w:rStyle w:val="SpecialBold"/>
              </w:rPr>
              <w:t>Functional area</w:t>
            </w:r>
          </w:p>
        </w:tc>
        <w:tc>
          <w:tcPr>
            <w:tcW w:w="5793" w:type="dxa"/>
            <w:tcBorders>
              <w:top w:val="nil"/>
              <w:left w:val="nil"/>
              <w:bottom w:val="nil"/>
              <w:right w:val="nil"/>
            </w:tcBorders>
            <w:tcMar>
              <w:top w:w="0" w:type="dxa"/>
              <w:left w:w="62" w:type="dxa"/>
              <w:bottom w:w="0" w:type="dxa"/>
              <w:right w:w="62" w:type="dxa"/>
            </w:tcMar>
          </w:tcPr>
          <w:p w:rsidR="00000000" w:rsidRPr="00BB2494" w:rsidP="00BB2494">
            <w:pPr>
              <w:pStyle w:val="BodyText"/>
            </w:pPr>
          </w:p>
        </w:tc>
      </w:tr>
    </w:tbl>
    <w:p w:rsidR="004072F8" w:rsidP="00BB2494">
      <w:pPr>
        <w:pStyle w:val="BodyText"/>
      </w:pPr>
    </w:p>
    <w:p w:rsidR="004072F8" w:rsidP="00BB2494">
      <w:pPr>
        <w:pStyle w:val="BodyText"/>
      </w:pPr>
    </w:p>
    <w:p w:rsidR="00000000" w:rsidRPr="00BB2494" w:rsidP="00BB2494"/>
    <w:sectPr w:rsidSect="00BB249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249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072F8" w:rsidP="004072F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249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72F8" w:rsidP="00BB249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4072F8" w:rsidP="00BB249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4072F8" w:rsidP="00BB249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249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072F8" w:rsidP="004072F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249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72F8" w:rsidP="00BB2494">
    <w:pPr>
      <w:pStyle w:val="Header"/>
      <w:framePr w:wrap="around"/>
    </w:pPr>
    <w:r>
      <w:fldChar w:fldCharType="begin"/>
    </w:r>
    <w:r>
      <w:instrText xml:space="preserve"> TITLE   \* MERGEFORMAT </w:instrText>
    </w:r>
    <w:r>
      <w:fldChar w:fldCharType="separate"/>
    </w:r>
    <w:r>
      <w:t>CPCCBC4036A Prepare to undertake the heritage restoration process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4072F8" w:rsidP="00BB249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B64F91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C74C3E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A846B1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B249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B2494"/>
    <w:pPr>
      <w:spacing w:before="360" w:after="60"/>
      <w:outlineLvl w:val="0"/>
    </w:pPr>
    <w:rPr>
      <w:sz w:val="32"/>
    </w:rPr>
  </w:style>
  <w:style w:type="paragraph" w:styleId="Heading2">
    <w:name w:val="heading 2"/>
    <w:basedOn w:val="HeadingBase"/>
    <w:next w:val="BodyText"/>
    <w:link w:val="Heading2Char"/>
    <w:qFormat/>
    <w:rsid w:val="00BB2494"/>
    <w:pPr>
      <w:keepLines/>
      <w:spacing w:before="240" w:after="120"/>
      <w:outlineLvl w:val="1"/>
    </w:pPr>
    <w:rPr>
      <w:sz w:val="28"/>
      <w:szCs w:val="40"/>
    </w:rPr>
  </w:style>
  <w:style w:type="paragraph" w:styleId="Heading3">
    <w:name w:val="heading 3"/>
    <w:basedOn w:val="HeadingBase"/>
    <w:next w:val="BodyText"/>
    <w:link w:val="Heading3Char"/>
    <w:qFormat/>
    <w:rsid w:val="00BB2494"/>
    <w:pPr>
      <w:spacing w:before="180" w:after="120"/>
      <w:outlineLvl w:val="2"/>
    </w:pPr>
    <w:rPr>
      <w:spacing w:val="-10"/>
      <w:kern w:val="32"/>
    </w:rPr>
  </w:style>
  <w:style w:type="paragraph" w:styleId="Heading4">
    <w:name w:val="heading 4"/>
    <w:basedOn w:val="HeadingBase"/>
    <w:next w:val="BodyText"/>
    <w:link w:val="Heading4Char"/>
    <w:qFormat/>
    <w:rsid w:val="00BB2494"/>
    <w:pPr>
      <w:spacing w:before="160" w:after="120"/>
      <w:outlineLvl w:val="3"/>
    </w:pPr>
    <w:rPr>
      <w:sz w:val="22"/>
    </w:rPr>
  </w:style>
  <w:style w:type="paragraph" w:styleId="Heading5">
    <w:name w:val="heading 5"/>
    <w:basedOn w:val="HeadingBase"/>
    <w:next w:val="Normal"/>
    <w:link w:val="Heading5Char"/>
    <w:qFormat/>
    <w:rsid w:val="00BB2494"/>
    <w:pPr>
      <w:spacing w:before="80"/>
      <w:outlineLvl w:val="4"/>
    </w:pPr>
    <w:rPr>
      <w:color w:val="918585"/>
      <w:sz w:val="20"/>
    </w:rPr>
  </w:style>
  <w:style w:type="paragraph" w:styleId="Heading6">
    <w:name w:val="heading 6"/>
    <w:basedOn w:val="HeadingBase"/>
    <w:next w:val="Normal"/>
    <w:link w:val="Heading6Char"/>
    <w:qFormat/>
    <w:rsid w:val="00BB2494"/>
    <w:pPr>
      <w:spacing w:before="60"/>
      <w:outlineLvl w:val="5"/>
    </w:pPr>
    <w:rPr>
      <w:color w:val="918585"/>
      <w:sz w:val="20"/>
    </w:rPr>
  </w:style>
  <w:style w:type="paragraph" w:styleId="Heading7">
    <w:name w:val="heading 7"/>
    <w:basedOn w:val="Normal"/>
    <w:next w:val="Normal"/>
    <w:link w:val="Heading7Char"/>
    <w:qFormat/>
    <w:rsid w:val="00BB2494"/>
    <w:pPr>
      <w:ind w:left="720"/>
      <w:outlineLvl w:val="6"/>
    </w:pPr>
    <w:rPr>
      <w:i/>
    </w:rPr>
  </w:style>
  <w:style w:type="paragraph" w:styleId="Heading8">
    <w:name w:val="heading 8"/>
    <w:basedOn w:val="Normal"/>
    <w:next w:val="Normal"/>
    <w:link w:val="Heading8Char"/>
    <w:qFormat/>
    <w:rsid w:val="00BB2494"/>
    <w:pPr>
      <w:ind w:left="720"/>
      <w:outlineLvl w:val="7"/>
    </w:pPr>
    <w:rPr>
      <w:i/>
    </w:rPr>
  </w:style>
  <w:style w:type="paragraph" w:styleId="Heading9">
    <w:name w:val="heading 9"/>
    <w:basedOn w:val="Normal"/>
    <w:next w:val="Normal"/>
    <w:link w:val="Heading9Char"/>
    <w:qFormat/>
    <w:rsid w:val="00BB2494"/>
    <w:pPr>
      <w:ind w:left="720"/>
      <w:outlineLvl w:val="8"/>
    </w:pPr>
    <w:rPr>
      <w:i/>
    </w:rPr>
  </w:style>
  <w:style w:type="character" w:default="1" w:styleId="DefaultParagraphFont">
    <w:name w:val="Default Paragraph Font"/>
    <w:uiPriority w:val="1"/>
    <w:unhideWhenUsed/>
    <w:rsid w:val="00BB249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B2494"/>
  </w:style>
  <w:style w:type="character" w:customStyle="1" w:styleId="Heading1Char">
    <w:name w:val="Heading 1 Char"/>
    <w:basedOn w:val="DefaultParagraphFont"/>
    <w:link w:val="Heading1"/>
    <w:rsid w:val="00BB2494"/>
    <w:rPr>
      <w:rFonts w:ascii="Times New Roman" w:eastAsia="Times New Roman" w:hAnsi="Times New Roman" w:cs="Times New Roman"/>
      <w:b/>
      <w:sz w:val="32"/>
      <w:szCs w:val="20"/>
      <w:lang w:eastAsia="en-US"/>
    </w:rPr>
  </w:style>
  <w:style w:type="paragraph" w:styleId="BodyText">
    <w:name w:val="Body Text"/>
    <w:basedOn w:val="Normal"/>
    <w:link w:val="BodyTextChar"/>
    <w:rsid w:val="00BB249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B2494"/>
    <w:rPr>
      <w:rFonts w:ascii="Times New Roman" w:eastAsia="Times New Roman" w:hAnsi="Times New Roman" w:cs="Times New Roman"/>
      <w:sz w:val="24"/>
      <w:lang w:val="en-US" w:eastAsia="en-US"/>
    </w:rPr>
  </w:style>
  <w:style w:type="paragraph" w:styleId="Footer">
    <w:name w:val="footer"/>
    <w:basedOn w:val="Normal"/>
    <w:link w:val="FooterChar"/>
    <w:rsid w:val="00BB249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B2494"/>
    <w:rPr>
      <w:rFonts w:ascii="Times New Roman" w:eastAsia="Times New Roman" w:hAnsi="Times New Roman" w:cs="Times New Roman"/>
      <w:sz w:val="16"/>
      <w:lang w:val="en-US" w:eastAsia="en-US"/>
    </w:rPr>
  </w:style>
  <w:style w:type="paragraph" w:styleId="List">
    <w:name w:val="List"/>
    <w:basedOn w:val="BodyText"/>
    <w:next w:val="BodyText"/>
    <w:rsid w:val="00BB2494"/>
    <w:pPr>
      <w:tabs>
        <w:tab w:val="left" w:pos="340"/>
      </w:tabs>
      <w:spacing w:before="60" w:after="60"/>
      <w:ind w:left="340" w:hanging="340"/>
    </w:pPr>
  </w:style>
  <w:style w:type="paragraph" w:styleId="ListBullet">
    <w:name w:val="List Bullet"/>
    <w:basedOn w:val="List"/>
    <w:rsid w:val="00BB2494"/>
    <w:pPr>
      <w:numPr>
        <w:numId w:val="14"/>
      </w:numPr>
      <w:tabs>
        <w:tab w:val="clear" w:pos="340"/>
      </w:tabs>
      <w:spacing w:before="40" w:after="40"/>
    </w:pPr>
  </w:style>
  <w:style w:type="character" w:customStyle="1" w:styleId="SpecialBold">
    <w:name w:val="Special Bold"/>
    <w:basedOn w:val="DefaultParagraphFont"/>
    <w:rsid w:val="00BB2494"/>
    <w:rPr>
      <w:b/>
      <w:spacing w:val="0"/>
    </w:rPr>
  </w:style>
  <w:style w:type="paragraph" w:styleId="ListBullet2">
    <w:name w:val="List Bullet 2"/>
    <w:basedOn w:val="List2"/>
    <w:rsid w:val="00BB2494"/>
    <w:pPr>
      <w:numPr>
        <w:numId w:val="15"/>
      </w:numPr>
      <w:tabs>
        <w:tab w:val="clear" w:pos="680"/>
      </w:tabs>
    </w:pPr>
  </w:style>
  <w:style w:type="paragraph" w:styleId="Header">
    <w:name w:val="header"/>
    <w:basedOn w:val="Normal"/>
    <w:link w:val="HeaderChar"/>
    <w:rsid w:val="00BB249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B249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B2494"/>
    <w:pPr>
      <w:spacing w:before="240" w:after="120"/>
      <w:outlineLvl w:val="0"/>
    </w:pPr>
    <w:rPr>
      <w:rFonts w:ascii="Times New Roman" w:hAnsi="Times New Roman"/>
      <w:b/>
      <w:sz w:val="28"/>
    </w:rPr>
  </w:style>
  <w:style w:type="paragraph" w:customStyle="1" w:styleId="AllowPageBreak">
    <w:name w:val="AllowPageBreak"/>
    <w:rsid w:val="00BB249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B2494"/>
    <w:pPr>
      <w:tabs>
        <w:tab w:val="left" w:pos="680"/>
      </w:tabs>
      <w:spacing w:before="60" w:after="60"/>
      <w:ind w:left="680" w:hanging="340"/>
    </w:pPr>
  </w:style>
  <w:style w:type="paragraph" w:styleId="ListBullet3">
    <w:name w:val="List Bullet 3"/>
    <w:basedOn w:val="List3"/>
    <w:rsid w:val="00BB2494"/>
    <w:pPr>
      <w:numPr>
        <w:numId w:val="3"/>
      </w:numPr>
      <w:tabs>
        <w:tab w:val="clear" w:pos="1021"/>
      </w:tabs>
      <w:ind w:left="1037" w:hanging="357"/>
    </w:pPr>
  </w:style>
  <w:style w:type="character" w:customStyle="1" w:styleId="BoldandItalics">
    <w:name w:val="Bold and Italics"/>
    <w:qFormat/>
    <w:rsid w:val="00BB2494"/>
    <w:rPr>
      <w:b/>
      <w:i/>
      <w:u w:val="none"/>
    </w:rPr>
  </w:style>
  <w:style w:type="character" w:customStyle="1" w:styleId="Heading2Char">
    <w:name w:val="Heading 2 Char"/>
    <w:basedOn w:val="DefaultParagraphFont"/>
    <w:link w:val="Heading2"/>
    <w:rsid w:val="00BB249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B249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B249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B249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B249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B249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B249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B2494"/>
    <w:rPr>
      <w:rFonts w:ascii="Courier New" w:eastAsia="Times New Roman" w:hAnsi="Courier New" w:cs="Times New Roman"/>
      <w:i/>
      <w:szCs w:val="20"/>
      <w:lang w:val="en-US" w:eastAsia="en-US"/>
    </w:rPr>
  </w:style>
  <w:style w:type="paragraph" w:customStyle="1" w:styleId="HeadingBase">
    <w:name w:val="Heading Base"/>
    <w:rsid w:val="00BB249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B2494"/>
    <w:pPr>
      <w:tabs>
        <w:tab w:val="right" w:leader="dot" w:pos="9072"/>
      </w:tabs>
      <w:ind w:left="567"/>
    </w:pPr>
    <w:rPr>
      <w:szCs w:val="22"/>
    </w:rPr>
  </w:style>
  <w:style w:type="paragraph" w:customStyle="1" w:styleId="TOCBase">
    <w:name w:val="TOC Base"/>
    <w:rsid w:val="00BB249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B2494"/>
    <w:pPr>
      <w:tabs>
        <w:tab w:val="right" w:leader="dot" w:pos="9072"/>
      </w:tabs>
      <w:spacing w:before="40" w:after="40"/>
      <w:ind w:left="284"/>
    </w:pPr>
    <w:rPr>
      <w:rFonts w:ascii="Times New Roman" w:hAnsi="Times New Roman"/>
    </w:rPr>
  </w:style>
  <w:style w:type="paragraph" w:styleId="TOC1">
    <w:name w:val="toc 1"/>
    <w:basedOn w:val="TOCBase"/>
    <w:next w:val="Normal"/>
    <w:rsid w:val="00BB249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B2494"/>
    <w:pPr>
      <w:spacing w:before="5040"/>
      <w:jc w:val="center"/>
    </w:pPr>
    <w:rPr>
      <w:sz w:val="48"/>
      <w:szCs w:val="72"/>
      <w:lang w:val="en-US"/>
    </w:rPr>
  </w:style>
  <w:style w:type="character" w:customStyle="1" w:styleId="TitleChar">
    <w:name w:val="Title Char"/>
    <w:basedOn w:val="DefaultParagraphFont"/>
    <w:link w:val="Title"/>
    <w:rsid w:val="00BB249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B2494"/>
    <w:pPr>
      <w:tabs>
        <w:tab w:val="left" w:pos="3600"/>
        <w:tab w:val="left" w:pos="3958"/>
      </w:tabs>
    </w:pPr>
  </w:style>
  <w:style w:type="paragraph" w:customStyle="1" w:styleId="Note">
    <w:name w:val="Note"/>
    <w:basedOn w:val="BodyText"/>
    <w:rsid w:val="00BB249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B2494"/>
    <w:pPr>
      <w:framePr w:wrap="auto" w:hAnchor="text" w:y="6049"/>
    </w:pPr>
    <w:rPr>
      <w:color w:val="000000"/>
      <w:sz w:val="40"/>
    </w:rPr>
  </w:style>
  <w:style w:type="paragraph" w:customStyle="1" w:styleId="TOCTitle">
    <w:name w:val="TOCTitle"/>
    <w:basedOn w:val="Heading1"/>
    <w:rsid w:val="00BB2494"/>
    <w:pPr>
      <w:spacing w:after="240"/>
      <w:jc w:val="center"/>
      <w:outlineLvl w:val="9"/>
    </w:pPr>
    <w:rPr>
      <w:caps/>
    </w:rPr>
  </w:style>
  <w:style w:type="paragraph" w:customStyle="1" w:styleId="Version">
    <w:name w:val="Version"/>
    <w:rsid w:val="00BB249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B2494"/>
    <w:pPr>
      <w:keepNext w:val="0"/>
      <w:tabs>
        <w:tab w:val="right" w:pos="4176"/>
      </w:tabs>
      <w:ind w:left="198" w:hanging="198"/>
    </w:pPr>
    <w:rPr>
      <w:rFonts w:ascii="Garamond" w:hAnsi="Garamond"/>
    </w:rPr>
  </w:style>
  <w:style w:type="paragraph" w:styleId="IndexHeading">
    <w:name w:val="index heading"/>
    <w:basedOn w:val="Normal"/>
    <w:next w:val="Index1"/>
    <w:semiHidden/>
    <w:rsid w:val="00BB2494"/>
    <w:pPr>
      <w:spacing w:before="120" w:after="120"/>
    </w:pPr>
    <w:rPr>
      <w:rFonts w:ascii="Arial" w:hAnsi="Arial"/>
      <w:b/>
      <w:color w:val="918585"/>
      <w:sz w:val="24"/>
    </w:rPr>
  </w:style>
  <w:style w:type="paragraph" w:customStyle="1" w:styleId="Chapter">
    <w:name w:val="Chapter"/>
    <w:basedOn w:val="Normal"/>
    <w:rsid w:val="00BB2494"/>
    <w:pPr>
      <w:spacing w:before="240"/>
    </w:pPr>
    <w:rPr>
      <w:rFonts w:ascii="Times New Roman" w:hAnsi="Times New Roman"/>
      <w:smallCaps/>
      <w:spacing w:val="80"/>
      <w:sz w:val="28"/>
    </w:rPr>
  </w:style>
  <w:style w:type="paragraph" w:customStyle="1" w:styleId="InChapter">
    <w:name w:val="InChapter"/>
    <w:basedOn w:val="Heading3"/>
    <w:rsid w:val="00BB2494"/>
    <w:pPr>
      <w:spacing w:after="240"/>
      <w:outlineLvl w:val="9"/>
    </w:pPr>
    <w:rPr>
      <w:noProof/>
    </w:rPr>
  </w:style>
  <w:style w:type="paragraph" w:styleId="Index2">
    <w:name w:val="index 2"/>
    <w:basedOn w:val="Normal"/>
    <w:next w:val="Normal"/>
    <w:semiHidden/>
    <w:rsid w:val="00BB2494"/>
    <w:pPr>
      <w:tabs>
        <w:tab w:val="right" w:pos="4176"/>
      </w:tabs>
      <w:ind w:left="568" w:hanging="284"/>
    </w:pPr>
    <w:rPr>
      <w:rFonts w:ascii="Garamond" w:hAnsi="Garamond"/>
    </w:rPr>
  </w:style>
  <w:style w:type="paragraph" w:customStyle="1" w:styleId="Byline">
    <w:name w:val="Byline"/>
    <w:rsid w:val="00BB249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B2494"/>
    <w:pPr>
      <w:tabs>
        <w:tab w:val="clear" w:pos="3600"/>
        <w:tab w:val="clear" w:pos="3958"/>
      </w:tabs>
      <w:jc w:val="right"/>
    </w:pPr>
  </w:style>
  <w:style w:type="character" w:styleId="Emphasis">
    <w:name w:val="Emphasis"/>
    <w:basedOn w:val="DefaultParagraphFont"/>
    <w:qFormat/>
    <w:rsid w:val="00BB2494"/>
    <w:rPr>
      <w:i/>
    </w:rPr>
  </w:style>
  <w:style w:type="paragraph" w:styleId="Caption">
    <w:name w:val="caption"/>
    <w:basedOn w:val="BodyText"/>
    <w:next w:val="Normal"/>
    <w:qFormat/>
    <w:rsid w:val="00BB2494"/>
    <w:pPr>
      <w:framePr w:w="2268" w:hSpace="181" w:vSpace="181" w:wrap="around" w:vAnchor="text" w:hAnchor="page" w:x="1135" w:y="285" w:anchorLock="1"/>
    </w:pPr>
    <w:rPr>
      <w:i/>
    </w:rPr>
  </w:style>
  <w:style w:type="paragraph" w:customStyle="1" w:styleId="MiniTOCTitle">
    <w:name w:val="MiniTOCTitle"/>
    <w:basedOn w:val="Heading4"/>
    <w:rsid w:val="00BB2494"/>
    <w:pPr>
      <w:spacing w:before="240"/>
      <w:outlineLvl w:val="9"/>
    </w:pPr>
    <w:rPr>
      <w:noProof/>
      <w:sz w:val="24"/>
    </w:rPr>
  </w:style>
  <w:style w:type="paragraph" w:customStyle="1" w:styleId="MiniTOCItem">
    <w:name w:val="MiniTOCItem"/>
    <w:basedOn w:val="ListBullet"/>
    <w:rsid w:val="00BB2494"/>
    <w:pPr>
      <w:numPr>
        <w:numId w:val="0"/>
      </w:numPr>
      <w:tabs>
        <w:tab w:val="right" w:leader="dot" w:pos="6521"/>
      </w:tabs>
      <w:spacing w:before="0" w:after="0"/>
    </w:pPr>
  </w:style>
  <w:style w:type="paragraph" w:customStyle="1" w:styleId="TOFTitle">
    <w:name w:val="TOFTitle"/>
    <w:basedOn w:val="TOCTitle"/>
    <w:rsid w:val="00BB2494"/>
  </w:style>
  <w:style w:type="paragraph" w:styleId="TableofFigures">
    <w:name w:val="table of figures"/>
    <w:basedOn w:val="Normal"/>
    <w:next w:val="Normal"/>
    <w:semiHidden/>
    <w:rsid w:val="00BB2494"/>
    <w:pPr>
      <w:tabs>
        <w:tab w:val="right" w:leader="dot" w:pos="9072"/>
      </w:tabs>
      <w:ind w:left="970" w:hanging="403"/>
    </w:pPr>
    <w:rPr>
      <w:rFonts w:ascii="Times New Roman" w:hAnsi="Times New Roman"/>
      <w:b/>
    </w:rPr>
  </w:style>
  <w:style w:type="paragraph" w:styleId="ListNumber">
    <w:name w:val="List Number"/>
    <w:basedOn w:val="List"/>
    <w:rsid w:val="00BB2494"/>
    <w:pPr>
      <w:numPr>
        <w:numId w:val="12"/>
      </w:numPr>
    </w:pPr>
  </w:style>
  <w:style w:type="character" w:customStyle="1" w:styleId="WingdingSymbols">
    <w:name w:val="Wingding Symbols"/>
    <w:rsid w:val="00BB2494"/>
    <w:rPr>
      <w:rFonts w:ascii="Wingdings" w:hAnsi="Wingdings"/>
    </w:rPr>
  </w:style>
  <w:style w:type="paragraph" w:customStyle="1" w:styleId="TableHeading">
    <w:name w:val="Table Heading"/>
    <w:basedOn w:val="HeadingBase"/>
    <w:rsid w:val="00BB2494"/>
    <w:pPr>
      <w:keepLines/>
      <w:pBdr>
        <w:bottom w:val="single" w:sz="6" w:space="1" w:color="918585"/>
      </w:pBdr>
      <w:spacing w:before="240"/>
    </w:pPr>
  </w:style>
  <w:style w:type="character" w:customStyle="1" w:styleId="HotSpot">
    <w:name w:val="HotSpot"/>
    <w:rsid w:val="00BB2494"/>
    <w:rPr>
      <w:color w:val="0033CC"/>
      <w:u w:val="none"/>
    </w:rPr>
  </w:style>
  <w:style w:type="paragraph" w:customStyle="1" w:styleId="BodyTextRight">
    <w:name w:val="Body Text Right"/>
    <w:basedOn w:val="BodyText"/>
    <w:rsid w:val="00BB2494"/>
    <w:pPr>
      <w:spacing w:before="0" w:after="0"/>
      <w:jc w:val="right"/>
    </w:pPr>
  </w:style>
  <w:style w:type="paragraph" w:styleId="Index3">
    <w:name w:val="index 3"/>
    <w:basedOn w:val="ListNumber2"/>
    <w:next w:val="Normal"/>
    <w:semiHidden/>
    <w:rsid w:val="00BB2494"/>
    <w:pPr>
      <w:numPr>
        <w:numId w:val="0"/>
      </w:numPr>
      <w:tabs>
        <w:tab w:val="right" w:leader="dot" w:pos="4176"/>
      </w:tabs>
    </w:pPr>
  </w:style>
  <w:style w:type="paragraph" w:styleId="ListNumber2">
    <w:name w:val="List Number 2"/>
    <w:basedOn w:val="List2"/>
    <w:rsid w:val="00BB2494"/>
    <w:pPr>
      <w:numPr>
        <w:numId w:val="11"/>
      </w:numPr>
      <w:tabs>
        <w:tab w:val="clear" w:pos="1060"/>
      </w:tabs>
    </w:pPr>
  </w:style>
  <w:style w:type="paragraph" w:customStyle="1" w:styleId="MarginNote">
    <w:name w:val="Margin Note"/>
    <w:basedOn w:val="BodyText"/>
    <w:rsid w:val="00BB249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B249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B249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B2494"/>
    <w:rPr>
      <w:sz w:val="32"/>
    </w:rPr>
  </w:style>
  <w:style w:type="paragraph" w:customStyle="1" w:styleId="HeadingProcedure">
    <w:name w:val="Heading Procedure"/>
    <w:basedOn w:val="HeadingBase"/>
    <w:next w:val="Normal"/>
    <w:rsid w:val="00BB2494"/>
    <w:pPr>
      <w:tabs>
        <w:tab w:val="left" w:pos="0"/>
      </w:tabs>
      <w:spacing w:before="120" w:after="60"/>
    </w:pPr>
    <w:rPr>
      <w:i/>
      <w:color w:val="918585"/>
      <w:sz w:val="22"/>
    </w:rPr>
  </w:style>
  <w:style w:type="paragraph" w:customStyle="1" w:styleId="TableBodyText">
    <w:name w:val="Table Body Text"/>
    <w:basedOn w:val="BodyText"/>
    <w:rsid w:val="00BB2494"/>
    <w:pPr>
      <w:spacing w:before="60" w:after="60"/>
    </w:pPr>
  </w:style>
  <w:style w:type="paragraph" w:styleId="ListContinue">
    <w:name w:val="List Continue"/>
    <w:basedOn w:val="List"/>
    <w:rsid w:val="00BB2494"/>
    <w:pPr>
      <w:ind w:firstLine="0"/>
    </w:pPr>
  </w:style>
  <w:style w:type="paragraph" w:customStyle="1" w:styleId="ListNote">
    <w:name w:val="List Note"/>
    <w:basedOn w:val="List"/>
    <w:rsid w:val="00BB2494"/>
    <w:pPr>
      <w:pBdr>
        <w:top w:val="single" w:sz="6" w:space="2" w:color="918585"/>
        <w:bottom w:val="single" w:sz="6" w:space="2" w:color="918585"/>
      </w:pBdr>
      <w:tabs>
        <w:tab w:val="left" w:pos="1021"/>
      </w:tabs>
      <w:ind w:firstLine="0"/>
    </w:pPr>
  </w:style>
  <w:style w:type="paragraph" w:customStyle="1" w:styleId="Warning">
    <w:name w:val="Warning"/>
    <w:basedOn w:val="BodyText"/>
    <w:rsid w:val="00BB2494"/>
    <w:pPr>
      <w:shd w:val="clear" w:color="auto" w:fill="D9D9D9"/>
      <w:tabs>
        <w:tab w:val="left" w:pos="992"/>
      </w:tabs>
      <w:ind w:left="119" w:right="119"/>
    </w:pPr>
    <w:rPr>
      <w:sz w:val="20"/>
    </w:rPr>
  </w:style>
  <w:style w:type="paragraph" w:customStyle="1" w:styleId="MarginIcons">
    <w:name w:val="Margin Icons"/>
    <w:basedOn w:val="BodyText"/>
    <w:rsid w:val="00BB249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B2494"/>
    <w:rPr>
      <w:rFonts w:ascii="Courier New" w:hAnsi="Courier New"/>
    </w:rPr>
  </w:style>
  <w:style w:type="paragraph" w:customStyle="1" w:styleId="NoteBullet">
    <w:name w:val="Note Bullet"/>
    <w:basedOn w:val="Note"/>
    <w:rsid w:val="00BB2494"/>
    <w:pPr>
      <w:tabs>
        <w:tab w:val="clear" w:pos="680"/>
      </w:tabs>
      <w:spacing w:before="60" w:after="60"/>
    </w:pPr>
  </w:style>
  <w:style w:type="paragraph" w:customStyle="1" w:styleId="SubHeading2">
    <w:name w:val="SubHeading2"/>
    <w:basedOn w:val="HeadingBase"/>
    <w:rsid w:val="00BB2494"/>
    <w:pPr>
      <w:spacing w:before="240" w:after="60"/>
    </w:pPr>
    <w:rPr>
      <w:sz w:val="20"/>
    </w:rPr>
  </w:style>
  <w:style w:type="paragraph" w:customStyle="1" w:styleId="SubHeading1">
    <w:name w:val="SubHeading1"/>
    <w:basedOn w:val="HeadingBase"/>
    <w:rsid w:val="00BB2494"/>
    <w:pPr>
      <w:spacing w:before="240" w:after="60"/>
    </w:pPr>
    <w:rPr>
      <w:color w:val="918585"/>
      <w:sz w:val="22"/>
    </w:rPr>
  </w:style>
  <w:style w:type="paragraph" w:customStyle="1" w:styleId="SideHeading">
    <w:name w:val="Side Heading"/>
    <w:basedOn w:val="HeadingBase"/>
    <w:rsid w:val="00BB249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B2494"/>
    <w:pPr>
      <w:numPr>
        <w:numId w:val="13"/>
      </w:numPr>
    </w:pPr>
  </w:style>
  <w:style w:type="paragraph" w:styleId="PlainText">
    <w:name w:val="Plain Text"/>
    <w:basedOn w:val="Normal"/>
    <w:link w:val="PlainTextChar"/>
    <w:rsid w:val="00BB2494"/>
    <w:rPr>
      <w:sz w:val="20"/>
    </w:rPr>
  </w:style>
  <w:style w:type="character" w:customStyle="1" w:styleId="PlainTextChar">
    <w:name w:val="Plain Text Char"/>
    <w:basedOn w:val="DefaultParagraphFont"/>
    <w:link w:val="PlainText"/>
    <w:rsid w:val="00BB249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B2494"/>
    <w:rPr>
      <w:b/>
      <w:smallCaps/>
    </w:rPr>
  </w:style>
  <w:style w:type="paragraph" w:customStyle="1" w:styleId="TableListNumber">
    <w:name w:val="Table List Number"/>
    <w:basedOn w:val="ListNumber"/>
    <w:rsid w:val="00BB2494"/>
    <w:pPr>
      <w:numPr>
        <w:numId w:val="0"/>
      </w:numPr>
    </w:pPr>
  </w:style>
  <w:style w:type="paragraph" w:styleId="TOC4">
    <w:name w:val="toc 4"/>
    <w:basedOn w:val="TOCBase"/>
    <w:next w:val="Normal"/>
    <w:semiHidden/>
    <w:rsid w:val="00BB2494"/>
    <w:pPr>
      <w:tabs>
        <w:tab w:val="right" w:leader="dot" w:pos="9071"/>
      </w:tabs>
      <w:ind w:left="1701"/>
    </w:pPr>
  </w:style>
  <w:style w:type="paragraph" w:customStyle="1" w:styleId="ListAlpha">
    <w:name w:val="List Alpha"/>
    <w:basedOn w:val="List"/>
    <w:rsid w:val="00BB2494"/>
    <w:pPr>
      <w:numPr>
        <w:numId w:val="10"/>
      </w:numPr>
    </w:pPr>
  </w:style>
  <w:style w:type="paragraph" w:customStyle="1" w:styleId="ListAlpha2">
    <w:name w:val="List Alpha 2"/>
    <w:basedOn w:val="List2"/>
    <w:rsid w:val="00BB2494"/>
    <w:pPr>
      <w:numPr>
        <w:numId w:val="9"/>
      </w:numPr>
    </w:pPr>
  </w:style>
  <w:style w:type="paragraph" w:styleId="List3">
    <w:name w:val="List 3"/>
    <w:basedOn w:val="BodyText"/>
    <w:rsid w:val="00BB2494"/>
    <w:pPr>
      <w:tabs>
        <w:tab w:val="left" w:pos="1021"/>
      </w:tabs>
      <w:spacing w:before="60" w:after="60"/>
      <w:ind w:left="1020" w:hanging="340"/>
    </w:pPr>
  </w:style>
  <w:style w:type="paragraph" w:styleId="List4">
    <w:name w:val="List 4"/>
    <w:basedOn w:val="BodyText"/>
    <w:rsid w:val="00BB2494"/>
    <w:pPr>
      <w:tabs>
        <w:tab w:val="left" w:pos="1361"/>
      </w:tabs>
      <w:spacing w:before="60" w:after="60"/>
      <w:ind w:left="1361" w:hanging="340"/>
    </w:pPr>
  </w:style>
  <w:style w:type="paragraph" w:styleId="List5">
    <w:name w:val="List 5"/>
    <w:basedOn w:val="BodyText"/>
    <w:rsid w:val="00BB2494"/>
    <w:pPr>
      <w:tabs>
        <w:tab w:val="left" w:pos="1701"/>
      </w:tabs>
      <w:spacing w:before="60" w:after="60"/>
      <w:ind w:left="1701" w:hanging="340"/>
    </w:pPr>
  </w:style>
  <w:style w:type="paragraph" w:styleId="ListBullet4">
    <w:name w:val="List Bullet 4"/>
    <w:basedOn w:val="List4"/>
    <w:rsid w:val="00BB2494"/>
    <w:pPr>
      <w:numPr>
        <w:numId w:val="4"/>
      </w:numPr>
    </w:pPr>
  </w:style>
  <w:style w:type="paragraph" w:styleId="ListBullet5">
    <w:name w:val="List Bullet 5"/>
    <w:basedOn w:val="List5"/>
    <w:rsid w:val="00BB2494"/>
    <w:pPr>
      <w:numPr>
        <w:numId w:val="5"/>
      </w:numPr>
    </w:pPr>
  </w:style>
  <w:style w:type="paragraph" w:styleId="ListContinue2">
    <w:name w:val="List Continue 2"/>
    <w:basedOn w:val="List2"/>
    <w:rsid w:val="00BB2494"/>
    <w:pPr>
      <w:ind w:firstLine="0"/>
    </w:pPr>
  </w:style>
  <w:style w:type="paragraph" w:styleId="ListContinue3">
    <w:name w:val="List Continue 3"/>
    <w:basedOn w:val="List3"/>
    <w:rsid w:val="00BB2494"/>
    <w:pPr>
      <w:ind w:left="1021" w:firstLine="0"/>
    </w:pPr>
  </w:style>
  <w:style w:type="paragraph" w:styleId="ListContinue4">
    <w:name w:val="List Continue 4"/>
    <w:basedOn w:val="List4"/>
    <w:rsid w:val="00BB2494"/>
    <w:pPr>
      <w:ind w:firstLine="0"/>
    </w:pPr>
  </w:style>
  <w:style w:type="paragraph" w:styleId="ListContinue5">
    <w:name w:val="List Continue 5"/>
    <w:basedOn w:val="List5"/>
    <w:rsid w:val="00BB2494"/>
    <w:pPr>
      <w:ind w:firstLine="0"/>
    </w:pPr>
  </w:style>
  <w:style w:type="paragraph" w:styleId="ListNumber3">
    <w:name w:val="List Number 3"/>
    <w:basedOn w:val="List3"/>
    <w:rsid w:val="00BB2494"/>
    <w:pPr>
      <w:numPr>
        <w:numId w:val="6"/>
      </w:numPr>
    </w:pPr>
  </w:style>
  <w:style w:type="paragraph" w:styleId="ListNumber4">
    <w:name w:val="List Number 4"/>
    <w:basedOn w:val="List4"/>
    <w:rsid w:val="00BB2494"/>
    <w:pPr>
      <w:numPr>
        <w:numId w:val="7"/>
      </w:numPr>
    </w:pPr>
  </w:style>
  <w:style w:type="paragraph" w:styleId="ListNumber5">
    <w:name w:val="List Number 5"/>
    <w:basedOn w:val="List5"/>
    <w:rsid w:val="00BB2494"/>
    <w:pPr>
      <w:numPr>
        <w:numId w:val="8"/>
      </w:numPr>
    </w:pPr>
  </w:style>
  <w:style w:type="paragraph" w:styleId="BlockText">
    <w:name w:val="Block Text"/>
    <w:basedOn w:val="Normal"/>
    <w:rsid w:val="00BB2494"/>
    <w:pPr>
      <w:spacing w:after="120"/>
      <w:ind w:left="1440" w:right="1440"/>
    </w:pPr>
  </w:style>
  <w:style w:type="character" w:customStyle="1" w:styleId="Subscript">
    <w:name w:val="Subscript"/>
    <w:basedOn w:val="DefaultParagraphFont"/>
    <w:rsid w:val="00BB2494"/>
    <w:rPr>
      <w:sz w:val="16"/>
      <w:vertAlign w:val="subscript"/>
    </w:rPr>
  </w:style>
  <w:style w:type="character" w:customStyle="1" w:styleId="Superscript">
    <w:name w:val="Superscript"/>
    <w:basedOn w:val="DefaultParagraphFont"/>
    <w:rsid w:val="00BB2494"/>
    <w:rPr>
      <w:sz w:val="16"/>
      <w:vertAlign w:val="superscript"/>
    </w:rPr>
  </w:style>
  <w:style w:type="character" w:customStyle="1" w:styleId="Symbols">
    <w:name w:val="Symbols"/>
    <w:basedOn w:val="DefaultParagraphFont"/>
    <w:rsid w:val="00BB2494"/>
    <w:rPr>
      <w:rFonts w:ascii="Symbol" w:hAnsi="Symbol"/>
    </w:rPr>
  </w:style>
  <w:style w:type="character" w:customStyle="1" w:styleId="MenuOptions">
    <w:name w:val="Menu Options"/>
    <w:basedOn w:val="DefaultParagraphFont"/>
    <w:rsid w:val="00BB2494"/>
    <w:rPr>
      <w:rFonts w:ascii="Arial Narrow" w:hAnsi="Arial Narrow"/>
      <w:smallCaps/>
    </w:rPr>
  </w:style>
  <w:style w:type="character" w:customStyle="1" w:styleId="Buttons">
    <w:name w:val="Buttons"/>
    <w:basedOn w:val="DefaultParagraphFont"/>
    <w:rsid w:val="00BB2494"/>
    <w:rPr>
      <w:b/>
    </w:rPr>
  </w:style>
  <w:style w:type="character" w:customStyle="1" w:styleId="Underlined">
    <w:name w:val="Underlined"/>
    <w:basedOn w:val="DefaultParagraphFont"/>
    <w:rsid w:val="00BB2494"/>
    <w:rPr>
      <w:u w:val="single"/>
    </w:rPr>
  </w:style>
  <w:style w:type="paragraph" w:customStyle="1" w:styleId="TableBodyTextRight">
    <w:name w:val="Table Body Text Right"/>
    <w:basedOn w:val="TableBodyText"/>
    <w:rsid w:val="00BB2494"/>
    <w:pPr>
      <w:widowControl w:val="0"/>
      <w:autoSpaceDE w:val="0"/>
      <w:autoSpaceDN w:val="0"/>
      <w:adjustRightInd w:val="0"/>
      <w:jc w:val="right"/>
    </w:pPr>
    <w:rPr>
      <w:rFonts w:cs="Arial"/>
      <w:szCs w:val="18"/>
    </w:rPr>
  </w:style>
  <w:style w:type="paragraph" w:customStyle="1" w:styleId="CopyrightText">
    <w:name w:val="Copyright Text"/>
    <w:basedOn w:val="BodyText"/>
    <w:rsid w:val="00BB2494"/>
    <w:rPr>
      <w:sz w:val="18"/>
    </w:rPr>
  </w:style>
  <w:style w:type="paragraph" w:customStyle="1" w:styleId="BodySmallRight">
    <w:name w:val="Body Small Right"/>
    <w:basedOn w:val="BodyTextRight"/>
    <w:rsid w:val="00BB2494"/>
    <w:rPr>
      <w:sz w:val="18"/>
      <w:szCs w:val="18"/>
    </w:rPr>
  </w:style>
  <w:style w:type="paragraph" w:customStyle="1" w:styleId="MarginEdition">
    <w:name w:val="Margin Edition"/>
    <w:basedOn w:val="MarginNote"/>
    <w:rsid w:val="00BB2494"/>
    <w:pPr>
      <w:spacing w:before="0" w:after="0"/>
    </w:pPr>
    <w:rPr>
      <w:rFonts w:ascii="Times New Roman" w:hAnsi="Times New Roman"/>
      <w:color w:val="999999"/>
    </w:rPr>
  </w:style>
  <w:style w:type="paragraph" w:customStyle="1" w:styleId="Spacer">
    <w:name w:val="Spacer"/>
    <w:basedOn w:val="Normal"/>
    <w:rsid w:val="00BB2494"/>
    <w:rPr>
      <w:sz w:val="2"/>
      <w:szCs w:val="2"/>
    </w:rPr>
  </w:style>
  <w:style w:type="character" w:customStyle="1" w:styleId="Small">
    <w:name w:val="Small"/>
    <w:basedOn w:val="DefaultParagraphFont"/>
    <w:rsid w:val="00BB2494"/>
    <w:rPr>
      <w:sz w:val="16"/>
    </w:rPr>
  </w:style>
  <w:style w:type="paragraph" w:customStyle="1" w:styleId="WideTable">
    <w:name w:val="Wide Table"/>
    <w:basedOn w:val="Normal"/>
    <w:rsid w:val="00BB2494"/>
    <w:pPr>
      <w:ind w:left="-1418"/>
    </w:pPr>
    <w:rPr>
      <w:sz w:val="2"/>
      <w:szCs w:val="2"/>
    </w:rPr>
  </w:style>
  <w:style w:type="character" w:styleId="PageNumber">
    <w:name w:val="page number"/>
    <w:basedOn w:val="DefaultParagraphFont"/>
    <w:rsid w:val="00BB2494"/>
  </w:style>
  <w:style w:type="paragraph" w:styleId="Quote">
    <w:name w:val="Quote"/>
    <w:basedOn w:val="Heading1"/>
    <w:link w:val="QuoteChar"/>
    <w:qFormat/>
    <w:rsid w:val="00BB2494"/>
    <w:rPr>
      <w:b w:val="0"/>
      <w:sz w:val="72"/>
      <w:szCs w:val="72"/>
      <w:lang w:val="en-NZ"/>
    </w:rPr>
  </w:style>
  <w:style w:type="character" w:customStyle="1" w:styleId="QuoteChar">
    <w:name w:val="Quote Char"/>
    <w:basedOn w:val="DefaultParagraphFont"/>
    <w:link w:val="Quote"/>
    <w:rsid w:val="00BB249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B2494"/>
    <w:pPr>
      <w:pageBreakBefore/>
    </w:pPr>
  </w:style>
  <w:style w:type="paragraph" w:customStyle="1" w:styleId="Border">
    <w:name w:val="Border"/>
    <w:basedOn w:val="Normal"/>
    <w:qFormat/>
    <w:rsid w:val="00BB249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B2494"/>
    <w:rPr>
      <w:b/>
      <w:bCs/>
      <w:i/>
      <w:iCs/>
      <w:color w:val="auto"/>
    </w:rPr>
  </w:style>
  <w:style w:type="paragraph" w:styleId="IntenseQuote">
    <w:name w:val="Intense Quote"/>
    <w:basedOn w:val="Normal"/>
    <w:next w:val="Normal"/>
    <w:link w:val="IntenseQuoteChar"/>
    <w:uiPriority w:val="30"/>
    <w:qFormat/>
    <w:rsid w:val="00BB249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B249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B2494"/>
    <w:rPr>
      <w:smallCaps/>
      <w:color w:val="auto"/>
      <w:u w:val="single"/>
    </w:rPr>
  </w:style>
  <w:style w:type="character" w:styleId="IntenseReference">
    <w:name w:val="Intense Reference"/>
    <w:basedOn w:val="DefaultParagraphFont"/>
    <w:uiPriority w:val="32"/>
    <w:qFormat/>
    <w:rsid w:val="00BB2494"/>
    <w:rPr>
      <w:b/>
      <w:bCs/>
      <w:smallCaps/>
      <w:color w:val="auto"/>
      <w:spacing w:val="5"/>
      <w:u w:val="single"/>
    </w:rPr>
  </w:style>
  <w:style w:type="paragraph" w:customStyle="1" w:styleId="2ColumnHeading">
    <w:name w:val="2Column Heading"/>
    <w:basedOn w:val="BodyText"/>
    <w:qFormat/>
    <w:rsid w:val="00BB2494"/>
    <w:pPr>
      <w:spacing w:after="60"/>
      <w:ind w:left="-2268"/>
    </w:pPr>
    <w:rPr>
      <w:b/>
    </w:rPr>
  </w:style>
  <w:style w:type="paragraph" w:customStyle="1" w:styleId="Heading1TOC">
    <w:name w:val="Heading1 TOC"/>
    <w:basedOn w:val="Normal"/>
    <w:qFormat/>
    <w:rsid w:val="00BB2494"/>
    <w:pPr>
      <w:spacing w:before="240" w:after="120"/>
    </w:pPr>
    <w:rPr>
      <w:rFonts w:ascii="Times New Roman" w:hAnsi="Times New Roman"/>
      <w:b/>
      <w:sz w:val="32"/>
    </w:rPr>
  </w:style>
  <w:style w:type="paragraph" w:customStyle="1" w:styleId="Heading2TOC">
    <w:name w:val="Heading2 TOC"/>
    <w:basedOn w:val="Normal"/>
    <w:qFormat/>
    <w:rsid w:val="00BB2494"/>
    <w:pPr>
      <w:spacing w:before="240" w:after="60"/>
    </w:pPr>
    <w:rPr>
      <w:rFonts w:ascii="Times New Roman" w:hAnsi="Times New Roman"/>
      <w:b/>
      <w:sz w:val="28"/>
    </w:rPr>
  </w:style>
  <w:style w:type="character" w:customStyle="1" w:styleId="Underline">
    <w:name w:val="Underline"/>
    <w:basedOn w:val="DefaultParagraphFont"/>
    <w:qFormat/>
    <w:rsid w:val="00BB2494"/>
    <w:rPr>
      <w:u w:val="single"/>
    </w:rPr>
  </w:style>
  <w:style w:type="paragraph" w:styleId="BalloonText">
    <w:name w:val="Balloon Text"/>
    <w:basedOn w:val="Normal"/>
    <w:link w:val="BalloonTextChar"/>
    <w:rsid w:val="00BB2494"/>
    <w:rPr>
      <w:rFonts w:ascii="Tahoma" w:hAnsi="Tahoma" w:cs="Tahoma"/>
      <w:sz w:val="16"/>
      <w:szCs w:val="16"/>
    </w:rPr>
  </w:style>
  <w:style w:type="character" w:customStyle="1" w:styleId="BalloonTextChar">
    <w:name w:val="Balloon Text Char"/>
    <w:basedOn w:val="DefaultParagraphFont"/>
    <w:link w:val="BalloonText"/>
    <w:rsid w:val="00BB249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B249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B249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1602</Words>
  <Characters>10307</Characters>
  <Application>Microsoft Office Word</Application>
  <DocSecurity>0</DocSecurity>
  <Lines>354</Lines>
  <Paragraphs>186</Paragraphs>
  <ScaleCrop>false</ScaleCrop>
  <Company>Author-it Software Corporation Ltd.</Company>
  <LinksUpToDate>false</LinksUpToDate>
  <CharactersWithSpaces>11836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CPCCBC4036A Prepare to undertake the heritage restoration process</dc:title>
  <dc:subject>Approved</dc:subject>
  <dc:creator>Construction &amp; Property Services Industry Skills Council</dc:creator>
  <cp:keywords>Release: 1</cp:keywords>
  <dc:description>Copyright © 1996-2007 Author-it Software Corporation Ltd., all rights reserved.</dc:description>
  <cp:lastModifiedBy>Craig Taylor</cp:lastModifiedBy>
  <cp:revision>3</cp:revision>
  <dcterms:created xsi:type="dcterms:W3CDTF">2012-05-26T05:18:00Z</dcterms:created>
  <dcterms:modified xsi:type="dcterms:W3CDTF">2012-05-26T05:18:00Z</dcterms:modified>
</cp:coreProperties>
</file>