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94E" w:rsidP="009F294E">
      <w:pPr>
        <w:pStyle w:val="Title"/>
      </w:pPr>
      <w:r>
        <w:fldChar w:fldCharType="begin"/>
      </w:r>
      <w:r>
        <w:instrText xml:space="preserve"> TITLE   \* MERGEFORMAT </w:instrText>
      </w:r>
      <w:r>
        <w:fldChar w:fldCharType="separate"/>
      </w:r>
      <w:r>
        <w:t>CPCCBC4027B Establish a basis for sales consulting</w:t>
      </w:r>
      <w:r>
        <w:fldChar w:fldCharType="end"/>
      </w:r>
    </w:p>
    <w:p w:rsidR="009F294E" w:rsidP="009F294E">
      <w:pPr>
        <w:pStyle w:val="Version"/>
        <w:sectPr w:rsidSect="00F622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2F0" w:rsidP="00F622F0">
      <w:pPr>
        <w:pStyle w:val="SuperHeading"/>
      </w:pPr>
      <w:r w:rsidRPr="00F622F0">
        <w:t>CPCCBC4027B Establish a basis for sales consulting</w:t>
      </w:r>
    </w:p>
    <w:p w:rsidR="00000000" w:rsidRPr="00F622F0" w:rsidP="00F622F0">
      <w:pPr>
        <w:pStyle w:val="Heading1"/>
      </w:pPr>
      <w:bookmarkStart w:id="1" w:name="O_269424"/>
      <w:bookmarkEnd w:id="1"/>
      <w:r w:rsidRPr="00F622F0">
        <w:t>Modification History</w:t>
      </w:r>
    </w:p>
    <w:p w:rsidR="00000000" w:rsidRPr="00F622F0" w:rsidP="00F622F0">
      <w:pPr>
        <w:pStyle w:val="BodyText"/>
      </w:pPr>
      <w:r w:rsidRPr="00F622F0">
        <w:t>Not Applicable</w:t>
      </w:r>
    </w:p>
    <w:p w:rsidR="00000000" w:rsidRPr="00F622F0" w:rsidP="00F622F0">
      <w:pPr>
        <w:pStyle w:val="AllowPageBreak"/>
      </w:pPr>
    </w:p>
    <w:p w:rsidR="00000000" w:rsidRPr="00F622F0" w:rsidP="00F622F0">
      <w:pPr>
        <w:pStyle w:val="Heading1"/>
      </w:pPr>
      <w:bookmarkStart w:id="2" w:name="O_196828"/>
      <w:bookmarkEnd w:id="2"/>
      <w:r w:rsidRPr="00F622F0">
        <w:t>Unit Descriptor</w:t>
      </w:r>
    </w:p>
    <w:tbl>
      <w:tblPr>
        <w:tblW w:w="0" w:type="auto"/>
        <w:tblLayout w:type="fixed"/>
        <w:tblCellMar>
          <w:left w:w="62" w:type="dxa"/>
          <w:right w:w="62" w:type="dxa"/>
        </w:tblCellMar>
        <w:tblLook w:val="0000"/>
      </w:tblPr>
      <w:tblGrid>
        <w:gridCol w:w="2646"/>
        <w:gridCol w:w="5876"/>
      </w:tblGrid>
      <w:tr w:rsidTr="009F294E">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This unit of competency specifies the outcomes required to develop information about the sales proce</w:t>
            </w:r>
            <w:r w:rsidRPr="00F622F0">
              <w:t>ss. The unit covers the construction industry and establishing personal standards in support of the sales process.</w:t>
            </w:r>
          </w:p>
        </w:tc>
      </w:tr>
    </w:tbl>
    <w:p w:rsidR="009F294E" w:rsidP="00F622F0">
      <w:pPr>
        <w:pStyle w:val="BodyText"/>
      </w:pPr>
    </w:p>
    <w:p w:rsidR="009F294E" w:rsidP="00F622F0">
      <w:pPr>
        <w:pStyle w:val="BodyText"/>
      </w:pPr>
    </w:p>
    <w:p w:rsidR="00000000" w:rsidRPr="00F622F0" w:rsidP="00F622F0">
      <w:pPr>
        <w:pStyle w:val="Heading1"/>
      </w:pPr>
      <w:bookmarkStart w:id="3" w:name="O_196832"/>
      <w:bookmarkEnd w:id="3"/>
      <w:r w:rsidRPr="00F622F0">
        <w:t>Application of the Unit</w:t>
      </w:r>
    </w:p>
    <w:tbl>
      <w:tblPr>
        <w:tblW w:w="0" w:type="auto"/>
        <w:tblLayout w:type="fixed"/>
        <w:tblCellMar>
          <w:left w:w="62" w:type="dxa"/>
          <w:right w:w="62" w:type="dxa"/>
        </w:tblCellMar>
        <w:tblLook w:val="0000"/>
      </w:tblPr>
      <w:tblGrid>
        <w:gridCol w:w="2729"/>
        <w:gridCol w:w="5793"/>
      </w:tblGrid>
      <w:tr w:rsidTr="009F294E">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 xml:space="preserve">This unit of competency supports the needs of sales consultants and other professionals within the building and construction industry responsible for the marketing and sale of newly constructed residential and commercial structures. </w:t>
            </w:r>
          </w:p>
        </w:tc>
      </w:tr>
    </w:tbl>
    <w:p w:rsidR="009F294E" w:rsidP="00F622F0">
      <w:pPr>
        <w:pStyle w:val="BodyText"/>
      </w:pPr>
    </w:p>
    <w:p w:rsidR="009F294E" w:rsidP="00F622F0">
      <w:pPr>
        <w:pStyle w:val="BodyText"/>
      </w:pPr>
    </w:p>
    <w:p w:rsidR="00000000" w:rsidRPr="00F622F0" w:rsidP="00F622F0">
      <w:pPr>
        <w:pStyle w:val="Heading1"/>
      </w:pPr>
      <w:bookmarkStart w:id="4" w:name="O_277684"/>
      <w:bookmarkEnd w:id="4"/>
      <w:r w:rsidRPr="00F622F0">
        <w:t>Li</w:t>
      </w:r>
      <w:r w:rsidRPr="00F622F0">
        <w:t>censing/Regulatory Information</w:t>
      </w:r>
    </w:p>
    <w:p w:rsidR="00000000" w:rsidRPr="00F622F0" w:rsidP="00F622F0">
      <w:pPr>
        <w:pStyle w:val="BodyText"/>
      </w:pPr>
      <w:r w:rsidRPr="00F622F0">
        <w:t>Not Applicable</w:t>
      </w:r>
    </w:p>
    <w:p w:rsidR="00000000" w:rsidRPr="00F622F0" w:rsidP="00F622F0">
      <w:pPr>
        <w:pStyle w:val="AllowPageBreak"/>
      </w:pPr>
    </w:p>
    <w:p w:rsidR="00000000" w:rsidRPr="00F622F0" w:rsidP="00F622F0">
      <w:pPr>
        <w:pStyle w:val="Heading1"/>
      </w:pPr>
      <w:bookmarkStart w:id="5" w:name="O_196830"/>
      <w:bookmarkEnd w:id="5"/>
      <w:r w:rsidRPr="00F622F0">
        <w:t>Pre-Requisites</w:t>
      </w:r>
    </w:p>
    <w:tbl>
      <w:tblPr>
        <w:tblW w:w="0" w:type="auto"/>
        <w:tblLayout w:type="fixed"/>
        <w:tblCellMar>
          <w:left w:w="62" w:type="dxa"/>
          <w:right w:w="62" w:type="dxa"/>
        </w:tblCellMar>
        <w:tblLook w:val="0000"/>
      </w:tblPr>
      <w:tblGrid>
        <w:gridCol w:w="2740"/>
        <w:gridCol w:w="5782"/>
      </w:tblGrid>
      <w:tr w:rsidTr="009F294E">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Nil</w:t>
            </w:r>
          </w:p>
        </w:tc>
      </w:tr>
    </w:tbl>
    <w:p w:rsidR="009F294E" w:rsidP="00F622F0">
      <w:pPr>
        <w:pStyle w:val="BodyText"/>
      </w:pPr>
    </w:p>
    <w:p w:rsidR="009F294E" w:rsidP="00F622F0">
      <w:pPr>
        <w:pStyle w:val="BodyText"/>
      </w:pPr>
    </w:p>
    <w:p w:rsidR="00000000" w:rsidRPr="00F622F0" w:rsidP="00F622F0">
      <w:pPr>
        <w:pStyle w:val="Heading1"/>
      </w:pPr>
      <w:bookmarkStart w:id="6" w:name="O_196829"/>
      <w:bookmarkEnd w:id="6"/>
      <w:r w:rsidRPr="00F622F0">
        <w:t>Employability Skills Information</w:t>
      </w:r>
    </w:p>
    <w:tbl>
      <w:tblPr>
        <w:tblW w:w="0" w:type="auto"/>
        <w:tblLayout w:type="fixed"/>
        <w:tblCellMar>
          <w:left w:w="62" w:type="dxa"/>
          <w:right w:w="62" w:type="dxa"/>
        </w:tblCellMar>
        <w:tblLook w:val="0000"/>
      </w:tblPr>
      <w:tblGrid>
        <w:gridCol w:w="2773"/>
        <w:gridCol w:w="5749"/>
      </w:tblGrid>
      <w:tr w:rsidTr="009F294E">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This unit contains employability skills.</w:t>
            </w:r>
          </w:p>
        </w:tc>
      </w:tr>
    </w:tbl>
    <w:p w:rsidR="009F294E" w:rsidP="00F622F0">
      <w:pPr>
        <w:pStyle w:val="BodyText"/>
      </w:pPr>
    </w:p>
    <w:p w:rsidR="009F294E" w:rsidP="00F622F0">
      <w:pPr>
        <w:pStyle w:val="BodyText"/>
      </w:pPr>
    </w:p>
    <w:p w:rsidR="00000000" w:rsidRPr="00F622F0" w:rsidP="00F622F0">
      <w:pPr>
        <w:pStyle w:val="Heading1"/>
      </w:pPr>
      <w:bookmarkStart w:id="7" w:name="O_287470"/>
      <w:bookmarkEnd w:id="7"/>
      <w:r w:rsidRPr="00F622F0">
        <w:t>Elements and Performance Criteria Pre-Content</w:t>
      </w:r>
    </w:p>
    <w:tbl>
      <w:tblPr>
        <w:tblW w:w="0" w:type="auto"/>
        <w:tblLayout w:type="fixed"/>
        <w:tblCellMar>
          <w:left w:w="62" w:type="dxa"/>
          <w:right w:w="62" w:type="dxa"/>
        </w:tblCellMar>
        <w:tblLook w:val="0000"/>
      </w:tblPr>
      <w:tblGrid>
        <w:gridCol w:w="2607"/>
        <w:gridCol w:w="5915"/>
      </w:tblGrid>
      <w:tr w:rsidTr="009F294E">
        <w:tblPrEx>
          <w:tblW w:w="0" w:type="auto"/>
          <w:tblLayout w:type="fixed"/>
          <w:tblCellMar>
            <w:left w:w="62" w:type="dxa"/>
            <w:right w:w="62" w:type="dxa"/>
          </w:tblCellMar>
          <w:tblLook w:val="0000"/>
        </w:tblPrEx>
        <w:tc>
          <w:tcPr>
            <w:tcW w:w="2607" w:type="dxa"/>
            <w:tcBorders>
              <w:top w:val="single" w:sz="6" w:space="0" w:color="auto"/>
              <w:left w:val="nil"/>
              <w:bottom w:val="nil"/>
              <w:right w:val="nil"/>
            </w:tcBorders>
            <w:tcMar>
              <w:top w:w="0" w:type="dxa"/>
              <w:left w:w="62" w:type="dxa"/>
              <w:bottom w:w="0" w:type="dxa"/>
              <w:right w:w="62" w:type="dxa"/>
            </w:tcMar>
          </w:tcPr>
          <w:p w:rsidR="00000000" w:rsidP="00F622F0">
            <w:pPr>
              <w:pStyle w:val="BodyText"/>
              <w:rPr>
                <w:lang w:val="en-NZ"/>
              </w:rPr>
            </w:pPr>
            <w:r w:rsidRPr="00F622F0">
              <w:t>Elements describe the essential outcomes of a unit of competency.</w:t>
            </w:r>
          </w:p>
        </w:tc>
        <w:tc>
          <w:tcPr>
            <w:tcW w:w="5915" w:type="dxa"/>
            <w:tcBorders>
              <w:top w:val="single" w:sz="6" w:space="0" w:color="auto"/>
              <w:left w:val="nil"/>
              <w:bottom w:val="nil"/>
              <w:right w:val="nil"/>
            </w:tcBorders>
            <w:tcMar>
              <w:top w:w="0" w:type="dxa"/>
              <w:left w:w="62" w:type="dxa"/>
              <w:bottom w:w="0" w:type="dxa"/>
              <w:right w:w="62" w:type="dxa"/>
            </w:tcMar>
          </w:tcPr>
          <w:p w:rsidR="00000000" w:rsidRPr="00F622F0" w:rsidP="00F622F0">
            <w:pPr>
              <w:pStyle w:val="BodyText"/>
            </w:pPr>
            <w:r w:rsidRPr="00F622F0">
              <w:t>Performance criteria describe the performance needed to demonstrate achievement of the element. Where bold italicised text is used, further info</w:t>
            </w:r>
            <w:r w:rsidRPr="00F622F0">
              <w:t>rmation is detailed in the required skills and knowledge section and the range statement. Assessment of performance is to be consistent with the evidence guide.</w:t>
            </w:r>
          </w:p>
        </w:tc>
      </w:tr>
    </w:tbl>
    <w:p w:rsidR="00000000" w:rsidRPr="00F622F0" w:rsidP="00F622F0">
      <w:pPr>
        <w:pStyle w:val="BodyText"/>
      </w:pPr>
    </w:p>
    <w:p w:rsidR="00000000" w:rsidRPr="00F622F0" w:rsidP="00F622F0">
      <w:pPr>
        <w:pStyle w:val="AllowPageBreak"/>
      </w:pPr>
    </w:p>
    <w:p w:rsidR="00000000" w:rsidRPr="00F622F0" w:rsidP="00F622F0">
      <w:pPr>
        <w:pStyle w:val="Heading1"/>
      </w:pPr>
      <w:bookmarkStart w:id="8" w:name="O_234137"/>
      <w:bookmarkEnd w:id="8"/>
      <w:r w:rsidRPr="00F622F0">
        <w:t>Elements and Performance Criteria</w:t>
      </w:r>
    </w:p>
    <w:tbl>
      <w:tblPr>
        <w:tblW w:w="0" w:type="auto"/>
        <w:tblLayout w:type="fixed"/>
        <w:tblCellMar>
          <w:left w:w="62" w:type="dxa"/>
          <w:right w:w="62" w:type="dxa"/>
        </w:tblCellMar>
        <w:tblLook w:val="0000"/>
      </w:tblPr>
      <w:tblGrid>
        <w:gridCol w:w="2607"/>
        <w:gridCol w:w="5915"/>
      </w:tblGrid>
      <w:tr w:rsidTr="009F294E">
        <w:tblPrEx>
          <w:tblW w:w="0" w:type="auto"/>
          <w:tblLayout w:type="fixed"/>
          <w:tblCellMar>
            <w:left w:w="62" w:type="dxa"/>
            <w:right w:w="62" w:type="dxa"/>
          </w:tblCellMar>
          <w:tblLook w:val="0000"/>
        </w:tblPrEx>
        <w:trPr>
          <w:tblHeader/>
        </w:trPr>
        <w:tc>
          <w:tcPr>
            <w:tcW w:w="2607" w:type="dxa"/>
            <w:tcBorders>
              <w:top w:val="nil"/>
              <w:left w:val="nil"/>
              <w:bottom w:val="single" w:sz="6" w:space="0" w:color="auto"/>
              <w:right w:val="nil"/>
            </w:tcBorders>
            <w:tcMar>
              <w:top w:w="0" w:type="dxa"/>
              <w:left w:w="62" w:type="dxa"/>
              <w:bottom w:w="0" w:type="dxa"/>
              <w:right w:w="62" w:type="dxa"/>
            </w:tcMar>
          </w:tcPr>
          <w:p w:rsidR="00000000" w:rsidRPr="00F622F0" w:rsidP="00F622F0">
            <w:pPr>
              <w:pStyle w:val="BodyText"/>
            </w:pPr>
            <w:r w:rsidRPr="00F622F0">
              <w:rPr>
                <w:rStyle w:val="SpecialBold"/>
              </w:rPr>
              <w:t>ELEMENT</w:t>
            </w:r>
          </w:p>
        </w:tc>
        <w:tc>
          <w:tcPr>
            <w:tcW w:w="5915" w:type="dxa"/>
            <w:tcBorders>
              <w:top w:val="nil"/>
              <w:left w:val="nil"/>
              <w:bottom w:val="single" w:sz="6" w:space="0" w:color="auto"/>
              <w:right w:val="nil"/>
            </w:tcBorders>
            <w:tcMar>
              <w:top w:w="0" w:type="dxa"/>
              <w:left w:w="62" w:type="dxa"/>
              <w:bottom w:w="0" w:type="dxa"/>
              <w:right w:w="62" w:type="dxa"/>
            </w:tcMar>
          </w:tcPr>
          <w:p w:rsidR="00000000" w:rsidP="00F622F0">
            <w:pPr>
              <w:pStyle w:val="BodyText"/>
              <w:rPr>
                <w:lang w:val="en-NZ"/>
              </w:rPr>
            </w:pPr>
            <w:r w:rsidRPr="00F622F0">
              <w:rPr>
                <w:rStyle w:val="SpecialBold"/>
              </w:rPr>
              <w:t>PERFORMANCE CRITERIA</w:t>
            </w:r>
          </w:p>
        </w:tc>
      </w:tr>
      <w:tr w:rsidTr="009F294E">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622F0">
            <w:pPr>
              <w:pStyle w:val="List"/>
              <w:rPr>
                <w:lang w:val="en-NZ"/>
              </w:rPr>
            </w:pPr>
            <w:r w:rsidRPr="00F622F0">
              <w:t>1.</w:t>
            </w:r>
            <w:r w:rsidRPr="00F622F0">
              <w:tab/>
            </w:r>
            <w:r w:rsidRPr="00F622F0">
              <w:t>Develop knowledge of the industry.</w:t>
            </w:r>
          </w:p>
        </w:tc>
        <w:tc>
          <w:tcPr>
            <w:tcW w:w="5915" w:type="dxa"/>
            <w:tcBorders>
              <w:top w:val="nil"/>
              <w:left w:val="nil"/>
              <w:bottom w:val="nil"/>
              <w:right w:val="nil"/>
            </w:tcBorders>
            <w:tcMar>
              <w:top w:w="0" w:type="dxa"/>
              <w:left w:w="62" w:type="dxa"/>
              <w:bottom w:w="0" w:type="dxa"/>
              <w:right w:w="62" w:type="dxa"/>
            </w:tcMar>
          </w:tcPr>
          <w:p w:rsidR="00000000" w:rsidRPr="00F622F0" w:rsidP="00F622F0">
            <w:pPr>
              <w:pStyle w:val="List2"/>
            </w:pPr>
            <w:r w:rsidRPr="00F622F0">
              <w:t>1.1.</w:t>
            </w:r>
            <w:r w:rsidRPr="00F622F0">
              <w:tab/>
              <w:t xml:space="preserve">Industry building types are identified. </w:t>
            </w:r>
          </w:p>
          <w:p w:rsidR="00000000" w:rsidRPr="00F622F0" w:rsidP="00F622F0">
            <w:pPr>
              <w:pStyle w:val="List2"/>
            </w:pPr>
            <w:r w:rsidRPr="00F622F0">
              <w:t>1.2.</w:t>
            </w:r>
            <w:r w:rsidRPr="00F622F0">
              <w:tab/>
              <w:t>Knowledge of styles within industry sectors is developed, including individual design, project and architectural designs, renovations and additions.</w:t>
            </w:r>
          </w:p>
          <w:p w:rsidR="00000000" w:rsidRPr="00F622F0" w:rsidP="00F622F0">
            <w:pPr>
              <w:pStyle w:val="List2"/>
            </w:pPr>
            <w:r w:rsidRPr="00F622F0">
              <w:t>1.3.</w:t>
            </w:r>
            <w:r w:rsidRPr="00F622F0">
              <w:tab/>
            </w:r>
            <w:r w:rsidRPr="00F622F0">
              <w:rPr>
                <w:rStyle w:val="BoldandItalics"/>
              </w:rPr>
              <w:t>Market segments</w:t>
            </w:r>
            <w:r w:rsidRPr="00F622F0">
              <w:t xml:space="preserve"> within the relevant industry sector are identified. </w:t>
            </w:r>
          </w:p>
          <w:p w:rsidR="00000000" w:rsidP="00F622F0">
            <w:pPr>
              <w:pStyle w:val="List2"/>
              <w:rPr>
                <w:lang w:val="en-NZ"/>
              </w:rPr>
            </w:pPr>
            <w:r w:rsidRPr="00F622F0">
              <w:t>1.4.</w:t>
            </w:r>
            <w:r w:rsidRPr="00F622F0">
              <w:tab/>
              <w:t>Knowledge of the industry is used to provide customers with clear and accurate information as required.</w:t>
            </w:r>
          </w:p>
        </w:tc>
      </w:tr>
      <w:tr w:rsidTr="009F294E">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622F0">
            <w:pPr>
              <w:pStyle w:val="List"/>
              <w:rPr>
                <w:lang w:val="en-NZ"/>
              </w:rPr>
            </w:pPr>
            <w:r w:rsidRPr="00F622F0">
              <w:t>2.</w:t>
            </w:r>
            <w:r w:rsidRPr="00F622F0">
              <w:tab/>
              <w:t>Demonstrate the key attributes of an industry sales consultant.</w:t>
            </w:r>
          </w:p>
        </w:tc>
        <w:tc>
          <w:tcPr>
            <w:tcW w:w="5915" w:type="dxa"/>
            <w:tcBorders>
              <w:top w:val="nil"/>
              <w:left w:val="nil"/>
              <w:bottom w:val="nil"/>
              <w:right w:val="nil"/>
            </w:tcBorders>
            <w:tcMar>
              <w:top w:w="0" w:type="dxa"/>
              <w:left w:w="62" w:type="dxa"/>
              <w:bottom w:w="0" w:type="dxa"/>
              <w:right w:w="62" w:type="dxa"/>
            </w:tcMar>
          </w:tcPr>
          <w:p w:rsidR="00000000" w:rsidRPr="00F622F0" w:rsidP="00F622F0">
            <w:pPr>
              <w:pStyle w:val="List2"/>
            </w:pPr>
            <w:r w:rsidRPr="00F622F0">
              <w:t>2.1.</w:t>
            </w:r>
            <w:r w:rsidRPr="00F622F0">
              <w:tab/>
              <w:t>Gestures, posture, b</w:t>
            </w:r>
            <w:r w:rsidRPr="00F622F0">
              <w:t>ody language, facial expression and voice are used to create a supportive selling environment.</w:t>
            </w:r>
          </w:p>
          <w:p w:rsidR="00000000" w:rsidRPr="00F622F0" w:rsidP="00F622F0">
            <w:pPr>
              <w:pStyle w:val="List2"/>
            </w:pPr>
            <w:r w:rsidRPr="00F622F0">
              <w:t>2.2.</w:t>
            </w:r>
            <w:r w:rsidRPr="00F622F0">
              <w:tab/>
              <w:t>Customer needs are accurately determined through the use of open-ended questions and active listening.</w:t>
            </w:r>
          </w:p>
          <w:p w:rsidR="00000000" w:rsidRPr="00F622F0" w:rsidP="00F622F0">
            <w:pPr>
              <w:pStyle w:val="List2"/>
            </w:pPr>
            <w:r w:rsidRPr="00F622F0">
              <w:t>2.3.</w:t>
            </w:r>
            <w:r w:rsidRPr="00F622F0">
              <w:tab/>
              <w:t xml:space="preserve">Persuasive communication techniques are used to </w:t>
            </w:r>
            <w:r w:rsidRPr="00F622F0">
              <w:t>secure buyer interest.</w:t>
            </w:r>
          </w:p>
          <w:p w:rsidR="00000000" w:rsidRPr="00F622F0" w:rsidP="00F622F0">
            <w:pPr>
              <w:pStyle w:val="List2"/>
            </w:pPr>
            <w:r w:rsidRPr="00F622F0">
              <w:t>2.4.</w:t>
            </w:r>
            <w:r w:rsidRPr="00F622F0">
              <w:tab/>
              <w:t>Product benefits are established and explained to enhance buyer retention.</w:t>
            </w:r>
          </w:p>
          <w:p w:rsidR="00000000" w:rsidRPr="00F622F0" w:rsidP="00F622F0">
            <w:pPr>
              <w:pStyle w:val="List2"/>
            </w:pPr>
            <w:r w:rsidRPr="00F622F0">
              <w:t>2.5.</w:t>
            </w:r>
            <w:r w:rsidRPr="00F622F0">
              <w:tab/>
            </w:r>
            <w:r w:rsidRPr="00F622F0">
              <w:rPr>
                <w:rStyle w:val="BoldandItalics"/>
              </w:rPr>
              <w:t>Proof of benefits</w:t>
            </w:r>
            <w:r w:rsidRPr="00F622F0">
              <w:t xml:space="preserve"> are obtained and presented through product purchase process. </w:t>
            </w:r>
          </w:p>
          <w:p w:rsidR="00000000" w:rsidP="00F622F0">
            <w:pPr>
              <w:pStyle w:val="List2"/>
              <w:rPr>
                <w:lang w:val="en-NZ"/>
              </w:rPr>
            </w:pPr>
            <w:r w:rsidRPr="00F622F0">
              <w:t>2.6.</w:t>
            </w:r>
            <w:r w:rsidRPr="00F622F0">
              <w:tab/>
            </w:r>
            <w:r w:rsidRPr="00F622F0">
              <w:rPr>
                <w:rStyle w:val="BoldandItalics"/>
              </w:rPr>
              <w:t>Sales aids</w:t>
            </w:r>
            <w:r w:rsidRPr="00F622F0">
              <w:t xml:space="preserve"> are used to build buyer understanding of how the pro</w:t>
            </w:r>
            <w:r w:rsidRPr="00F622F0">
              <w:t xml:space="preserve">duct is aligned with needs. </w:t>
            </w:r>
          </w:p>
        </w:tc>
      </w:tr>
      <w:tr w:rsidTr="009F294E">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622F0">
            <w:pPr>
              <w:pStyle w:val="List"/>
              <w:rPr>
                <w:lang w:val="en-NZ"/>
              </w:rPr>
            </w:pPr>
            <w:r w:rsidRPr="00F622F0">
              <w:t>3.</w:t>
            </w:r>
            <w:r w:rsidRPr="00F622F0">
              <w:tab/>
              <w:t>Manage self-development and personal performance.</w:t>
            </w:r>
          </w:p>
        </w:tc>
        <w:tc>
          <w:tcPr>
            <w:tcW w:w="5915" w:type="dxa"/>
            <w:tcBorders>
              <w:top w:val="nil"/>
              <w:left w:val="nil"/>
              <w:bottom w:val="nil"/>
              <w:right w:val="nil"/>
            </w:tcBorders>
            <w:tcMar>
              <w:top w:w="0" w:type="dxa"/>
              <w:left w:w="62" w:type="dxa"/>
              <w:bottom w:w="0" w:type="dxa"/>
              <w:right w:w="62" w:type="dxa"/>
            </w:tcMar>
          </w:tcPr>
          <w:p w:rsidR="00000000" w:rsidRPr="00F622F0" w:rsidP="00F622F0">
            <w:pPr>
              <w:pStyle w:val="List2"/>
            </w:pPr>
            <w:r w:rsidRPr="00F622F0">
              <w:t>3.1.</w:t>
            </w:r>
            <w:r w:rsidRPr="00F622F0">
              <w:tab/>
            </w:r>
            <w:r w:rsidRPr="00F622F0">
              <w:rPr>
                <w:rStyle w:val="BoldandItalics"/>
              </w:rPr>
              <w:t>Self</w:t>
            </w:r>
            <w:r w:rsidRPr="00F622F0">
              <w:t>-</w:t>
            </w:r>
            <w:r w:rsidRPr="00F622F0">
              <w:rPr>
                <w:rStyle w:val="BoldandItalics"/>
              </w:rPr>
              <w:t>development</w:t>
            </w:r>
            <w:r w:rsidRPr="00F622F0">
              <w:t xml:space="preserve"> plan is produced, which reflects individual and company goals and targets. </w:t>
            </w:r>
          </w:p>
          <w:p w:rsidR="00000000" w:rsidRPr="00F622F0" w:rsidP="00F622F0">
            <w:pPr>
              <w:pStyle w:val="List2"/>
            </w:pPr>
            <w:r w:rsidRPr="00F622F0">
              <w:t>3.2.</w:t>
            </w:r>
            <w:r w:rsidRPr="00F622F0">
              <w:tab/>
            </w:r>
            <w:r w:rsidRPr="00F622F0">
              <w:rPr>
                <w:rStyle w:val="BoldandItalics"/>
              </w:rPr>
              <w:t>Personal performance</w:t>
            </w:r>
            <w:r w:rsidRPr="00F622F0">
              <w:t xml:space="preserve"> is reviewed, evaluated and modified, as required.</w:t>
            </w:r>
            <w:r w:rsidRPr="00F622F0">
              <w:t xml:space="preserve"> </w:t>
            </w:r>
          </w:p>
          <w:p w:rsidR="00000000" w:rsidP="00F622F0">
            <w:pPr>
              <w:pStyle w:val="List2"/>
              <w:rPr>
                <w:lang w:val="en-NZ"/>
              </w:rPr>
            </w:pPr>
            <w:r w:rsidRPr="00F622F0">
              <w:t>3.3.</w:t>
            </w:r>
            <w:r w:rsidRPr="00F622F0">
              <w:tab/>
              <w:t>Processes are put in place to maintain personal mental and physical well being.</w:t>
            </w:r>
          </w:p>
        </w:tc>
      </w:tr>
      <w:tr w:rsidTr="009F294E">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622F0">
            <w:pPr>
              <w:pStyle w:val="List"/>
              <w:rPr>
                <w:lang w:val="en-NZ"/>
              </w:rPr>
            </w:pPr>
            <w:r w:rsidRPr="00F622F0">
              <w:t>4.</w:t>
            </w:r>
            <w:r w:rsidRPr="00F622F0">
              <w:tab/>
              <w:t>Manage buyer resistance and complete documentation.</w:t>
            </w:r>
          </w:p>
        </w:tc>
        <w:tc>
          <w:tcPr>
            <w:tcW w:w="5915" w:type="dxa"/>
            <w:tcBorders>
              <w:top w:val="nil"/>
              <w:left w:val="nil"/>
              <w:bottom w:val="nil"/>
              <w:right w:val="nil"/>
            </w:tcBorders>
            <w:tcMar>
              <w:top w:w="0" w:type="dxa"/>
              <w:left w:w="62" w:type="dxa"/>
              <w:bottom w:w="0" w:type="dxa"/>
              <w:right w:w="62" w:type="dxa"/>
            </w:tcMar>
          </w:tcPr>
          <w:p w:rsidR="00000000" w:rsidRPr="00F622F0" w:rsidP="00F622F0">
            <w:pPr>
              <w:pStyle w:val="List2"/>
            </w:pPr>
            <w:r w:rsidRPr="00F622F0">
              <w:t>4.1.</w:t>
            </w:r>
            <w:r w:rsidRPr="00F622F0">
              <w:tab/>
              <w:t xml:space="preserve">Probing is used to identify </w:t>
            </w:r>
            <w:r w:rsidRPr="00F622F0">
              <w:rPr>
                <w:rStyle w:val="BoldandItalics"/>
              </w:rPr>
              <w:t>source of buyer resistance</w:t>
            </w:r>
            <w:r w:rsidRPr="00F622F0">
              <w:t xml:space="preserve">. </w:t>
            </w:r>
          </w:p>
          <w:p w:rsidR="00000000" w:rsidRPr="00F622F0" w:rsidP="00F622F0">
            <w:pPr>
              <w:pStyle w:val="List2"/>
            </w:pPr>
            <w:r w:rsidRPr="00F622F0">
              <w:t>4.2.</w:t>
            </w:r>
            <w:r w:rsidRPr="00F622F0">
              <w:tab/>
            </w:r>
            <w:r w:rsidRPr="00F622F0">
              <w:t xml:space="preserve">Strengths and limitations of strategies to overcome buyer resistance are identified. </w:t>
            </w:r>
          </w:p>
          <w:p w:rsidR="00000000" w:rsidRPr="00F622F0" w:rsidP="00F622F0">
            <w:pPr>
              <w:pStyle w:val="List2"/>
            </w:pPr>
            <w:r w:rsidRPr="00F622F0">
              <w:t>4.3.</w:t>
            </w:r>
            <w:r w:rsidRPr="00F622F0">
              <w:tab/>
              <w:t>Strategy for managing buyer resistance is selected and implemented ensuring it addresses the source of buyer resistance.</w:t>
            </w:r>
          </w:p>
          <w:p w:rsidR="00000000" w:rsidP="00F622F0">
            <w:pPr>
              <w:pStyle w:val="List2"/>
              <w:rPr>
                <w:lang w:val="en-NZ"/>
              </w:rPr>
            </w:pPr>
            <w:r w:rsidRPr="00F622F0">
              <w:t>4.4.</w:t>
            </w:r>
            <w:r w:rsidRPr="00F622F0">
              <w:tab/>
              <w:t>Customer and sales information is recor</w:t>
            </w:r>
            <w:r w:rsidRPr="00F622F0">
              <w:t>ded as required.</w:t>
            </w:r>
          </w:p>
        </w:tc>
      </w:tr>
      <w:tr w:rsidTr="009F294E">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F622F0">
            <w:pPr>
              <w:pStyle w:val="List"/>
              <w:rPr>
                <w:lang w:val="en-NZ"/>
              </w:rPr>
            </w:pPr>
            <w:r w:rsidRPr="00F622F0">
              <w:t>5.</w:t>
            </w:r>
            <w:r w:rsidRPr="00F622F0">
              <w:tab/>
              <w:t>Develop and maintain professional competence.</w:t>
            </w:r>
          </w:p>
        </w:tc>
        <w:tc>
          <w:tcPr>
            <w:tcW w:w="5915" w:type="dxa"/>
            <w:tcBorders>
              <w:top w:val="nil"/>
              <w:left w:val="nil"/>
              <w:bottom w:val="nil"/>
              <w:right w:val="nil"/>
            </w:tcBorders>
            <w:tcMar>
              <w:top w:w="0" w:type="dxa"/>
              <w:left w:w="62" w:type="dxa"/>
              <w:bottom w:w="0" w:type="dxa"/>
              <w:right w:w="62" w:type="dxa"/>
            </w:tcMar>
          </w:tcPr>
          <w:p w:rsidR="00000000" w:rsidRPr="00F622F0" w:rsidP="00F622F0">
            <w:pPr>
              <w:pStyle w:val="List2"/>
            </w:pPr>
            <w:r w:rsidRPr="00F622F0">
              <w:t>5.1.</w:t>
            </w:r>
            <w:r w:rsidRPr="00F622F0">
              <w:tab/>
              <w:t>Ongoing training and development that meet requirements for professional development programs are identified and attended.</w:t>
            </w:r>
          </w:p>
          <w:p w:rsidR="00000000" w:rsidRPr="00F622F0" w:rsidP="00F622F0">
            <w:pPr>
              <w:pStyle w:val="List2"/>
            </w:pPr>
            <w:r w:rsidRPr="00F622F0">
              <w:t>5.2.</w:t>
            </w:r>
            <w:r w:rsidRPr="00F622F0">
              <w:tab/>
              <w:t xml:space="preserve">Participation in professional networks and associations </w:t>
            </w:r>
            <w:r w:rsidRPr="00F622F0">
              <w:t>is used to enhance knowledge, skills and relationships.</w:t>
            </w:r>
          </w:p>
        </w:tc>
      </w:tr>
    </w:tbl>
    <w:p w:rsidR="009F294E" w:rsidP="00F622F0">
      <w:pPr>
        <w:pStyle w:val="BodyText"/>
      </w:pPr>
    </w:p>
    <w:p w:rsidR="009F294E" w:rsidP="00F622F0">
      <w:pPr>
        <w:pStyle w:val="BodyText"/>
      </w:pPr>
    </w:p>
    <w:p w:rsidR="00000000" w:rsidRPr="00F622F0" w:rsidP="00F622F0">
      <w:pPr>
        <w:pStyle w:val="Heading1"/>
      </w:pPr>
      <w:bookmarkStart w:id="9" w:name="O_258087"/>
      <w:bookmarkEnd w:id="9"/>
      <w:r w:rsidRPr="00F622F0">
        <w:t>Required Skills and Knowledge</w:t>
      </w:r>
    </w:p>
    <w:tbl>
      <w:tblPr>
        <w:tblW w:w="0" w:type="auto"/>
        <w:tblLayout w:type="fixed"/>
        <w:tblCellMar>
          <w:left w:w="62" w:type="dxa"/>
          <w:right w:w="62" w:type="dxa"/>
        </w:tblCellMar>
        <w:tblLook w:val="0000"/>
      </w:tblPr>
      <w:tblGrid>
        <w:gridCol w:w="8522"/>
      </w:tblGrid>
      <w:tr w:rsidTr="009F294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REQUIRED SKILLS AND KNOWLEDGE</w:t>
            </w:r>
          </w:p>
        </w:tc>
      </w:tr>
      <w:tr w:rsidTr="009F29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t>This section describes the skills and knowledge required for this unit.</w:t>
            </w:r>
          </w:p>
        </w:tc>
      </w:tr>
      <w:tr w:rsidTr="009F29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Required skills</w:t>
            </w:r>
          </w:p>
        </w:tc>
      </w:tr>
      <w:tr w:rsidTr="009F29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Required skills for this unit are:</w:t>
            </w:r>
          </w:p>
          <w:p w:rsidR="00000000" w:rsidRPr="00F622F0" w:rsidP="00F622F0">
            <w:pPr>
              <w:pStyle w:val="ListBullet"/>
            </w:pPr>
            <w:r w:rsidRPr="00F622F0">
              <w:t>ability to convey information factually and accurately without overpowering the client</w:t>
            </w:r>
          </w:p>
          <w:p w:rsidR="00000000" w:rsidRPr="00F622F0" w:rsidP="00F622F0">
            <w:pPr>
              <w:pStyle w:val="ListBullet"/>
            </w:pPr>
            <w:r w:rsidRPr="00F622F0">
              <w:t>ability to identify and source the latest industry information</w:t>
            </w:r>
          </w:p>
          <w:p w:rsidR="00000000" w:rsidRPr="00F622F0" w:rsidP="00F622F0">
            <w:pPr>
              <w:pStyle w:val="ListBullet"/>
            </w:pPr>
            <w:r w:rsidRPr="00F622F0">
              <w:t>adhere to organisational ethical and probity standards</w:t>
            </w:r>
          </w:p>
          <w:p w:rsidR="00000000" w:rsidRPr="00F622F0" w:rsidP="00F622F0">
            <w:pPr>
              <w:pStyle w:val="ListBullet"/>
            </w:pPr>
            <w:r w:rsidRPr="00F622F0">
              <w:t>apply numeracy skills to workplace requirements</w:t>
            </w:r>
          </w:p>
          <w:p w:rsidR="00000000" w:rsidRPr="00F622F0" w:rsidP="00F622F0">
            <w:pPr>
              <w:pStyle w:val="ListBullet"/>
            </w:pPr>
            <w:r w:rsidRPr="00F622F0">
              <w:t>communication skills to:</w:t>
            </w:r>
          </w:p>
          <w:p w:rsidR="00000000" w:rsidRPr="00F622F0" w:rsidP="00F622F0">
            <w:pPr>
              <w:pStyle w:val="ListBullet2"/>
            </w:pPr>
            <w:r w:rsidRPr="00F622F0">
              <w:t>demonstrate and communicate property benefits to customers, including long-term benefits of sustainable building solutions and other unique selling features</w:t>
            </w:r>
          </w:p>
          <w:p w:rsidR="00000000" w:rsidRPr="00F622F0" w:rsidP="00F622F0">
            <w:pPr>
              <w:pStyle w:val="ListBullet2"/>
            </w:pPr>
            <w:r w:rsidRPr="00F622F0">
              <w:t>enable clear and direct c</w:t>
            </w:r>
            <w:r w:rsidRPr="00F622F0">
              <w:t>ommunication, using questioning to identify and confirm requirements, share information, listen and understand</w:t>
            </w:r>
          </w:p>
          <w:p w:rsidR="00000000" w:rsidRPr="00F622F0" w:rsidP="00F622F0">
            <w:pPr>
              <w:pStyle w:val="ListBullet2"/>
            </w:pPr>
            <w:r w:rsidRPr="00F622F0">
              <w:t>read and interpret product information and relevant industry information and documentation from a variety of sources</w:t>
            </w:r>
          </w:p>
          <w:p w:rsidR="00000000" w:rsidRPr="00F622F0" w:rsidP="00F622F0">
            <w:pPr>
              <w:pStyle w:val="ListBullet2"/>
            </w:pPr>
            <w:r w:rsidRPr="00F622F0">
              <w:t>use and interpret non-verbal</w:t>
            </w:r>
            <w:r w:rsidRPr="00F622F0">
              <w:t xml:space="preserve"> communication</w:t>
            </w:r>
          </w:p>
          <w:p w:rsidR="00000000" w:rsidRPr="00F622F0" w:rsidP="00F622F0">
            <w:pPr>
              <w:pStyle w:val="ListBullet2"/>
            </w:pPr>
            <w:r w:rsidRPr="00F622F0">
              <w:t>use language and concepts appropriate to cultural differences</w:t>
            </w:r>
          </w:p>
          <w:p w:rsidR="00000000" w:rsidRPr="00F622F0" w:rsidP="00F622F0">
            <w:pPr>
              <w:pStyle w:val="ListBullet2"/>
            </w:pPr>
            <w:r w:rsidRPr="00F622F0">
              <w:t>written skills to record client and sales information</w:t>
            </w:r>
          </w:p>
          <w:p w:rsidR="00000000" w:rsidRPr="00F622F0" w:rsidP="00F622F0">
            <w:pPr>
              <w:pStyle w:val="ListBullet"/>
            </w:pPr>
            <w:r w:rsidRPr="00F622F0">
              <w:t>conflict resolution skills to manage customer dissatisfaction</w:t>
            </w:r>
          </w:p>
          <w:p w:rsidR="00000000" w:rsidRPr="00F622F0" w:rsidP="00F622F0">
            <w:pPr>
              <w:pStyle w:val="ListBullet"/>
            </w:pPr>
            <w:r w:rsidRPr="00F622F0">
              <w:t>negotiation skills to manage buyer resistance</w:t>
            </w:r>
          </w:p>
          <w:p w:rsidR="00000000" w:rsidRPr="00F622F0" w:rsidP="00F622F0">
            <w:pPr>
              <w:pStyle w:val="ListBullet"/>
            </w:pPr>
            <w:r w:rsidRPr="00F622F0">
              <w:t xml:space="preserve">research skills </w:t>
            </w:r>
            <w:r w:rsidRPr="00F622F0">
              <w:t>to use sales statistics to support a verbal argument</w:t>
            </w:r>
          </w:p>
          <w:p w:rsidR="00000000" w:rsidRPr="00F622F0" w:rsidP="00F622F0">
            <w:pPr>
              <w:pStyle w:val="ListBullet"/>
            </w:pPr>
            <w:r w:rsidRPr="00F622F0">
              <w:t>teamwork skills to:</w:t>
            </w:r>
          </w:p>
          <w:p w:rsidR="00000000" w:rsidRPr="00F622F0" w:rsidP="00F622F0">
            <w:pPr>
              <w:pStyle w:val="ListBullet2"/>
            </w:pPr>
            <w:r w:rsidRPr="00F622F0">
              <w:t>relate to people from a range of cultural and ethnic backgrounds and with varying physical and mental abilities</w:t>
            </w:r>
          </w:p>
          <w:p w:rsidR="00000000" w:rsidRPr="00F622F0" w:rsidP="00F622F0">
            <w:pPr>
              <w:pStyle w:val="ListBullet2"/>
            </w:pPr>
            <w:r w:rsidRPr="00F622F0">
              <w:t>work with others to coordinate and action tasks</w:t>
            </w:r>
          </w:p>
          <w:p w:rsidR="00000000" w:rsidRPr="00F622F0" w:rsidP="00F622F0">
            <w:pPr>
              <w:pStyle w:val="ListBullet"/>
            </w:pPr>
            <w:r w:rsidRPr="00F622F0">
              <w:t>technological skills to use equipment to aid presentation of sales information and to operate a range of office equipment</w:t>
            </w:r>
          </w:p>
          <w:p w:rsidR="00000000" w:rsidP="00F622F0">
            <w:pPr>
              <w:pStyle w:val="ListBullet"/>
              <w:rPr>
                <w:lang w:val="en-NZ"/>
              </w:rPr>
            </w:pPr>
            <w:r w:rsidRPr="00F622F0">
              <w:t>using persuasive and assertive language to promote product features and benefits.</w:t>
            </w:r>
          </w:p>
        </w:tc>
      </w:tr>
      <w:tr w:rsidTr="009F29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Required knowledge</w:t>
            </w:r>
          </w:p>
        </w:tc>
      </w:tr>
      <w:tr w:rsidTr="009F29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Required knowledge for this unit is:</w:t>
            </w:r>
          </w:p>
          <w:p w:rsidR="00000000" w:rsidRPr="00F622F0" w:rsidP="00F622F0">
            <w:pPr>
              <w:pStyle w:val="ListBullet"/>
            </w:pPr>
            <w:r w:rsidRPr="00F622F0">
              <w:t>customer types and needs, including:</w:t>
            </w:r>
          </w:p>
          <w:p w:rsidR="00000000" w:rsidRPr="00F622F0" w:rsidP="00F622F0">
            <w:pPr>
              <w:pStyle w:val="ListBullet2"/>
            </w:pPr>
            <w:r w:rsidRPr="00F622F0">
              <w:t>customer behaviour and cues</w:t>
            </w:r>
          </w:p>
          <w:p w:rsidR="00000000" w:rsidRPr="00F622F0" w:rsidP="00F622F0">
            <w:pPr>
              <w:pStyle w:val="ListBullet2"/>
            </w:pPr>
            <w:r w:rsidRPr="00F622F0">
              <w:t>customer buying motives</w:t>
            </w:r>
          </w:p>
          <w:p w:rsidR="00000000" w:rsidRPr="00F622F0" w:rsidP="00F622F0">
            <w:pPr>
              <w:pStyle w:val="ListBullet2"/>
            </w:pPr>
            <w:r w:rsidRPr="00F622F0">
              <w:t>individual and cultural differences, demographics, lifestyle and income</w:t>
            </w:r>
          </w:p>
          <w:p w:rsidR="00000000" w:rsidRPr="00F622F0" w:rsidP="00F622F0">
            <w:pPr>
              <w:pStyle w:val="ListBullet"/>
            </w:pPr>
            <w:r w:rsidRPr="00F622F0">
              <w:t>detailed product knowledge, including industry intellig</w:t>
            </w:r>
            <w:r w:rsidRPr="00F622F0">
              <w:t>ence and market analysis</w:t>
            </w:r>
          </w:p>
          <w:p w:rsidR="00000000" w:rsidRPr="00F622F0" w:rsidP="00F622F0">
            <w:pPr>
              <w:pStyle w:val="ListBullet"/>
            </w:pPr>
            <w:r w:rsidRPr="00F622F0">
              <w:t>identification and overview knowledge of key provisions of relevant legislation from all levels of government that affect business operations, codes of practice and national standards, such as:</w:t>
            </w:r>
          </w:p>
          <w:p w:rsidR="00000000" w:rsidRPr="00F622F0" w:rsidP="00F622F0">
            <w:pPr>
              <w:pStyle w:val="ListBullet2"/>
            </w:pPr>
            <w:r w:rsidRPr="00F622F0">
              <w:t>anti-discrimination</w:t>
            </w:r>
          </w:p>
          <w:p w:rsidR="00000000" w:rsidRPr="00F622F0" w:rsidP="00F622F0">
            <w:pPr>
              <w:pStyle w:val="ListBullet2"/>
            </w:pPr>
            <w:r w:rsidRPr="00F622F0">
              <w:t>consumer protection</w:t>
            </w:r>
          </w:p>
          <w:p w:rsidR="00000000" w:rsidRPr="00F622F0" w:rsidP="00F622F0">
            <w:pPr>
              <w:pStyle w:val="ListBullet2"/>
            </w:pPr>
            <w:r w:rsidRPr="00F622F0">
              <w:t>contract law</w:t>
            </w:r>
          </w:p>
          <w:p w:rsidR="00000000" w:rsidRPr="00F622F0" w:rsidP="00F622F0">
            <w:pPr>
              <w:pStyle w:val="ListBullet2"/>
            </w:pPr>
            <w:r w:rsidRPr="00F622F0">
              <w:t>ethical principles</w:t>
            </w:r>
          </w:p>
          <w:p w:rsidR="00000000" w:rsidRPr="00F622F0" w:rsidP="00F622F0">
            <w:pPr>
              <w:pStyle w:val="ListBullet2"/>
            </w:pPr>
            <w:r w:rsidRPr="00F622F0">
              <w:t>privacy laws</w:t>
            </w:r>
          </w:p>
          <w:p w:rsidR="00000000" w:rsidRPr="00F622F0" w:rsidP="00F622F0">
            <w:pPr>
              <w:pStyle w:val="ListBullet2"/>
            </w:pPr>
            <w:r w:rsidRPr="00F622F0">
              <w:t>Trade Practices Act</w:t>
            </w:r>
          </w:p>
          <w:p w:rsidR="00000000" w:rsidRPr="00F622F0" w:rsidP="00F622F0">
            <w:pPr>
              <w:pStyle w:val="ListBullet"/>
            </w:pPr>
            <w:r w:rsidRPr="00F622F0">
              <w:t>materials and aids that can be used to support the sales process</w:t>
            </w:r>
          </w:p>
          <w:p w:rsidR="00000000" w:rsidRPr="00F622F0" w:rsidP="00F622F0">
            <w:pPr>
              <w:pStyle w:val="ListBullet"/>
            </w:pPr>
            <w:r w:rsidRPr="00F622F0">
              <w:t>sales strategies and sales targets and how to achieve them</w:t>
            </w:r>
          </w:p>
          <w:p w:rsidR="00000000" w:rsidRPr="00F622F0" w:rsidP="00F622F0">
            <w:pPr>
              <w:pStyle w:val="ListBullet"/>
            </w:pPr>
            <w:r w:rsidRPr="00F622F0">
              <w:t>statistical methods to demonstrate sales perfo</w:t>
            </w:r>
            <w:r w:rsidRPr="00F622F0">
              <w:t>rmance</w:t>
            </w:r>
          </w:p>
          <w:p w:rsidR="00000000" w:rsidRPr="00F622F0" w:rsidP="00F622F0">
            <w:pPr>
              <w:pStyle w:val="ListBullet"/>
            </w:pPr>
            <w:r w:rsidRPr="00F622F0">
              <w:t>types of customer needs, e.g. functional and psychological.</w:t>
            </w:r>
          </w:p>
        </w:tc>
      </w:tr>
    </w:tbl>
    <w:p w:rsidR="009F294E" w:rsidP="00F622F0">
      <w:pPr>
        <w:pStyle w:val="BodyText"/>
      </w:pPr>
    </w:p>
    <w:p w:rsidR="009F294E" w:rsidP="00F622F0">
      <w:pPr>
        <w:pStyle w:val="BodyText"/>
      </w:pPr>
    </w:p>
    <w:p w:rsidR="00000000" w:rsidRPr="00F622F0" w:rsidP="00F622F0">
      <w:pPr>
        <w:pStyle w:val="AllowPageBreak"/>
      </w:pPr>
    </w:p>
    <w:p w:rsidR="00000000" w:rsidRPr="00F622F0" w:rsidP="00F622F0">
      <w:pPr>
        <w:pStyle w:val="Heading1"/>
      </w:pPr>
      <w:bookmarkStart w:id="10" w:name="O_242121"/>
      <w:bookmarkEnd w:id="10"/>
      <w:r w:rsidRPr="00F622F0">
        <w:t>Evidence Guide</w:t>
      </w:r>
    </w:p>
    <w:tbl>
      <w:tblPr>
        <w:tblW w:w="0" w:type="auto"/>
        <w:tblLayout w:type="fixed"/>
        <w:tblCellMar>
          <w:left w:w="62" w:type="dxa"/>
          <w:right w:w="62" w:type="dxa"/>
        </w:tblCellMar>
        <w:tblLook w:val="0000"/>
      </w:tblPr>
      <w:tblGrid>
        <w:gridCol w:w="3500"/>
        <w:gridCol w:w="5022"/>
      </w:tblGrid>
      <w:tr w:rsidTr="009F294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22F0">
            <w:pPr>
              <w:pStyle w:val="BodyText"/>
              <w:rPr>
                <w:lang w:val="en-NZ"/>
              </w:rPr>
            </w:pPr>
            <w:r w:rsidRPr="00F622F0">
              <w:rPr>
                <w:rStyle w:val="SpecialBold"/>
              </w:rPr>
              <w:t>EVIDENCE GUIDE</w:t>
            </w:r>
          </w:p>
        </w:tc>
      </w:tr>
      <w:tr w:rsidTr="009F294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22F0">
            <w:pPr>
              <w:pStyle w:val="BodyText"/>
              <w:rPr>
                <w:lang w:val="en-NZ"/>
              </w:rPr>
            </w:pPr>
            <w:r w:rsidRPr="00F622F0">
              <w:t>The evidence guide provides advice on assessment and must</w:t>
            </w:r>
            <w:r w:rsidRPr="00F622F0">
              <w:t xml:space="preserve"> be read in conjunction with the performance criteria, required skills and knowledge, range statement and the Assessment Guidelines for the Training Package.</w:t>
            </w:r>
          </w:p>
        </w:tc>
      </w:tr>
      <w:tr w:rsidTr="009F294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This unit of competency could be assessed by preparing and submitting a s</w:t>
            </w:r>
            <w:r w:rsidRPr="00F622F0">
              <w:t>elf-development plan and a marketing plan for the sale of a structure.</w:t>
            </w:r>
          </w:p>
          <w:p w:rsidR="00000000" w:rsidP="00F622F0">
            <w:pPr>
              <w:pStyle w:val="BodyText"/>
              <w:rPr>
                <w:lang w:val="en-NZ"/>
              </w:rPr>
            </w:pPr>
            <w:r w:rsidRPr="00F622F0">
              <w:t>This unit of competency can be assessed in the workplace or a close simulation of the workplace environment, provided that simulated or project-based assessment techniques fully replica</w:t>
            </w:r>
            <w:r w:rsidRPr="00F622F0">
              <w:t xml:space="preserve">te construction workplace conditions, materials, activities, responsibilities and procedures. </w:t>
            </w:r>
          </w:p>
        </w:tc>
      </w:tr>
      <w:tr w:rsidTr="009F294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A person who demonstrates competency in this unit must be able to provide evidence of the ability to:</w:t>
            </w:r>
          </w:p>
          <w:p w:rsidR="00000000" w:rsidRPr="00F622F0" w:rsidP="00F622F0">
            <w:pPr>
              <w:pStyle w:val="ListBullet"/>
            </w:pPr>
            <w:r w:rsidRPr="00F622F0">
              <w:t>understand the role of a sales consultant</w:t>
            </w:r>
          </w:p>
          <w:p w:rsidR="00000000" w:rsidRPr="00F622F0" w:rsidP="00F622F0">
            <w:pPr>
              <w:pStyle w:val="ListBullet"/>
            </w:pPr>
            <w:r w:rsidRPr="00F622F0">
              <w:t>identify characteristics of the sectors of the construction industry and range of products available in each se</w:t>
            </w:r>
            <w:r w:rsidRPr="00F622F0">
              <w:t>ctor</w:t>
            </w:r>
          </w:p>
          <w:p w:rsidR="00000000" w:rsidRPr="00F622F0" w:rsidP="00F622F0">
            <w:pPr>
              <w:pStyle w:val="ListBullet"/>
            </w:pPr>
            <w:r w:rsidRPr="00F622F0">
              <w:t>demonstrate key attributes of a sales consultant, including personal presentation, oral communication skills and mannerisms that support client contact and instil confidence</w:t>
            </w:r>
          </w:p>
          <w:p w:rsidR="00000000" w:rsidRPr="00F622F0" w:rsidP="00F622F0">
            <w:pPr>
              <w:pStyle w:val="ListBullet"/>
            </w:pPr>
            <w:r w:rsidRPr="00F622F0">
              <w:t>understand importance of adherence to organisational ethical and probity stan</w:t>
            </w:r>
            <w:r w:rsidRPr="00F622F0">
              <w:t>dards</w:t>
            </w:r>
          </w:p>
          <w:p w:rsidR="00000000" w:rsidP="00F622F0">
            <w:pPr>
              <w:pStyle w:val="ListBullet"/>
              <w:rPr>
                <w:lang w:val="en-NZ"/>
              </w:rPr>
            </w:pPr>
            <w:r w:rsidRPr="00F622F0">
              <w:t>manage personal professional development and performance in line with organisational expectations.</w:t>
            </w:r>
          </w:p>
        </w:tc>
      </w:tr>
      <w:tr w:rsidTr="009F294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This competency is to be assessed using standard and authorised work practices, safety requirements a</w:t>
            </w:r>
            <w:r w:rsidRPr="00F622F0">
              <w:t>nd environmental constraints.</w:t>
            </w:r>
          </w:p>
          <w:p w:rsidR="00000000" w:rsidRPr="00F622F0" w:rsidP="00F622F0">
            <w:pPr>
              <w:pStyle w:val="BodyText"/>
            </w:pPr>
            <w:r w:rsidRPr="00F622F0">
              <w:t>Assessment of essential underpinning knowledge will usually be conducted in an off-site context.</w:t>
            </w:r>
          </w:p>
          <w:p w:rsidR="00000000" w:rsidRPr="00F622F0" w:rsidP="00F622F0">
            <w:pPr>
              <w:pStyle w:val="BodyText"/>
            </w:pPr>
            <w:r w:rsidRPr="00F622F0">
              <w:t>Assessment is to comply with relevant regulatory or Australian standards' requirements.</w:t>
            </w:r>
          </w:p>
          <w:p w:rsidR="00000000" w:rsidRPr="00F622F0" w:rsidP="00F622F0">
            <w:pPr>
              <w:pStyle w:val="BodyText"/>
            </w:pPr>
            <w:r w:rsidRPr="00F622F0">
              <w:t>Resource implications for assessment incl</w:t>
            </w:r>
            <w:r w:rsidRPr="00F622F0">
              <w:t>ude:</w:t>
            </w:r>
          </w:p>
          <w:p w:rsidR="00000000" w:rsidRPr="00F622F0" w:rsidP="00F622F0">
            <w:pPr>
              <w:pStyle w:val="ListBullet"/>
            </w:pPr>
            <w:r w:rsidRPr="00F622F0">
              <w:t>documentation that should normally be available in either a building or construction office</w:t>
            </w:r>
          </w:p>
          <w:p w:rsidR="00000000" w:rsidRPr="00F622F0" w:rsidP="00F622F0">
            <w:pPr>
              <w:pStyle w:val="ListBullet"/>
            </w:pPr>
            <w:r w:rsidRPr="00F622F0">
              <w:t>relevant codes, standard and regulations</w:t>
            </w:r>
          </w:p>
          <w:p w:rsidR="00000000" w:rsidRPr="00F622F0" w:rsidP="00F622F0">
            <w:pPr>
              <w:pStyle w:val="ListBullet"/>
            </w:pPr>
            <w:r w:rsidRPr="00F622F0">
              <w:t>office equipment, including calculators, photocopiers and telephone systems</w:t>
            </w:r>
          </w:p>
          <w:p w:rsidR="00000000" w:rsidRPr="00F622F0" w:rsidP="00F622F0">
            <w:pPr>
              <w:pStyle w:val="ListBullet"/>
            </w:pPr>
            <w:r w:rsidRPr="00F622F0">
              <w:t>a technical reference library with current publications on measurement, design, building construction and manufacturers' product literature</w:t>
            </w:r>
          </w:p>
          <w:p w:rsidR="00000000" w:rsidRPr="00F622F0" w:rsidP="00F622F0">
            <w:pPr>
              <w:pStyle w:val="ListBullet"/>
            </w:pPr>
            <w:r w:rsidRPr="00F622F0">
              <w:t>a suitable work area</w:t>
            </w:r>
          </w:p>
          <w:p w:rsidR="00000000" w:rsidRPr="00F622F0" w:rsidP="00F622F0">
            <w:pPr>
              <w:pStyle w:val="ListBullet"/>
            </w:pPr>
            <w:r w:rsidRPr="00F622F0">
              <w:t>promotional materials and relevant information on marketing, market segments and sales strategi</w:t>
            </w:r>
            <w:r w:rsidRPr="00F622F0">
              <w:t>es.</w:t>
            </w:r>
          </w:p>
          <w:p w:rsidR="00000000" w:rsidP="00F622F0">
            <w:pPr>
              <w:pStyle w:val="BodyText"/>
              <w:rPr>
                <w:lang w:val="en-NZ"/>
              </w:rPr>
            </w:pPr>
            <w:r w:rsidRPr="00F622F0">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9F294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Method of asse</w:t>
            </w:r>
            <w:r w:rsidRPr="00F622F0">
              <w:rPr>
                <w:rStyle w:val="SpecialBold"/>
              </w:rPr>
              <w:t>ssment</w:t>
            </w:r>
          </w:p>
        </w:tc>
        <w:tc>
          <w:tcPr>
            <w:tcW w:w="5022"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Assessment methods must:</w:t>
            </w:r>
          </w:p>
          <w:p w:rsidR="00000000" w:rsidRPr="00F622F0" w:rsidP="00F622F0">
            <w:pPr>
              <w:pStyle w:val="ListBullet"/>
            </w:pPr>
            <w:r w:rsidRPr="00F622F0">
              <w:t>satisfy the endorsed Assessment Guidelines of the Construction, Plumbing and Services Training Package</w:t>
            </w:r>
          </w:p>
          <w:p w:rsidR="00000000" w:rsidRPr="00F622F0" w:rsidP="00F622F0">
            <w:pPr>
              <w:pStyle w:val="ListBullet"/>
            </w:pPr>
            <w:r w:rsidRPr="00F622F0">
              <w:t>include direct observation of tasks in real or simulated work conditions, with questioning to confirm the ability to con</w:t>
            </w:r>
            <w:r w:rsidRPr="00F622F0">
              <w:t>sistently identify and correctly interpret the essential underpinning knowledge required for practical application</w:t>
            </w:r>
          </w:p>
          <w:p w:rsidR="00000000" w:rsidRPr="00F622F0" w:rsidP="00F622F0">
            <w:pPr>
              <w:pStyle w:val="ListBullet"/>
            </w:pPr>
            <w:r w:rsidRPr="00F622F0">
              <w:t>reinforce the integration of employability skills with workplace tasks and job roles</w:t>
            </w:r>
          </w:p>
          <w:p w:rsidR="00000000" w:rsidRPr="00F622F0" w:rsidP="00F622F0">
            <w:pPr>
              <w:pStyle w:val="ListBullet"/>
            </w:pPr>
            <w:r w:rsidRPr="00F622F0">
              <w:t>confirm that competency is verified and able to be trans</w:t>
            </w:r>
            <w:r w:rsidRPr="00F622F0">
              <w:t>ferred to other circumstances and environments.</w:t>
            </w:r>
          </w:p>
          <w:p w:rsidR="00000000" w:rsidRPr="00F622F0" w:rsidP="00F622F0">
            <w:pPr>
              <w:pStyle w:val="BodyText"/>
            </w:pPr>
            <w:r w:rsidRPr="00F622F0">
              <w:t>Validity and sufficiency of evidence requires that:</w:t>
            </w:r>
          </w:p>
          <w:p w:rsidR="00000000" w:rsidRPr="00F622F0" w:rsidP="00F622F0">
            <w:pPr>
              <w:pStyle w:val="ListBullet"/>
            </w:pPr>
            <w:r w:rsidRPr="00F622F0">
              <w:t>competency will need to be demonstrated over a period of time reflecting the scope of the role and the practical requirements of the workplace</w:t>
            </w:r>
          </w:p>
          <w:p w:rsidR="00000000" w:rsidRPr="00F622F0" w:rsidP="00F622F0">
            <w:pPr>
              <w:pStyle w:val="ListBullet"/>
            </w:pPr>
            <w:r w:rsidRPr="00F622F0">
              <w:t>where the as</w:t>
            </w:r>
            <w:r w:rsidRPr="00F622F0">
              <w:t>sessment is part of a structured learning experience the evidence collected must relate to a number of performances assessed at different points in time and separated by further learning and practice, with a decision on competency only taken at the point w</w:t>
            </w:r>
            <w:r w:rsidRPr="00F622F0">
              <w:t>hen the assessor has complete confidence in the person's demonstrated ability and applied knowledge</w:t>
            </w:r>
          </w:p>
          <w:p w:rsidR="00000000" w:rsidRPr="00F622F0" w:rsidP="00F622F0">
            <w:pPr>
              <w:pStyle w:val="ListBullet"/>
            </w:pPr>
            <w:r w:rsidRPr="00F622F0">
              <w:t>all assessment that is part of a structured learning experience must include a combination of direct, indirect and supplementary evidence.</w:t>
            </w:r>
          </w:p>
          <w:p w:rsidR="00000000" w:rsidRPr="00F622F0" w:rsidP="00F622F0">
            <w:pPr>
              <w:pStyle w:val="BodyText"/>
            </w:pPr>
            <w:r w:rsidRPr="00F622F0">
              <w:t>Assessment processes and techniques should as far as is practical take into account the language, literacy and numeracy capacity of the candidate in relation to the competency being assessed.</w:t>
            </w:r>
          </w:p>
          <w:p w:rsidR="00000000" w:rsidRPr="00F622F0" w:rsidP="00F622F0">
            <w:pPr>
              <w:pStyle w:val="BodyText"/>
            </w:pPr>
            <w:r w:rsidRPr="00F622F0">
              <w:t>Supplementary evidence of competency may be obtained from releva</w:t>
            </w:r>
            <w:r w:rsidRPr="00F622F0">
              <w:t xml:space="preserve">nt authenticated documentation from third parties, such as existing supervisors, team leaders or specialist training staff. </w:t>
            </w:r>
          </w:p>
        </w:tc>
      </w:tr>
    </w:tbl>
    <w:p w:rsidR="009F294E" w:rsidP="00F622F0">
      <w:pPr>
        <w:pStyle w:val="BodyText"/>
      </w:pPr>
    </w:p>
    <w:p w:rsidR="009F294E" w:rsidP="00F622F0">
      <w:pPr>
        <w:pStyle w:val="BodyText"/>
      </w:pPr>
    </w:p>
    <w:p w:rsidR="00000000" w:rsidRPr="00F622F0" w:rsidP="00F622F0">
      <w:pPr>
        <w:pStyle w:val="Heading1"/>
      </w:pPr>
      <w:bookmarkStart w:id="11" w:name="O_250104"/>
      <w:bookmarkEnd w:id="11"/>
      <w:r w:rsidRPr="00F622F0">
        <w:t>Range Statement</w:t>
      </w:r>
    </w:p>
    <w:tbl>
      <w:tblPr>
        <w:tblW w:w="0" w:type="auto"/>
        <w:tblLayout w:type="fixed"/>
        <w:tblCellMar>
          <w:left w:w="62" w:type="dxa"/>
          <w:right w:w="62" w:type="dxa"/>
        </w:tblCellMar>
        <w:tblLook w:val="0000"/>
      </w:tblPr>
      <w:tblGrid>
        <w:gridCol w:w="3491"/>
        <w:gridCol w:w="5031"/>
      </w:tblGrid>
      <w:tr w:rsidTr="009F294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22F0">
            <w:pPr>
              <w:pStyle w:val="BodyText"/>
              <w:rPr>
                <w:lang w:val="en-NZ"/>
              </w:rPr>
            </w:pPr>
            <w:r w:rsidRPr="00F622F0">
              <w:rPr>
                <w:rStyle w:val="SpecialBold"/>
              </w:rPr>
              <w:t>RANGE STATEMENT</w:t>
            </w:r>
          </w:p>
        </w:tc>
      </w:tr>
      <w:tr w:rsidTr="009F294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22F0">
            <w:pPr>
              <w:pStyle w:val="BodyText"/>
              <w:rPr>
                <w:lang w:val="en-NZ"/>
              </w:rPr>
            </w:pPr>
            <w:r w:rsidRPr="00F622F0">
              <w:t>The range statement relates to the unit of competency as a whole. It allows for different work environments and situations that may affect performance. Bold italicised wording, if used in the performance criteria, is detailed below. Essential operating con</w:t>
            </w:r>
            <w:r w:rsidRPr="00F622F0">
              <w:t>ditions that may be present with training and assessment (depending on the work situation, needs of the candidate, accessibility of the item, and local industry and regional contexts) may also be included.</w:t>
            </w:r>
          </w:p>
        </w:tc>
      </w:tr>
      <w:tr w:rsidTr="009F294E">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BoldandItalics"/>
              </w:rPr>
              <w:t>Industry building types</w:t>
            </w:r>
            <w:r w:rsidRPr="00F622F0">
              <w:t xml:space="preserve"> include: </w:t>
            </w:r>
          </w:p>
        </w:tc>
        <w:tc>
          <w:tcPr>
            <w:tcW w:w="5031" w:type="dxa"/>
            <w:tcBorders>
              <w:top w:val="nil"/>
              <w:left w:val="nil"/>
              <w:bottom w:val="nil"/>
              <w:right w:val="nil"/>
            </w:tcBorders>
            <w:tcMar>
              <w:top w:w="0" w:type="dxa"/>
              <w:left w:w="62" w:type="dxa"/>
              <w:bottom w:w="0" w:type="dxa"/>
              <w:right w:w="62" w:type="dxa"/>
            </w:tcMar>
          </w:tcPr>
          <w:p w:rsidR="00000000" w:rsidRPr="00F622F0" w:rsidP="00F622F0">
            <w:pPr>
              <w:pStyle w:val="ListBullet"/>
            </w:pPr>
            <w:r w:rsidRPr="00F622F0">
              <w:t>double brick,</w:t>
            </w:r>
            <w:r w:rsidRPr="00F622F0">
              <w:t xml:space="preserve"> brick veneer, rammed earth and steel frame construction residences</w:t>
            </w:r>
          </w:p>
          <w:p w:rsidR="00000000" w:rsidRPr="00F622F0" w:rsidP="00F622F0">
            <w:pPr>
              <w:pStyle w:val="ListBullet"/>
            </w:pPr>
            <w:r w:rsidRPr="00F622F0">
              <w:t>single and multiple storey buildings</w:t>
            </w:r>
          </w:p>
          <w:p w:rsidR="00000000" w:rsidP="00F622F0">
            <w:pPr>
              <w:pStyle w:val="ListBullet"/>
              <w:rPr>
                <w:lang w:val="en-NZ"/>
              </w:rPr>
            </w:pPr>
            <w:r w:rsidRPr="00F622F0">
              <w:t>timber and/or fibro-cement construction.</w:t>
            </w:r>
          </w:p>
        </w:tc>
      </w:tr>
      <w:tr w:rsidTr="009F294E">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BoldandItalics"/>
              </w:rPr>
              <w:t>Market segments</w:t>
            </w:r>
            <w:r w:rsidRPr="00F622F0">
              <w:t xml:space="preserve"> include: </w:t>
            </w:r>
          </w:p>
        </w:tc>
        <w:tc>
          <w:tcPr>
            <w:tcW w:w="5031" w:type="dxa"/>
            <w:tcBorders>
              <w:top w:val="nil"/>
              <w:left w:val="nil"/>
              <w:bottom w:val="nil"/>
              <w:right w:val="nil"/>
            </w:tcBorders>
            <w:tcMar>
              <w:top w:w="0" w:type="dxa"/>
              <w:left w:w="62" w:type="dxa"/>
              <w:bottom w:w="0" w:type="dxa"/>
              <w:right w:w="62" w:type="dxa"/>
            </w:tcMar>
          </w:tcPr>
          <w:p w:rsidR="00000000" w:rsidRPr="00F622F0" w:rsidP="00F622F0">
            <w:pPr>
              <w:pStyle w:val="ListBullet"/>
            </w:pPr>
            <w:r w:rsidRPr="00F622F0">
              <w:t>first and subsequent home buyers</w:t>
            </w:r>
          </w:p>
          <w:p w:rsidR="00000000" w:rsidP="00F622F0">
            <w:pPr>
              <w:pStyle w:val="ListBullet"/>
              <w:rPr>
                <w:lang w:val="en-NZ"/>
              </w:rPr>
            </w:pPr>
            <w:r w:rsidRPr="00F622F0">
              <w:t>speculative and investment buyers.</w:t>
            </w:r>
          </w:p>
        </w:tc>
      </w:tr>
      <w:tr w:rsidTr="009F294E">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BoldandItalics"/>
              </w:rPr>
              <w:t>Proof of benefits</w:t>
            </w:r>
            <w:r w:rsidRPr="00F622F0">
              <w:t xml:space="preserve"> includes: </w:t>
            </w:r>
          </w:p>
        </w:tc>
        <w:tc>
          <w:tcPr>
            <w:tcW w:w="5031" w:type="dxa"/>
            <w:tcBorders>
              <w:top w:val="nil"/>
              <w:left w:val="nil"/>
              <w:bottom w:val="nil"/>
              <w:right w:val="nil"/>
            </w:tcBorders>
            <w:tcMar>
              <w:top w:w="0" w:type="dxa"/>
              <w:left w:w="62" w:type="dxa"/>
              <w:bottom w:w="0" w:type="dxa"/>
              <w:right w:w="62" w:type="dxa"/>
            </w:tcMar>
          </w:tcPr>
          <w:p w:rsidR="00000000" w:rsidRPr="00F622F0" w:rsidP="00F622F0">
            <w:pPr>
              <w:pStyle w:val="ListBullet"/>
            </w:pPr>
            <w:r w:rsidRPr="00F622F0">
              <w:t>anecdotes and examples</w:t>
            </w:r>
          </w:p>
          <w:p w:rsidR="00000000" w:rsidRPr="00F622F0" w:rsidP="00F622F0">
            <w:pPr>
              <w:pStyle w:val="ListBullet"/>
            </w:pPr>
            <w:r w:rsidRPr="00F622F0">
              <w:t>comparisons</w:t>
            </w:r>
          </w:p>
          <w:p w:rsidR="00000000" w:rsidRPr="00F622F0" w:rsidP="00F622F0">
            <w:pPr>
              <w:pStyle w:val="ListBullet"/>
            </w:pPr>
            <w:r w:rsidRPr="00F622F0">
              <w:t>statistics</w:t>
            </w:r>
          </w:p>
          <w:p w:rsidR="00000000" w:rsidP="00F622F0">
            <w:pPr>
              <w:pStyle w:val="ListBullet"/>
              <w:rPr>
                <w:lang w:val="en-NZ"/>
              </w:rPr>
            </w:pPr>
            <w:r w:rsidRPr="00F622F0">
              <w:t>testimony.</w:t>
            </w:r>
          </w:p>
        </w:tc>
      </w:tr>
      <w:tr w:rsidTr="009F294E">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BoldandItalics"/>
              </w:rPr>
              <w:t>Sales aids</w:t>
            </w:r>
            <w:r w:rsidRPr="00F622F0">
              <w:t xml:space="preserve"> include: </w:t>
            </w:r>
          </w:p>
        </w:tc>
        <w:tc>
          <w:tcPr>
            <w:tcW w:w="5031" w:type="dxa"/>
            <w:tcBorders>
              <w:top w:val="nil"/>
              <w:left w:val="nil"/>
              <w:bottom w:val="nil"/>
              <w:right w:val="nil"/>
            </w:tcBorders>
            <w:tcMar>
              <w:top w:w="0" w:type="dxa"/>
              <w:left w:w="62" w:type="dxa"/>
              <w:bottom w:w="0" w:type="dxa"/>
              <w:right w:w="62" w:type="dxa"/>
            </w:tcMar>
          </w:tcPr>
          <w:p w:rsidR="00000000" w:rsidRPr="00F622F0" w:rsidP="00F622F0">
            <w:pPr>
              <w:pStyle w:val="ListBullet"/>
            </w:pPr>
            <w:r w:rsidRPr="00F622F0">
              <w:t>drawings</w:t>
            </w:r>
          </w:p>
          <w:p w:rsidR="00000000" w:rsidRPr="00F622F0" w:rsidP="00F622F0">
            <w:pPr>
              <w:pStyle w:val="ListBullet"/>
            </w:pPr>
            <w:r w:rsidRPr="00F622F0">
              <w:t>electronic media</w:t>
            </w:r>
          </w:p>
          <w:p w:rsidR="00000000" w:rsidRPr="00F622F0" w:rsidP="00F622F0">
            <w:pPr>
              <w:pStyle w:val="ListBullet"/>
            </w:pPr>
            <w:r w:rsidRPr="00F622F0">
              <w:t>graphs</w:t>
            </w:r>
          </w:p>
          <w:p w:rsidR="00000000" w:rsidRPr="00F622F0" w:rsidP="00F622F0">
            <w:pPr>
              <w:pStyle w:val="ListBullet"/>
            </w:pPr>
            <w:r w:rsidRPr="00F622F0">
              <w:t>models</w:t>
            </w:r>
          </w:p>
          <w:p w:rsidR="00000000" w:rsidRPr="00F622F0" w:rsidP="00F622F0">
            <w:pPr>
              <w:pStyle w:val="ListBullet"/>
            </w:pPr>
            <w:r w:rsidRPr="00F622F0">
              <w:t>photographs</w:t>
            </w:r>
          </w:p>
          <w:p w:rsidR="00000000" w:rsidRPr="00F622F0" w:rsidP="00F622F0">
            <w:pPr>
              <w:pStyle w:val="ListBullet"/>
            </w:pPr>
            <w:r w:rsidRPr="00F622F0">
              <w:t>printed materials</w:t>
            </w:r>
          </w:p>
          <w:p w:rsidR="00000000" w:rsidRPr="00F622F0" w:rsidP="00F622F0">
            <w:pPr>
              <w:pStyle w:val="ListBullet"/>
            </w:pPr>
            <w:r w:rsidRPr="00F622F0">
              <w:t>product itself</w:t>
            </w:r>
          </w:p>
          <w:p w:rsidR="00000000" w:rsidRPr="00F622F0" w:rsidP="00F622F0">
            <w:pPr>
              <w:pStyle w:val="ListBullet"/>
            </w:pPr>
            <w:r w:rsidRPr="00F622F0">
              <w:t>transparencies</w:t>
            </w:r>
          </w:p>
          <w:p w:rsidR="00000000" w:rsidP="00F622F0">
            <w:pPr>
              <w:pStyle w:val="ListBullet"/>
              <w:rPr>
                <w:lang w:val="en-NZ"/>
              </w:rPr>
            </w:pPr>
            <w:r w:rsidRPr="00F622F0">
              <w:t>whiteboards.</w:t>
            </w:r>
          </w:p>
        </w:tc>
      </w:tr>
      <w:tr w:rsidTr="009F294E">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BoldandItalics"/>
              </w:rPr>
              <w:t>Self</w:t>
            </w:r>
            <w:r w:rsidRPr="00F622F0">
              <w:t>-</w:t>
            </w:r>
            <w:r w:rsidRPr="00F622F0">
              <w:rPr>
                <w:rStyle w:val="BoldandItalics"/>
              </w:rPr>
              <w:t>development</w:t>
            </w:r>
            <w:r w:rsidRPr="00F622F0">
              <w:t xml:space="preserve"> includes: </w:t>
            </w:r>
          </w:p>
        </w:tc>
        <w:tc>
          <w:tcPr>
            <w:tcW w:w="5031" w:type="dxa"/>
            <w:tcBorders>
              <w:top w:val="nil"/>
              <w:left w:val="nil"/>
              <w:bottom w:val="nil"/>
              <w:right w:val="nil"/>
            </w:tcBorders>
            <w:tcMar>
              <w:top w:w="0" w:type="dxa"/>
              <w:left w:w="62" w:type="dxa"/>
              <w:bottom w:w="0" w:type="dxa"/>
              <w:right w:w="62" w:type="dxa"/>
            </w:tcMar>
          </w:tcPr>
          <w:p w:rsidR="00000000" w:rsidRPr="00F622F0" w:rsidP="00F622F0">
            <w:pPr>
              <w:pStyle w:val="ListBullet"/>
            </w:pPr>
            <w:r w:rsidRPr="00F622F0">
              <w:t>maintaining financial and lender knowledge</w:t>
            </w:r>
          </w:p>
          <w:p w:rsidR="00000000" w:rsidRPr="00F622F0" w:rsidP="00F622F0">
            <w:pPr>
              <w:pStyle w:val="ListBullet"/>
            </w:pPr>
            <w:r w:rsidRPr="00F622F0">
              <w:t>maintaining product and construction knowledge</w:t>
            </w:r>
          </w:p>
          <w:p w:rsidR="00000000" w:rsidRPr="00F622F0" w:rsidP="00F622F0">
            <w:pPr>
              <w:pStyle w:val="ListBullet"/>
            </w:pPr>
            <w:r w:rsidRPr="00F622F0">
              <w:t>membership of professional associations</w:t>
            </w:r>
          </w:p>
          <w:p w:rsidR="00000000" w:rsidRPr="00F622F0" w:rsidP="00F622F0">
            <w:pPr>
              <w:pStyle w:val="ListBullet"/>
            </w:pPr>
            <w:r w:rsidRPr="00F622F0">
              <w:t>professional development relating to sales and industry skills</w:t>
            </w:r>
          </w:p>
          <w:p w:rsidR="00000000" w:rsidP="00F622F0">
            <w:pPr>
              <w:pStyle w:val="ListBullet"/>
              <w:rPr>
                <w:lang w:val="en-NZ"/>
              </w:rPr>
            </w:pPr>
            <w:r w:rsidRPr="00F622F0">
              <w:t>undertaking appropriate training courses.</w:t>
            </w:r>
          </w:p>
        </w:tc>
      </w:tr>
      <w:tr w:rsidTr="009F294E">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BoldandItalics"/>
              </w:rPr>
              <w:t>Personal performance</w:t>
            </w:r>
            <w:r w:rsidRPr="00F622F0">
              <w:t xml:space="preserve"> includes: </w:t>
            </w:r>
          </w:p>
        </w:tc>
        <w:tc>
          <w:tcPr>
            <w:tcW w:w="5031" w:type="dxa"/>
            <w:tcBorders>
              <w:top w:val="nil"/>
              <w:left w:val="nil"/>
              <w:bottom w:val="nil"/>
              <w:right w:val="nil"/>
            </w:tcBorders>
            <w:tcMar>
              <w:top w:w="0" w:type="dxa"/>
              <w:left w:w="62" w:type="dxa"/>
              <w:bottom w:w="0" w:type="dxa"/>
              <w:right w:w="62" w:type="dxa"/>
            </w:tcMar>
          </w:tcPr>
          <w:p w:rsidR="00000000" w:rsidRPr="00F622F0" w:rsidP="00F622F0">
            <w:pPr>
              <w:pStyle w:val="ListBullet"/>
            </w:pPr>
            <w:r w:rsidRPr="00F622F0">
              <w:t>commitment to achieving sales targets</w:t>
            </w:r>
          </w:p>
          <w:p w:rsidR="00000000" w:rsidRPr="00F622F0" w:rsidP="00F622F0">
            <w:pPr>
              <w:pStyle w:val="ListBullet"/>
            </w:pPr>
            <w:r w:rsidRPr="00F622F0">
              <w:t>commitment to organisation's goals and objectives</w:t>
            </w:r>
          </w:p>
          <w:p w:rsidR="00000000" w:rsidRPr="00F622F0" w:rsidP="00F622F0">
            <w:pPr>
              <w:pStyle w:val="ListBullet"/>
            </w:pPr>
            <w:r w:rsidRPr="00F622F0">
              <w:t>level of achievement</w:t>
            </w:r>
          </w:p>
          <w:p w:rsidR="00000000" w:rsidRPr="00F622F0" w:rsidP="00F622F0">
            <w:pPr>
              <w:pStyle w:val="ListBullet"/>
            </w:pPr>
            <w:r w:rsidRPr="00F622F0">
              <w:t>mannerisms and demeanour</w:t>
            </w:r>
          </w:p>
          <w:p w:rsidR="00000000" w:rsidRPr="00F622F0" w:rsidP="00F622F0">
            <w:pPr>
              <w:pStyle w:val="ListBullet"/>
            </w:pPr>
            <w:r w:rsidRPr="00F622F0">
              <w:t>oral communication skills</w:t>
            </w:r>
          </w:p>
          <w:p w:rsidR="00000000" w:rsidP="00F622F0">
            <w:pPr>
              <w:pStyle w:val="ListBullet"/>
              <w:rPr>
                <w:lang w:val="en-NZ"/>
              </w:rPr>
            </w:pPr>
            <w:r w:rsidRPr="00F622F0">
              <w:t>presentation skills.</w:t>
            </w:r>
          </w:p>
        </w:tc>
      </w:tr>
      <w:tr w:rsidTr="009F294E">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BoldandItalics"/>
              </w:rPr>
              <w:t>Source of buyer resistance</w:t>
            </w:r>
            <w:r w:rsidRPr="00F622F0">
              <w:t xml:space="preserve"> includes: </w:t>
            </w:r>
          </w:p>
        </w:tc>
        <w:tc>
          <w:tcPr>
            <w:tcW w:w="5031" w:type="dxa"/>
            <w:tcBorders>
              <w:top w:val="nil"/>
              <w:left w:val="nil"/>
              <w:bottom w:val="nil"/>
              <w:right w:val="nil"/>
            </w:tcBorders>
            <w:tcMar>
              <w:top w:w="0" w:type="dxa"/>
              <w:left w:w="62" w:type="dxa"/>
              <w:bottom w:w="0" w:type="dxa"/>
              <w:right w:w="62" w:type="dxa"/>
            </w:tcMar>
          </w:tcPr>
          <w:p w:rsidR="00000000" w:rsidRPr="00F622F0" w:rsidP="00F622F0">
            <w:pPr>
              <w:pStyle w:val="ListBullet"/>
            </w:pPr>
            <w:r w:rsidRPr="00F622F0">
              <w:t>company resistance</w:t>
            </w:r>
          </w:p>
          <w:p w:rsidR="00000000" w:rsidRPr="00F622F0" w:rsidP="00F622F0">
            <w:pPr>
              <w:pStyle w:val="ListBullet"/>
            </w:pPr>
            <w:r w:rsidRPr="00F622F0">
              <w:t>pri</w:t>
            </w:r>
            <w:r w:rsidRPr="00F622F0">
              <w:t>ce resistance</w:t>
            </w:r>
          </w:p>
          <w:p w:rsidR="00000000" w:rsidRPr="00F622F0" w:rsidP="00F622F0">
            <w:pPr>
              <w:pStyle w:val="ListBullet"/>
            </w:pPr>
            <w:r w:rsidRPr="00F622F0">
              <w:t>salesperson resistance</w:t>
            </w:r>
          </w:p>
          <w:p w:rsidR="00000000" w:rsidRPr="00F622F0" w:rsidP="00F622F0">
            <w:pPr>
              <w:pStyle w:val="ListBullet"/>
            </w:pPr>
            <w:r w:rsidRPr="00F622F0">
              <w:t>service dissatisfaction</w:t>
            </w:r>
          </w:p>
          <w:p w:rsidR="00000000" w:rsidRPr="00F622F0" w:rsidP="00F622F0">
            <w:pPr>
              <w:pStyle w:val="ListBullet"/>
            </w:pPr>
            <w:r w:rsidRPr="00F622F0">
              <w:t>timing issues</w:t>
            </w:r>
          </w:p>
          <w:p w:rsidR="00000000" w:rsidP="00F622F0">
            <w:pPr>
              <w:pStyle w:val="ListBullet"/>
              <w:rPr>
                <w:lang w:val="en-NZ"/>
              </w:rPr>
            </w:pPr>
            <w:r w:rsidRPr="00F622F0">
              <w:t>uncertainty about the product.</w:t>
            </w:r>
          </w:p>
        </w:tc>
      </w:tr>
      <w:tr w:rsidTr="009F294E">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BoldandItalics"/>
              </w:rPr>
              <w:t>Strategies to overcome buyer resistance</w:t>
            </w:r>
            <w:r w:rsidRPr="00F622F0">
              <w:t xml:space="preserve"> include: </w:t>
            </w:r>
          </w:p>
        </w:tc>
        <w:tc>
          <w:tcPr>
            <w:tcW w:w="5031" w:type="dxa"/>
            <w:tcBorders>
              <w:top w:val="nil"/>
              <w:left w:val="nil"/>
              <w:bottom w:val="nil"/>
              <w:right w:val="nil"/>
            </w:tcBorders>
            <w:tcMar>
              <w:top w:w="0" w:type="dxa"/>
              <w:left w:w="62" w:type="dxa"/>
              <w:bottom w:w="0" w:type="dxa"/>
              <w:right w:w="62" w:type="dxa"/>
            </w:tcMar>
          </w:tcPr>
          <w:p w:rsidR="00000000" w:rsidRPr="00F622F0" w:rsidP="00F622F0">
            <w:pPr>
              <w:pStyle w:val="ListBullet"/>
            </w:pPr>
            <w:r w:rsidRPr="00F622F0">
              <w:t>assertive messages</w:t>
            </w:r>
          </w:p>
          <w:p w:rsidR="00000000" w:rsidRPr="00F622F0" w:rsidP="00F622F0">
            <w:pPr>
              <w:pStyle w:val="ListBullet"/>
            </w:pPr>
            <w:r w:rsidRPr="00F622F0">
              <w:t>boomerang technique</w:t>
            </w:r>
          </w:p>
          <w:p w:rsidR="00000000" w:rsidRPr="00F622F0" w:rsidP="00F622F0">
            <w:pPr>
              <w:pStyle w:val="ListBullet"/>
            </w:pPr>
            <w:r w:rsidRPr="00F622F0">
              <w:t>checking perceptions</w:t>
            </w:r>
          </w:p>
          <w:p w:rsidR="00000000" w:rsidRPr="00F622F0" w:rsidP="00F622F0">
            <w:pPr>
              <w:pStyle w:val="ListBullet"/>
            </w:pPr>
            <w:r w:rsidRPr="00F622F0">
              <w:t>direct denial</w:t>
            </w:r>
          </w:p>
          <w:p w:rsidR="00000000" w:rsidRPr="00F622F0" w:rsidP="00F622F0">
            <w:pPr>
              <w:pStyle w:val="ListBullet"/>
            </w:pPr>
            <w:r w:rsidRPr="00F622F0">
              <w:t>incentives offer</w:t>
            </w:r>
          </w:p>
          <w:p w:rsidR="00000000" w:rsidRPr="00F622F0" w:rsidP="00F622F0">
            <w:pPr>
              <w:pStyle w:val="ListBullet"/>
            </w:pPr>
            <w:r w:rsidRPr="00F622F0">
              <w:t>indirect denial</w:t>
            </w:r>
          </w:p>
          <w:p w:rsidR="00000000" w:rsidRPr="00F622F0" w:rsidP="00F622F0">
            <w:pPr>
              <w:pStyle w:val="ListBullet"/>
            </w:pPr>
            <w:r w:rsidRPr="00F622F0">
              <w:t>open and closed questions</w:t>
            </w:r>
          </w:p>
          <w:p w:rsidR="00000000" w:rsidRPr="00F622F0" w:rsidP="00F622F0">
            <w:pPr>
              <w:pStyle w:val="ListBullet"/>
            </w:pPr>
            <w:r w:rsidRPr="00F622F0">
              <w:t>requesting additional information from buyers</w:t>
            </w:r>
          </w:p>
          <w:p w:rsidR="00000000" w:rsidRPr="00F622F0" w:rsidP="00F622F0">
            <w:pPr>
              <w:pStyle w:val="ListBullet"/>
            </w:pPr>
            <w:r w:rsidRPr="00F622F0">
              <w:t>superior benefit.</w:t>
            </w:r>
          </w:p>
        </w:tc>
      </w:tr>
    </w:tbl>
    <w:p w:rsidR="009F294E" w:rsidP="00F622F0">
      <w:pPr>
        <w:pStyle w:val="BodyText"/>
      </w:pPr>
    </w:p>
    <w:p w:rsidR="009F294E" w:rsidP="00F622F0">
      <w:pPr>
        <w:pStyle w:val="BodyText"/>
      </w:pPr>
    </w:p>
    <w:p w:rsidR="00000000" w:rsidRPr="00F622F0" w:rsidP="00F622F0">
      <w:pPr>
        <w:pStyle w:val="Heading1"/>
      </w:pPr>
      <w:bookmarkStart w:id="12" w:name="O_196834"/>
      <w:bookmarkEnd w:id="12"/>
      <w:r w:rsidRPr="00F622F0">
        <w:t>Unit Sector(s)</w:t>
      </w:r>
    </w:p>
    <w:tbl>
      <w:tblPr>
        <w:tblW w:w="0" w:type="auto"/>
        <w:tblLayout w:type="fixed"/>
        <w:tblCellMar>
          <w:left w:w="62" w:type="dxa"/>
          <w:right w:w="62" w:type="dxa"/>
        </w:tblCellMar>
        <w:tblLook w:val="0000"/>
      </w:tblPr>
      <w:tblGrid>
        <w:gridCol w:w="2597"/>
        <w:gridCol w:w="5925"/>
      </w:tblGrid>
      <w:tr w:rsidTr="009F294E">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Construction</w:t>
            </w:r>
          </w:p>
        </w:tc>
      </w:tr>
    </w:tbl>
    <w:p w:rsidR="009F294E" w:rsidP="00F622F0">
      <w:pPr>
        <w:pStyle w:val="BodyText"/>
      </w:pPr>
    </w:p>
    <w:p w:rsidR="009F294E" w:rsidP="00F622F0">
      <w:pPr>
        <w:pStyle w:val="BodyText"/>
      </w:pPr>
    </w:p>
    <w:p w:rsidR="00000000" w:rsidRPr="00F622F0" w:rsidP="00F622F0">
      <w:pPr>
        <w:pStyle w:val="Heading1"/>
      </w:pPr>
      <w:bookmarkStart w:id="13" w:name="O_196831"/>
      <w:bookmarkEnd w:id="13"/>
      <w:r w:rsidRPr="00F622F0">
        <w:t>Co-requisite units</w:t>
      </w:r>
    </w:p>
    <w:tbl>
      <w:tblPr>
        <w:tblW w:w="0" w:type="auto"/>
        <w:tblLayout w:type="fixed"/>
        <w:tblCellMar>
          <w:left w:w="62" w:type="dxa"/>
          <w:right w:w="62" w:type="dxa"/>
        </w:tblCellMar>
        <w:tblLook w:val="0000"/>
      </w:tblPr>
      <w:tblGrid>
        <w:gridCol w:w="2614"/>
        <w:gridCol w:w="5908"/>
      </w:tblGrid>
      <w:tr w:rsidTr="009F294E">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F622F0" w:rsidP="00F622F0">
            <w:pPr>
              <w:pStyle w:val="BodyText"/>
            </w:pPr>
            <w:r w:rsidRPr="00F622F0">
              <w:t>Nil</w:t>
            </w:r>
          </w:p>
        </w:tc>
      </w:tr>
    </w:tbl>
    <w:p w:rsidR="009F294E" w:rsidP="00F622F0">
      <w:pPr>
        <w:pStyle w:val="BodyText"/>
      </w:pPr>
    </w:p>
    <w:p w:rsidR="009F294E" w:rsidP="00F622F0">
      <w:pPr>
        <w:pStyle w:val="BodyText"/>
      </w:pPr>
    </w:p>
    <w:p w:rsidR="00000000" w:rsidRPr="00F622F0" w:rsidP="00F622F0">
      <w:pPr>
        <w:pStyle w:val="Heading1"/>
      </w:pPr>
      <w:bookmarkStart w:id="14" w:name="O_196833"/>
      <w:bookmarkEnd w:id="14"/>
      <w:r w:rsidRPr="00F622F0">
        <w:t>Functional area</w:t>
      </w:r>
    </w:p>
    <w:tbl>
      <w:tblPr>
        <w:tblW w:w="0" w:type="auto"/>
        <w:tblLayout w:type="fixed"/>
        <w:tblCellMar>
          <w:left w:w="62" w:type="dxa"/>
          <w:right w:w="62" w:type="dxa"/>
        </w:tblCellMar>
        <w:tblLook w:val="0000"/>
      </w:tblPr>
      <w:tblGrid>
        <w:gridCol w:w="2729"/>
        <w:gridCol w:w="5793"/>
      </w:tblGrid>
      <w:tr w:rsidTr="009F294E">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F622F0">
            <w:pPr>
              <w:pStyle w:val="BodyText"/>
              <w:rPr>
                <w:lang w:val="en-NZ"/>
              </w:rPr>
            </w:pPr>
            <w:r w:rsidRPr="00F622F0">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F622F0" w:rsidP="00F622F0">
            <w:pPr>
              <w:pStyle w:val="BodyText"/>
            </w:pPr>
          </w:p>
        </w:tc>
      </w:tr>
    </w:tbl>
    <w:p w:rsidR="009F294E" w:rsidP="00F622F0">
      <w:pPr>
        <w:pStyle w:val="BodyText"/>
      </w:pPr>
    </w:p>
    <w:p w:rsidR="009F294E" w:rsidP="00F622F0">
      <w:pPr>
        <w:pStyle w:val="BodyText"/>
      </w:pPr>
    </w:p>
    <w:p w:rsidR="00000000" w:rsidRPr="00F622F0" w:rsidP="00F622F0"/>
    <w:sectPr w:rsidSect="00F622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94E" w:rsidP="009F29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94E" w:rsidP="00F62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F294E" w:rsidP="00F622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F294E" w:rsidP="00F622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94E" w:rsidP="009F29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94E" w:rsidP="00F622F0">
    <w:pPr>
      <w:pStyle w:val="Header"/>
      <w:framePr w:wrap="around"/>
    </w:pPr>
    <w:r>
      <w:fldChar w:fldCharType="begin"/>
    </w:r>
    <w:r>
      <w:instrText xml:space="preserve"> TITLE   \* MERGEFORMAT </w:instrText>
    </w:r>
    <w:r>
      <w:fldChar w:fldCharType="separate"/>
    </w:r>
    <w:r>
      <w:t>CPCCBC4027B Establish a basis for sales consulting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294E" w:rsidP="00F622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05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7C1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245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2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22F0"/>
    <w:pPr>
      <w:spacing w:before="360" w:after="60"/>
      <w:outlineLvl w:val="0"/>
    </w:pPr>
    <w:rPr>
      <w:sz w:val="32"/>
    </w:rPr>
  </w:style>
  <w:style w:type="paragraph" w:styleId="Heading2">
    <w:name w:val="heading 2"/>
    <w:basedOn w:val="HeadingBase"/>
    <w:next w:val="BodyText"/>
    <w:link w:val="Heading2Char"/>
    <w:qFormat/>
    <w:rsid w:val="00F622F0"/>
    <w:pPr>
      <w:keepLines/>
      <w:spacing w:before="240" w:after="120"/>
      <w:outlineLvl w:val="1"/>
    </w:pPr>
    <w:rPr>
      <w:sz w:val="28"/>
      <w:szCs w:val="40"/>
    </w:rPr>
  </w:style>
  <w:style w:type="paragraph" w:styleId="Heading3">
    <w:name w:val="heading 3"/>
    <w:basedOn w:val="HeadingBase"/>
    <w:next w:val="BodyText"/>
    <w:link w:val="Heading3Char"/>
    <w:qFormat/>
    <w:rsid w:val="00F622F0"/>
    <w:pPr>
      <w:spacing w:before="180" w:after="120"/>
      <w:outlineLvl w:val="2"/>
    </w:pPr>
    <w:rPr>
      <w:spacing w:val="-10"/>
      <w:kern w:val="32"/>
    </w:rPr>
  </w:style>
  <w:style w:type="paragraph" w:styleId="Heading4">
    <w:name w:val="heading 4"/>
    <w:basedOn w:val="HeadingBase"/>
    <w:next w:val="BodyText"/>
    <w:link w:val="Heading4Char"/>
    <w:qFormat/>
    <w:rsid w:val="00F622F0"/>
    <w:pPr>
      <w:spacing w:before="160" w:after="120"/>
      <w:outlineLvl w:val="3"/>
    </w:pPr>
    <w:rPr>
      <w:sz w:val="22"/>
    </w:rPr>
  </w:style>
  <w:style w:type="paragraph" w:styleId="Heading5">
    <w:name w:val="heading 5"/>
    <w:basedOn w:val="HeadingBase"/>
    <w:next w:val="Normal"/>
    <w:link w:val="Heading5Char"/>
    <w:qFormat/>
    <w:rsid w:val="00F622F0"/>
    <w:pPr>
      <w:spacing w:before="80"/>
      <w:outlineLvl w:val="4"/>
    </w:pPr>
    <w:rPr>
      <w:color w:val="918585"/>
      <w:sz w:val="20"/>
    </w:rPr>
  </w:style>
  <w:style w:type="paragraph" w:styleId="Heading6">
    <w:name w:val="heading 6"/>
    <w:basedOn w:val="HeadingBase"/>
    <w:next w:val="Normal"/>
    <w:link w:val="Heading6Char"/>
    <w:qFormat/>
    <w:rsid w:val="00F622F0"/>
    <w:pPr>
      <w:spacing w:before="60"/>
      <w:outlineLvl w:val="5"/>
    </w:pPr>
    <w:rPr>
      <w:color w:val="918585"/>
      <w:sz w:val="20"/>
    </w:rPr>
  </w:style>
  <w:style w:type="paragraph" w:styleId="Heading7">
    <w:name w:val="heading 7"/>
    <w:basedOn w:val="Normal"/>
    <w:next w:val="Normal"/>
    <w:link w:val="Heading7Char"/>
    <w:qFormat/>
    <w:rsid w:val="00F622F0"/>
    <w:pPr>
      <w:ind w:left="720"/>
      <w:outlineLvl w:val="6"/>
    </w:pPr>
    <w:rPr>
      <w:i/>
    </w:rPr>
  </w:style>
  <w:style w:type="paragraph" w:styleId="Heading8">
    <w:name w:val="heading 8"/>
    <w:basedOn w:val="Normal"/>
    <w:next w:val="Normal"/>
    <w:link w:val="Heading8Char"/>
    <w:qFormat/>
    <w:rsid w:val="00F622F0"/>
    <w:pPr>
      <w:ind w:left="720"/>
      <w:outlineLvl w:val="7"/>
    </w:pPr>
    <w:rPr>
      <w:i/>
    </w:rPr>
  </w:style>
  <w:style w:type="paragraph" w:styleId="Heading9">
    <w:name w:val="heading 9"/>
    <w:basedOn w:val="Normal"/>
    <w:next w:val="Normal"/>
    <w:link w:val="Heading9Char"/>
    <w:qFormat/>
    <w:rsid w:val="00F622F0"/>
    <w:pPr>
      <w:ind w:left="720"/>
      <w:outlineLvl w:val="8"/>
    </w:pPr>
    <w:rPr>
      <w:i/>
    </w:rPr>
  </w:style>
  <w:style w:type="character" w:default="1" w:styleId="DefaultParagraphFont">
    <w:name w:val="Default Paragraph Font"/>
    <w:uiPriority w:val="1"/>
    <w:unhideWhenUsed/>
    <w:rsid w:val="00F62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2F0"/>
  </w:style>
  <w:style w:type="character" w:customStyle="1" w:styleId="Heading1Char">
    <w:name w:val="Heading 1 Char"/>
    <w:basedOn w:val="DefaultParagraphFont"/>
    <w:link w:val="Heading1"/>
    <w:rsid w:val="00F622F0"/>
    <w:rPr>
      <w:rFonts w:ascii="Times New Roman" w:eastAsia="Times New Roman" w:hAnsi="Times New Roman" w:cs="Times New Roman"/>
      <w:b/>
      <w:sz w:val="32"/>
      <w:szCs w:val="20"/>
      <w:lang w:eastAsia="en-US"/>
    </w:rPr>
  </w:style>
  <w:style w:type="paragraph" w:styleId="BodyText">
    <w:name w:val="Body Text"/>
    <w:basedOn w:val="Normal"/>
    <w:link w:val="BodyTextChar"/>
    <w:rsid w:val="00F622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22F0"/>
    <w:rPr>
      <w:rFonts w:ascii="Times New Roman" w:eastAsia="Times New Roman" w:hAnsi="Times New Roman" w:cs="Times New Roman"/>
      <w:sz w:val="24"/>
      <w:lang w:val="en-US" w:eastAsia="en-US"/>
    </w:rPr>
  </w:style>
  <w:style w:type="paragraph" w:styleId="Footer">
    <w:name w:val="footer"/>
    <w:basedOn w:val="Normal"/>
    <w:link w:val="FooterChar"/>
    <w:rsid w:val="00F62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2F0"/>
    <w:rPr>
      <w:rFonts w:ascii="Times New Roman" w:eastAsia="Times New Roman" w:hAnsi="Times New Roman" w:cs="Times New Roman"/>
      <w:sz w:val="16"/>
      <w:lang w:val="en-US" w:eastAsia="en-US"/>
    </w:rPr>
  </w:style>
  <w:style w:type="paragraph" w:styleId="List">
    <w:name w:val="List"/>
    <w:basedOn w:val="BodyText"/>
    <w:next w:val="BodyText"/>
    <w:rsid w:val="00F622F0"/>
    <w:pPr>
      <w:tabs>
        <w:tab w:val="left" w:pos="340"/>
      </w:tabs>
      <w:spacing w:before="60" w:after="60"/>
      <w:ind w:left="340" w:hanging="340"/>
    </w:pPr>
  </w:style>
  <w:style w:type="paragraph" w:styleId="ListBullet">
    <w:name w:val="List Bullet"/>
    <w:basedOn w:val="List"/>
    <w:rsid w:val="00F622F0"/>
    <w:pPr>
      <w:numPr>
        <w:numId w:val="13"/>
      </w:numPr>
      <w:tabs>
        <w:tab w:val="clear" w:pos="340"/>
      </w:tabs>
      <w:spacing w:before="40" w:after="40"/>
    </w:pPr>
  </w:style>
  <w:style w:type="character" w:customStyle="1" w:styleId="SpecialBold">
    <w:name w:val="Special Bold"/>
    <w:basedOn w:val="DefaultParagraphFont"/>
    <w:rsid w:val="00F622F0"/>
    <w:rPr>
      <w:b/>
      <w:spacing w:val="0"/>
    </w:rPr>
  </w:style>
  <w:style w:type="paragraph" w:styleId="ListBullet2">
    <w:name w:val="List Bullet 2"/>
    <w:basedOn w:val="List2"/>
    <w:rsid w:val="00F622F0"/>
    <w:pPr>
      <w:numPr>
        <w:numId w:val="14"/>
      </w:numPr>
      <w:tabs>
        <w:tab w:val="clear" w:pos="680"/>
      </w:tabs>
    </w:pPr>
  </w:style>
  <w:style w:type="paragraph" w:styleId="Header">
    <w:name w:val="header"/>
    <w:basedOn w:val="Normal"/>
    <w:link w:val="HeaderChar"/>
    <w:rsid w:val="00F62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2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22F0"/>
    <w:pPr>
      <w:spacing w:before="240" w:after="120"/>
      <w:outlineLvl w:val="0"/>
    </w:pPr>
    <w:rPr>
      <w:rFonts w:ascii="Times New Roman" w:hAnsi="Times New Roman"/>
      <w:b/>
      <w:sz w:val="28"/>
    </w:rPr>
  </w:style>
  <w:style w:type="paragraph" w:customStyle="1" w:styleId="AllowPageBreak">
    <w:name w:val="AllowPageBreak"/>
    <w:rsid w:val="00F622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22F0"/>
    <w:pPr>
      <w:tabs>
        <w:tab w:val="left" w:pos="680"/>
      </w:tabs>
      <w:spacing w:before="60" w:after="60"/>
      <w:ind w:left="680" w:hanging="340"/>
    </w:pPr>
  </w:style>
  <w:style w:type="character" w:customStyle="1" w:styleId="BoldandItalics">
    <w:name w:val="Bold and Italics"/>
    <w:qFormat/>
    <w:rsid w:val="00F622F0"/>
    <w:rPr>
      <w:b/>
      <w:i/>
      <w:u w:val="none"/>
    </w:rPr>
  </w:style>
  <w:style w:type="character" w:customStyle="1" w:styleId="Heading2Char">
    <w:name w:val="Heading 2 Char"/>
    <w:basedOn w:val="DefaultParagraphFont"/>
    <w:link w:val="Heading2"/>
    <w:rsid w:val="00F62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2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22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22F0"/>
    <w:rPr>
      <w:rFonts w:ascii="Courier New" w:eastAsia="Times New Roman" w:hAnsi="Courier New" w:cs="Times New Roman"/>
      <w:i/>
      <w:szCs w:val="20"/>
      <w:lang w:val="en-US" w:eastAsia="en-US"/>
    </w:rPr>
  </w:style>
  <w:style w:type="paragraph" w:customStyle="1" w:styleId="HeadingBase">
    <w:name w:val="Heading Base"/>
    <w:rsid w:val="00F62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2F0"/>
    <w:pPr>
      <w:tabs>
        <w:tab w:val="right" w:leader="dot" w:pos="9072"/>
      </w:tabs>
      <w:ind w:left="567"/>
    </w:pPr>
    <w:rPr>
      <w:szCs w:val="22"/>
    </w:rPr>
  </w:style>
  <w:style w:type="paragraph" w:customStyle="1" w:styleId="TOCBase">
    <w:name w:val="TOC Base"/>
    <w:rsid w:val="00F62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2F0"/>
    <w:pPr>
      <w:tabs>
        <w:tab w:val="right" w:leader="dot" w:pos="9072"/>
      </w:tabs>
      <w:spacing w:before="40" w:after="40"/>
      <w:ind w:left="284"/>
    </w:pPr>
    <w:rPr>
      <w:rFonts w:ascii="Times New Roman" w:hAnsi="Times New Roman"/>
    </w:rPr>
  </w:style>
  <w:style w:type="paragraph" w:styleId="TOC1">
    <w:name w:val="toc 1"/>
    <w:basedOn w:val="TOCBase"/>
    <w:next w:val="Normal"/>
    <w:rsid w:val="00F622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22F0"/>
    <w:pPr>
      <w:spacing w:before="5040"/>
      <w:jc w:val="center"/>
    </w:pPr>
    <w:rPr>
      <w:sz w:val="48"/>
      <w:szCs w:val="72"/>
      <w:lang w:val="en-US"/>
    </w:rPr>
  </w:style>
  <w:style w:type="character" w:customStyle="1" w:styleId="TitleChar">
    <w:name w:val="Title Char"/>
    <w:basedOn w:val="DefaultParagraphFont"/>
    <w:link w:val="Title"/>
    <w:rsid w:val="00F62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2F0"/>
    <w:pPr>
      <w:tabs>
        <w:tab w:val="left" w:pos="3600"/>
        <w:tab w:val="left" w:pos="3958"/>
      </w:tabs>
    </w:pPr>
  </w:style>
  <w:style w:type="paragraph" w:customStyle="1" w:styleId="Note">
    <w:name w:val="Note"/>
    <w:basedOn w:val="BodyText"/>
    <w:rsid w:val="00F62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2F0"/>
    <w:pPr>
      <w:framePr w:wrap="auto" w:hAnchor="text" w:y="6049"/>
    </w:pPr>
    <w:rPr>
      <w:color w:val="000000"/>
      <w:sz w:val="40"/>
    </w:rPr>
  </w:style>
  <w:style w:type="paragraph" w:customStyle="1" w:styleId="TOCTitle">
    <w:name w:val="TOCTitle"/>
    <w:basedOn w:val="Heading1"/>
    <w:rsid w:val="00F622F0"/>
    <w:pPr>
      <w:spacing w:after="240"/>
      <w:jc w:val="center"/>
      <w:outlineLvl w:val="9"/>
    </w:pPr>
    <w:rPr>
      <w:caps/>
    </w:rPr>
  </w:style>
  <w:style w:type="paragraph" w:customStyle="1" w:styleId="Version">
    <w:name w:val="Version"/>
    <w:rsid w:val="00F62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2F0"/>
    <w:pPr>
      <w:keepNext w:val="0"/>
      <w:tabs>
        <w:tab w:val="right" w:pos="4176"/>
      </w:tabs>
      <w:ind w:left="198" w:hanging="198"/>
    </w:pPr>
    <w:rPr>
      <w:rFonts w:ascii="Garamond" w:hAnsi="Garamond"/>
    </w:rPr>
  </w:style>
  <w:style w:type="paragraph" w:styleId="IndexHeading">
    <w:name w:val="index heading"/>
    <w:basedOn w:val="Normal"/>
    <w:next w:val="Index1"/>
    <w:semiHidden/>
    <w:rsid w:val="00F622F0"/>
    <w:pPr>
      <w:spacing w:before="120" w:after="120"/>
    </w:pPr>
    <w:rPr>
      <w:rFonts w:ascii="Arial" w:hAnsi="Arial"/>
      <w:b/>
      <w:color w:val="918585"/>
      <w:sz w:val="24"/>
    </w:rPr>
  </w:style>
  <w:style w:type="paragraph" w:customStyle="1" w:styleId="Chapter">
    <w:name w:val="Chapter"/>
    <w:basedOn w:val="Normal"/>
    <w:rsid w:val="00F622F0"/>
    <w:pPr>
      <w:spacing w:before="240"/>
    </w:pPr>
    <w:rPr>
      <w:rFonts w:ascii="Times New Roman" w:hAnsi="Times New Roman"/>
      <w:smallCaps/>
      <w:spacing w:val="80"/>
      <w:sz w:val="28"/>
    </w:rPr>
  </w:style>
  <w:style w:type="paragraph" w:customStyle="1" w:styleId="InChapter">
    <w:name w:val="InChapter"/>
    <w:basedOn w:val="Heading3"/>
    <w:rsid w:val="00F622F0"/>
    <w:pPr>
      <w:spacing w:after="240"/>
      <w:outlineLvl w:val="9"/>
    </w:pPr>
    <w:rPr>
      <w:noProof/>
    </w:rPr>
  </w:style>
  <w:style w:type="paragraph" w:styleId="Index2">
    <w:name w:val="index 2"/>
    <w:basedOn w:val="Normal"/>
    <w:next w:val="Normal"/>
    <w:semiHidden/>
    <w:rsid w:val="00F622F0"/>
    <w:pPr>
      <w:tabs>
        <w:tab w:val="right" w:pos="4176"/>
      </w:tabs>
      <w:ind w:left="568" w:hanging="284"/>
    </w:pPr>
    <w:rPr>
      <w:rFonts w:ascii="Garamond" w:hAnsi="Garamond"/>
    </w:rPr>
  </w:style>
  <w:style w:type="paragraph" w:customStyle="1" w:styleId="Byline">
    <w:name w:val="Byline"/>
    <w:rsid w:val="00F62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2F0"/>
    <w:pPr>
      <w:tabs>
        <w:tab w:val="clear" w:pos="3600"/>
        <w:tab w:val="clear" w:pos="3958"/>
      </w:tabs>
      <w:jc w:val="right"/>
    </w:pPr>
  </w:style>
  <w:style w:type="character" w:styleId="Emphasis">
    <w:name w:val="Emphasis"/>
    <w:basedOn w:val="DefaultParagraphFont"/>
    <w:qFormat/>
    <w:rsid w:val="00F622F0"/>
    <w:rPr>
      <w:i/>
    </w:rPr>
  </w:style>
  <w:style w:type="paragraph" w:styleId="Caption">
    <w:name w:val="caption"/>
    <w:basedOn w:val="BodyText"/>
    <w:next w:val="Normal"/>
    <w:qFormat/>
    <w:rsid w:val="00F622F0"/>
    <w:pPr>
      <w:framePr w:w="2268" w:hSpace="181" w:vSpace="181" w:wrap="around" w:vAnchor="text" w:hAnchor="page" w:x="1135" w:y="285" w:anchorLock="1"/>
    </w:pPr>
    <w:rPr>
      <w:i/>
    </w:rPr>
  </w:style>
  <w:style w:type="paragraph" w:customStyle="1" w:styleId="MiniTOCTitle">
    <w:name w:val="MiniTOCTitle"/>
    <w:basedOn w:val="Heading4"/>
    <w:rsid w:val="00F622F0"/>
    <w:pPr>
      <w:spacing w:before="240"/>
      <w:outlineLvl w:val="9"/>
    </w:pPr>
    <w:rPr>
      <w:noProof/>
      <w:sz w:val="24"/>
    </w:rPr>
  </w:style>
  <w:style w:type="paragraph" w:customStyle="1" w:styleId="MiniTOCItem">
    <w:name w:val="MiniTOCItem"/>
    <w:basedOn w:val="ListBullet"/>
    <w:rsid w:val="00F622F0"/>
    <w:pPr>
      <w:numPr>
        <w:numId w:val="0"/>
      </w:numPr>
      <w:tabs>
        <w:tab w:val="right" w:leader="dot" w:pos="6521"/>
      </w:tabs>
      <w:spacing w:before="0" w:after="0"/>
    </w:pPr>
  </w:style>
  <w:style w:type="paragraph" w:customStyle="1" w:styleId="TOFTitle">
    <w:name w:val="TOFTitle"/>
    <w:basedOn w:val="TOCTitle"/>
    <w:rsid w:val="00F622F0"/>
  </w:style>
  <w:style w:type="paragraph" w:styleId="TableofFigures">
    <w:name w:val="table of figures"/>
    <w:basedOn w:val="Normal"/>
    <w:next w:val="Normal"/>
    <w:semiHidden/>
    <w:rsid w:val="00F622F0"/>
    <w:pPr>
      <w:tabs>
        <w:tab w:val="right" w:leader="dot" w:pos="9072"/>
      </w:tabs>
      <w:ind w:left="970" w:hanging="403"/>
    </w:pPr>
    <w:rPr>
      <w:rFonts w:ascii="Times New Roman" w:hAnsi="Times New Roman"/>
      <w:b/>
    </w:rPr>
  </w:style>
  <w:style w:type="paragraph" w:styleId="ListNumber">
    <w:name w:val="List Number"/>
    <w:basedOn w:val="List"/>
    <w:rsid w:val="00F622F0"/>
    <w:pPr>
      <w:numPr>
        <w:numId w:val="11"/>
      </w:numPr>
    </w:pPr>
  </w:style>
  <w:style w:type="character" w:customStyle="1" w:styleId="WingdingSymbols">
    <w:name w:val="Wingding Symbols"/>
    <w:rsid w:val="00F622F0"/>
    <w:rPr>
      <w:rFonts w:ascii="Wingdings" w:hAnsi="Wingdings"/>
    </w:rPr>
  </w:style>
  <w:style w:type="paragraph" w:customStyle="1" w:styleId="TableHeading">
    <w:name w:val="Table Heading"/>
    <w:basedOn w:val="HeadingBase"/>
    <w:rsid w:val="00F622F0"/>
    <w:pPr>
      <w:keepLines/>
      <w:pBdr>
        <w:bottom w:val="single" w:sz="6" w:space="1" w:color="918585"/>
      </w:pBdr>
      <w:spacing w:before="240"/>
    </w:pPr>
  </w:style>
  <w:style w:type="character" w:customStyle="1" w:styleId="HotSpot">
    <w:name w:val="HotSpot"/>
    <w:rsid w:val="00F622F0"/>
    <w:rPr>
      <w:color w:val="0033CC"/>
      <w:u w:val="none"/>
    </w:rPr>
  </w:style>
  <w:style w:type="paragraph" w:customStyle="1" w:styleId="BodyTextRight">
    <w:name w:val="Body Text Right"/>
    <w:basedOn w:val="BodyText"/>
    <w:rsid w:val="00F622F0"/>
    <w:pPr>
      <w:spacing w:before="0" w:after="0"/>
      <w:jc w:val="right"/>
    </w:pPr>
  </w:style>
  <w:style w:type="paragraph" w:styleId="Index3">
    <w:name w:val="index 3"/>
    <w:basedOn w:val="ListNumber2"/>
    <w:next w:val="Normal"/>
    <w:semiHidden/>
    <w:rsid w:val="00F622F0"/>
    <w:pPr>
      <w:numPr>
        <w:numId w:val="0"/>
      </w:numPr>
      <w:tabs>
        <w:tab w:val="right" w:leader="dot" w:pos="4176"/>
      </w:tabs>
    </w:pPr>
  </w:style>
  <w:style w:type="paragraph" w:styleId="ListNumber2">
    <w:name w:val="List Number 2"/>
    <w:basedOn w:val="List2"/>
    <w:rsid w:val="00F622F0"/>
    <w:pPr>
      <w:numPr>
        <w:numId w:val="10"/>
      </w:numPr>
      <w:tabs>
        <w:tab w:val="clear" w:pos="1060"/>
      </w:tabs>
    </w:pPr>
  </w:style>
  <w:style w:type="paragraph" w:customStyle="1" w:styleId="MarginNote">
    <w:name w:val="Margin Note"/>
    <w:basedOn w:val="BodyText"/>
    <w:rsid w:val="00F62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2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22F0"/>
    <w:rPr>
      <w:sz w:val="32"/>
    </w:rPr>
  </w:style>
  <w:style w:type="paragraph" w:customStyle="1" w:styleId="HeadingProcedure">
    <w:name w:val="Heading Procedure"/>
    <w:basedOn w:val="HeadingBase"/>
    <w:next w:val="Normal"/>
    <w:rsid w:val="00F622F0"/>
    <w:pPr>
      <w:tabs>
        <w:tab w:val="left" w:pos="0"/>
      </w:tabs>
      <w:spacing w:before="120" w:after="60"/>
    </w:pPr>
    <w:rPr>
      <w:i/>
      <w:color w:val="918585"/>
      <w:sz w:val="22"/>
    </w:rPr>
  </w:style>
  <w:style w:type="paragraph" w:customStyle="1" w:styleId="TableBodyText">
    <w:name w:val="Table Body Text"/>
    <w:basedOn w:val="BodyText"/>
    <w:rsid w:val="00F622F0"/>
    <w:pPr>
      <w:spacing w:before="60" w:after="60"/>
    </w:pPr>
  </w:style>
  <w:style w:type="paragraph" w:styleId="ListContinue">
    <w:name w:val="List Continue"/>
    <w:basedOn w:val="List"/>
    <w:rsid w:val="00F622F0"/>
    <w:pPr>
      <w:ind w:firstLine="0"/>
    </w:pPr>
  </w:style>
  <w:style w:type="paragraph" w:customStyle="1" w:styleId="ListNote">
    <w:name w:val="List Note"/>
    <w:basedOn w:val="List"/>
    <w:rsid w:val="00F622F0"/>
    <w:pPr>
      <w:pBdr>
        <w:top w:val="single" w:sz="6" w:space="2" w:color="918585"/>
        <w:bottom w:val="single" w:sz="6" w:space="2" w:color="918585"/>
      </w:pBdr>
      <w:tabs>
        <w:tab w:val="left" w:pos="1021"/>
      </w:tabs>
      <w:ind w:firstLine="0"/>
    </w:pPr>
  </w:style>
  <w:style w:type="paragraph" w:customStyle="1" w:styleId="Warning">
    <w:name w:val="Warning"/>
    <w:basedOn w:val="BodyText"/>
    <w:rsid w:val="00F622F0"/>
    <w:pPr>
      <w:shd w:val="clear" w:color="auto" w:fill="D9D9D9"/>
      <w:tabs>
        <w:tab w:val="left" w:pos="992"/>
      </w:tabs>
      <w:ind w:left="119" w:right="119"/>
    </w:pPr>
    <w:rPr>
      <w:sz w:val="20"/>
    </w:rPr>
  </w:style>
  <w:style w:type="paragraph" w:customStyle="1" w:styleId="MarginIcons">
    <w:name w:val="Margin Icons"/>
    <w:basedOn w:val="BodyText"/>
    <w:rsid w:val="00F62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2F0"/>
    <w:rPr>
      <w:rFonts w:ascii="Courier New" w:hAnsi="Courier New"/>
    </w:rPr>
  </w:style>
  <w:style w:type="paragraph" w:customStyle="1" w:styleId="NoteBullet">
    <w:name w:val="Note Bullet"/>
    <w:basedOn w:val="Note"/>
    <w:rsid w:val="00F622F0"/>
    <w:pPr>
      <w:tabs>
        <w:tab w:val="clear" w:pos="680"/>
      </w:tabs>
      <w:spacing w:before="60" w:after="60"/>
    </w:pPr>
  </w:style>
  <w:style w:type="paragraph" w:customStyle="1" w:styleId="SubHeading2">
    <w:name w:val="SubHeading2"/>
    <w:basedOn w:val="HeadingBase"/>
    <w:rsid w:val="00F622F0"/>
    <w:pPr>
      <w:spacing w:before="240" w:after="60"/>
    </w:pPr>
    <w:rPr>
      <w:sz w:val="20"/>
    </w:rPr>
  </w:style>
  <w:style w:type="paragraph" w:customStyle="1" w:styleId="SubHeading1">
    <w:name w:val="SubHeading1"/>
    <w:basedOn w:val="HeadingBase"/>
    <w:rsid w:val="00F622F0"/>
    <w:pPr>
      <w:spacing w:before="240" w:after="60"/>
    </w:pPr>
    <w:rPr>
      <w:color w:val="918585"/>
      <w:sz w:val="22"/>
    </w:rPr>
  </w:style>
  <w:style w:type="paragraph" w:customStyle="1" w:styleId="SideHeading">
    <w:name w:val="Side Heading"/>
    <w:basedOn w:val="HeadingBase"/>
    <w:rsid w:val="00F62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2F0"/>
    <w:pPr>
      <w:numPr>
        <w:numId w:val="12"/>
      </w:numPr>
    </w:pPr>
  </w:style>
  <w:style w:type="paragraph" w:styleId="PlainText">
    <w:name w:val="Plain Text"/>
    <w:basedOn w:val="Normal"/>
    <w:link w:val="PlainTextChar"/>
    <w:rsid w:val="00F622F0"/>
    <w:rPr>
      <w:sz w:val="20"/>
    </w:rPr>
  </w:style>
  <w:style w:type="character" w:customStyle="1" w:styleId="PlainTextChar">
    <w:name w:val="Plain Text Char"/>
    <w:basedOn w:val="DefaultParagraphFont"/>
    <w:link w:val="PlainText"/>
    <w:rsid w:val="00F622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22F0"/>
    <w:rPr>
      <w:b/>
      <w:smallCaps/>
    </w:rPr>
  </w:style>
  <w:style w:type="paragraph" w:customStyle="1" w:styleId="TableListNumber">
    <w:name w:val="Table List Number"/>
    <w:basedOn w:val="ListNumber"/>
    <w:rsid w:val="00F622F0"/>
    <w:pPr>
      <w:numPr>
        <w:numId w:val="0"/>
      </w:numPr>
    </w:pPr>
  </w:style>
  <w:style w:type="paragraph" w:styleId="TOC4">
    <w:name w:val="toc 4"/>
    <w:basedOn w:val="TOCBase"/>
    <w:next w:val="Normal"/>
    <w:semiHidden/>
    <w:rsid w:val="00F622F0"/>
    <w:pPr>
      <w:tabs>
        <w:tab w:val="right" w:leader="dot" w:pos="9071"/>
      </w:tabs>
      <w:ind w:left="1701"/>
    </w:pPr>
  </w:style>
  <w:style w:type="paragraph" w:customStyle="1" w:styleId="ListAlpha">
    <w:name w:val="List Alpha"/>
    <w:basedOn w:val="List"/>
    <w:rsid w:val="00F622F0"/>
    <w:pPr>
      <w:numPr>
        <w:numId w:val="9"/>
      </w:numPr>
    </w:pPr>
  </w:style>
  <w:style w:type="paragraph" w:customStyle="1" w:styleId="ListAlpha2">
    <w:name w:val="List Alpha 2"/>
    <w:basedOn w:val="List2"/>
    <w:rsid w:val="00F622F0"/>
    <w:pPr>
      <w:numPr>
        <w:numId w:val="8"/>
      </w:numPr>
    </w:pPr>
  </w:style>
  <w:style w:type="paragraph" w:styleId="List3">
    <w:name w:val="List 3"/>
    <w:basedOn w:val="BodyText"/>
    <w:rsid w:val="00F622F0"/>
    <w:pPr>
      <w:tabs>
        <w:tab w:val="left" w:pos="1021"/>
      </w:tabs>
      <w:spacing w:before="60" w:after="60"/>
      <w:ind w:left="1020" w:hanging="340"/>
    </w:pPr>
  </w:style>
  <w:style w:type="paragraph" w:styleId="List4">
    <w:name w:val="List 4"/>
    <w:basedOn w:val="BodyText"/>
    <w:rsid w:val="00F622F0"/>
    <w:pPr>
      <w:tabs>
        <w:tab w:val="left" w:pos="1361"/>
      </w:tabs>
      <w:spacing w:before="60" w:after="60"/>
      <w:ind w:left="1361" w:hanging="340"/>
    </w:pPr>
  </w:style>
  <w:style w:type="paragraph" w:styleId="List5">
    <w:name w:val="List 5"/>
    <w:basedOn w:val="BodyText"/>
    <w:rsid w:val="00F622F0"/>
    <w:pPr>
      <w:tabs>
        <w:tab w:val="left" w:pos="1701"/>
      </w:tabs>
      <w:spacing w:before="60" w:after="60"/>
      <w:ind w:left="1701" w:hanging="340"/>
    </w:pPr>
  </w:style>
  <w:style w:type="paragraph" w:styleId="ListBullet3">
    <w:name w:val="List Bullet 3"/>
    <w:basedOn w:val="List3"/>
    <w:rsid w:val="00F622F0"/>
    <w:pPr>
      <w:numPr>
        <w:numId w:val="15"/>
      </w:numPr>
      <w:tabs>
        <w:tab w:val="clear" w:pos="1021"/>
      </w:tabs>
      <w:ind w:left="1037" w:hanging="357"/>
    </w:pPr>
  </w:style>
  <w:style w:type="paragraph" w:styleId="ListBullet4">
    <w:name w:val="List Bullet 4"/>
    <w:basedOn w:val="List4"/>
    <w:rsid w:val="00F622F0"/>
    <w:pPr>
      <w:numPr>
        <w:numId w:val="3"/>
      </w:numPr>
    </w:pPr>
  </w:style>
  <w:style w:type="paragraph" w:styleId="ListBullet5">
    <w:name w:val="List Bullet 5"/>
    <w:basedOn w:val="List5"/>
    <w:rsid w:val="00F622F0"/>
    <w:pPr>
      <w:numPr>
        <w:numId w:val="4"/>
      </w:numPr>
    </w:pPr>
  </w:style>
  <w:style w:type="paragraph" w:styleId="ListContinue2">
    <w:name w:val="List Continue 2"/>
    <w:basedOn w:val="List2"/>
    <w:rsid w:val="00F622F0"/>
    <w:pPr>
      <w:ind w:firstLine="0"/>
    </w:pPr>
  </w:style>
  <w:style w:type="paragraph" w:styleId="ListContinue3">
    <w:name w:val="List Continue 3"/>
    <w:basedOn w:val="List3"/>
    <w:rsid w:val="00F622F0"/>
    <w:pPr>
      <w:ind w:left="1021" w:firstLine="0"/>
    </w:pPr>
  </w:style>
  <w:style w:type="paragraph" w:styleId="ListContinue4">
    <w:name w:val="List Continue 4"/>
    <w:basedOn w:val="List4"/>
    <w:rsid w:val="00F622F0"/>
    <w:pPr>
      <w:ind w:firstLine="0"/>
    </w:pPr>
  </w:style>
  <w:style w:type="paragraph" w:styleId="ListContinue5">
    <w:name w:val="List Continue 5"/>
    <w:basedOn w:val="List5"/>
    <w:rsid w:val="00F622F0"/>
    <w:pPr>
      <w:ind w:firstLine="0"/>
    </w:pPr>
  </w:style>
  <w:style w:type="paragraph" w:styleId="ListNumber3">
    <w:name w:val="List Number 3"/>
    <w:basedOn w:val="List3"/>
    <w:rsid w:val="00F622F0"/>
    <w:pPr>
      <w:numPr>
        <w:numId w:val="5"/>
      </w:numPr>
    </w:pPr>
  </w:style>
  <w:style w:type="paragraph" w:styleId="ListNumber4">
    <w:name w:val="List Number 4"/>
    <w:basedOn w:val="List4"/>
    <w:rsid w:val="00F622F0"/>
    <w:pPr>
      <w:numPr>
        <w:numId w:val="6"/>
      </w:numPr>
    </w:pPr>
  </w:style>
  <w:style w:type="paragraph" w:styleId="ListNumber5">
    <w:name w:val="List Number 5"/>
    <w:basedOn w:val="List5"/>
    <w:rsid w:val="00F622F0"/>
    <w:pPr>
      <w:numPr>
        <w:numId w:val="7"/>
      </w:numPr>
    </w:pPr>
  </w:style>
  <w:style w:type="paragraph" w:styleId="BlockText">
    <w:name w:val="Block Text"/>
    <w:basedOn w:val="Normal"/>
    <w:rsid w:val="00F622F0"/>
    <w:pPr>
      <w:spacing w:after="120"/>
      <w:ind w:left="1440" w:right="1440"/>
    </w:pPr>
  </w:style>
  <w:style w:type="character" w:customStyle="1" w:styleId="Subscript">
    <w:name w:val="Subscript"/>
    <w:basedOn w:val="DefaultParagraphFont"/>
    <w:rsid w:val="00F622F0"/>
    <w:rPr>
      <w:sz w:val="16"/>
      <w:vertAlign w:val="subscript"/>
    </w:rPr>
  </w:style>
  <w:style w:type="character" w:customStyle="1" w:styleId="Superscript">
    <w:name w:val="Superscript"/>
    <w:basedOn w:val="DefaultParagraphFont"/>
    <w:rsid w:val="00F622F0"/>
    <w:rPr>
      <w:sz w:val="16"/>
      <w:vertAlign w:val="superscript"/>
    </w:rPr>
  </w:style>
  <w:style w:type="character" w:customStyle="1" w:styleId="Symbols">
    <w:name w:val="Symbols"/>
    <w:basedOn w:val="DefaultParagraphFont"/>
    <w:rsid w:val="00F622F0"/>
    <w:rPr>
      <w:rFonts w:ascii="Symbol" w:hAnsi="Symbol"/>
    </w:rPr>
  </w:style>
  <w:style w:type="character" w:customStyle="1" w:styleId="MenuOptions">
    <w:name w:val="Menu Options"/>
    <w:basedOn w:val="DefaultParagraphFont"/>
    <w:rsid w:val="00F622F0"/>
    <w:rPr>
      <w:rFonts w:ascii="Arial Narrow" w:hAnsi="Arial Narrow"/>
      <w:smallCaps/>
    </w:rPr>
  </w:style>
  <w:style w:type="character" w:customStyle="1" w:styleId="Buttons">
    <w:name w:val="Buttons"/>
    <w:basedOn w:val="DefaultParagraphFont"/>
    <w:rsid w:val="00F622F0"/>
    <w:rPr>
      <w:b/>
    </w:rPr>
  </w:style>
  <w:style w:type="character" w:customStyle="1" w:styleId="Underlined">
    <w:name w:val="Underlined"/>
    <w:basedOn w:val="DefaultParagraphFont"/>
    <w:rsid w:val="00F622F0"/>
    <w:rPr>
      <w:u w:val="single"/>
    </w:rPr>
  </w:style>
  <w:style w:type="paragraph" w:customStyle="1" w:styleId="TableBodyTextRight">
    <w:name w:val="Table Body Text Right"/>
    <w:basedOn w:val="TableBodyText"/>
    <w:rsid w:val="00F622F0"/>
    <w:pPr>
      <w:widowControl w:val="0"/>
      <w:autoSpaceDE w:val="0"/>
      <w:autoSpaceDN w:val="0"/>
      <w:adjustRightInd w:val="0"/>
      <w:jc w:val="right"/>
    </w:pPr>
    <w:rPr>
      <w:rFonts w:cs="Arial"/>
      <w:szCs w:val="18"/>
    </w:rPr>
  </w:style>
  <w:style w:type="paragraph" w:customStyle="1" w:styleId="CopyrightText">
    <w:name w:val="Copyright Text"/>
    <w:basedOn w:val="BodyText"/>
    <w:rsid w:val="00F622F0"/>
    <w:rPr>
      <w:sz w:val="18"/>
    </w:rPr>
  </w:style>
  <w:style w:type="paragraph" w:customStyle="1" w:styleId="BodySmallRight">
    <w:name w:val="Body Small Right"/>
    <w:basedOn w:val="BodyTextRight"/>
    <w:rsid w:val="00F622F0"/>
    <w:rPr>
      <w:sz w:val="18"/>
      <w:szCs w:val="18"/>
    </w:rPr>
  </w:style>
  <w:style w:type="paragraph" w:customStyle="1" w:styleId="MarginEdition">
    <w:name w:val="Margin Edition"/>
    <w:basedOn w:val="MarginNote"/>
    <w:rsid w:val="00F622F0"/>
    <w:pPr>
      <w:spacing w:before="0" w:after="0"/>
    </w:pPr>
    <w:rPr>
      <w:rFonts w:ascii="Times New Roman" w:hAnsi="Times New Roman"/>
      <w:color w:val="999999"/>
    </w:rPr>
  </w:style>
  <w:style w:type="paragraph" w:customStyle="1" w:styleId="Spacer">
    <w:name w:val="Spacer"/>
    <w:basedOn w:val="Normal"/>
    <w:rsid w:val="00F622F0"/>
    <w:rPr>
      <w:sz w:val="2"/>
      <w:szCs w:val="2"/>
    </w:rPr>
  </w:style>
  <w:style w:type="character" w:customStyle="1" w:styleId="Small">
    <w:name w:val="Small"/>
    <w:basedOn w:val="DefaultParagraphFont"/>
    <w:rsid w:val="00F622F0"/>
    <w:rPr>
      <w:sz w:val="16"/>
    </w:rPr>
  </w:style>
  <w:style w:type="paragraph" w:customStyle="1" w:styleId="WideTable">
    <w:name w:val="Wide Table"/>
    <w:basedOn w:val="Normal"/>
    <w:rsid w:val="00F622F0"/>
    <w:pPr>
      <w:ind w:left="-1418"/>
    </w:pPr>
    <w:rPr>
      <w:sz w:val="2"/>
      <w:szCs w:val="2"/>
    </w:rPr>
  </w:style>
  <w:style w:type="character" w:styleId="PageNumber">
    <w:name w:val="page number"/>
    <w:basedOn w:val="DefaultParagraphFont"/>
    <w:rsid w:val="00F622F0"/>
  </w:style>
  <w:style w:type="paragraph" w:styleId="Quote">
    <w:name w:val="Quote"/>
    <w:basedOn w:val="Heading1"/>
    <w:link w:val="QuoteChar"/>
    <w:qFormat/>
    <w:rsid w:val="00F622F0"/>
    <w:rPr>
      <w:b w:val="0"/>
      <w:sz w:val="72"/>
      <w:szCs w:val="72"/>
      <w:lang w:val="en-NZ"/>
    </w:rPr>
  </w:style>
  <w:style w:type="character" w:customStyle="1" w:styleId="QuoteChar">
    <w:name w:val="Quote Char"/>
    <w:basedOn w:val="DefaultParagraphFont"/>
    <w:link w:val="Quote"/>
    <w:rsid w:val="00F62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2F0"/>
    <w:pPr>
      <w:pageBreakBefore/>
    </w:pPr>
  </w:style>
  <w:style w:type="paragraph" w:customStyle="1" w:styleId="Border">
    <w:name w:val="Border"/>
    <w:basedOn w:val="Normal"/>
    <w:qFormat/>
    <w:rsid w:val="00F62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2F0"/>
    <w:rPr>
      <w:b/>
      <w:bCs/>
      <w:i/>
      <w:iCs/>
      <w:color w:val="auto"/>
    </w:rPr>
  </w:style>
  <w:style w:type="paragraph" w:styleId="IntenseQuote">
    <w:name w:val="Intense Quote"/>
    <w:basedOn w:val="Normal"/>
    <w:next w:val="Normal"/>
    <w:link w:val="IntenseQuoteChar"/>
    <w:uiPriority w:val="30"/>
    <w:qFormat/>
    <w:rsid w:val="00F62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2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22F0"/>
    <w:rPr>
      <w:smallCaps/>
      <w:color w:val="auto"/>
      <w:u w:val="single"/>
    </w:rPr>
  </w:style>
  <w:style w:type="character" w:styleId="IntenseReference">
    <w:name w:val="Intense Reference"/>
    <w:basedOn w:val="DefaultParagraphFont"/>
    <w:uiPriority w:val="32"/>
    <w:qFormat/>
    <w:rsid w:val="00F622F0"/>
    <w:rPr>
      <w:b/>
      <w:bCs/>
      <w:smallCaps/>
      <w:color w:val="auto"/>
      <w:spacing w:val="5"/>
      <w:u w:val="single"/>
    </w:rPr>
  </w:style>
  <w:style w:type="paragraph" w:customStyle="1" w:styleId="2ColumnHeading">
    <w:name w:val="2Column Heading"/>
    <w:basedOn w:val="BodyText"/>
    <w:qFormat/>
    <w:rsid w:val="00F622F0"/>
    <w:pPr>
      <w:spacing w:after="60"/>
      <w:ind w:left="-2268"/>
    </w:pPr>
    <w:rPr>
      <w:b/>
    </w:rPr>
  </w:style>
  <w:style w:type="paragraph" w:customStyle="1" w:styleId="Heading1TOC">
    <w:name w:val="Heading1 TOC"/>
    <w:basedOn w:val="Normal"/>
    <w:qFormat/>
    <w:rsid w:val="00F622F0"/>
    <w:pPr>
      <w:spacing w:before="240" w:after="120"/>
    </w:pPr>
    <w:rPr>
      <w:rFonts w:ascii="Times New Roman" w:hAnsi="Times New Roman"/>
      <w:b/>
      <w:sz w:val="32"/>
    </w:rPr>
  </w:style>
  <w:style w:type="paragraph" w:customStyle="1" w:styleId="Heading2TOC">
    <w:name w:val="Heading2 TOC"/>
    <w:basedOn w:val="Normal"/>
    <w:qFormat/>
    <w:rsid w:val="00F622F0"/>
    <w:pPr>
      <w:spacing w:before="240" w:after="60"/>
    </w:pPr>
    <w:rPr>
      <w:rFonts w:ascii="Times New Roman" w:hAnsi="Times New Roman"/>
      <w:b/>
      <w:sz w:val="28"/>
    </w:rPr>
  </w:style>
  <w:style w:type="character" w:customStyle="1" w:styleId="Underline">
    <w:name w:val="Underline"/>
    <w:basedOn w:val="DefaultParagraphFont"/>
    <w:qFormat/>
    <w:rsid w:val="00F622F0"/>
    <w:rPr>
      <w:u w:val="single"/>
    </w:rPr>
  </w:style>
  <w:style w:type="paragraph" w:styleId="BalloonText">
    <w:name w:val="Balloon Text"/>
    <w:basedOn w:val="Normal"/>
    <w:link w:val="BalloonTextChar"/>
    <w:rsid w:val="00F622F0"/>
    <w:rPr>
      <w:rFonts w:ascii="Tahoma" w:hAnsi="Tahoma" w:cs="Tahoma"/>
      <w:sz w:val="16"/>
      <w:szCs w:val="16"/>
    </w:rPr>
  </w:style>
  <w:style w:type="character" w:customStyle="1" w:styleId="BalloonTextChar">
    <w:name w:val="Balloon Text Char"/>
    <w:basedOn w:val="DefaultParagraphFont"/>
    <w:link w:val="BalloonText"/>
    <w:rsid w:val="00F622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22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22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1622</Words>
  <Characters>10452</Characters>
  <Application>Microsoft Office Word</Application>
  <DocSecurity>0</DocSecurity>
  <Lines>363</Lines>
  <Paragraphs>191</Paragraphs>
  <ScaleCrop>false</ScaleCrop>
  <Company>Author-it Software Corporation Ltd.</Company>
  <LinksUpToDate>false</LinksUpToDate>
  <CharactersWithSpaces>11999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CPCCBC4027B Establish a basis for sales consulting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2012-05-26T05:17:00Z</dcterms:created>
  <dcterms:modified xsi:type="dcterms:W3CDTF">2012-05-26T05:17:00Z</dcterms:modified>
</cp:coreProperties>
</file>