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E83" w:rsidP="00044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CPC32912 Certificate III in Construction Crane Operations</w:t>
      </w:r>
      <w:r>
        <w:fldChar w:fldCharType="end"/>
      </w:r>
    </w:p>
    <w:p w:rsidR="00044E83" w:rsidP="00044E83">
      <w:pPr>
        <w:pStyle w:val="Version"/>
        <w:sectPr w:rsidSect="001E0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C67" w:rsidP="001E0C67">
      <w:pPr>
        <w:pStyle w:val="SuperHeading"/>
      </w:pPr>
      <w:r w:rsidRPr="001E0C67">
        <w:t>CPC32912 Certificate III in Construction Crane Operations</w:t>
      </w:r>
    </w:p>
    <w:p w:rsidR="00000000" w:rsidRPr="001E0C67" w:rsidP="001E0C67">
      <w:pPr>
        <w:pStyle w:val="Heading1"/>
      </w:pPr>
      <w:bookmarkStart w:id="1" w:name="O_940490"/>
      <w:bookmarkEnd w:id="1"/>
      <w:r w:rsidRPr="001E0C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4"/>
        <w:gridCol w:w="7122"/>
      </w:tblGrid>
      <w:tr w:rsidTr="00044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BodyText"/>
            </w:pPr>
            <w:r w:rsidRPr="001E0C67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Comment</w:t>
            </w:r>
          </w:p>
        </w:tc>
      </w:tr>
      <w:tr w:rsidTr="00044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This version first released with CPC08 Version 8.</w:t>
            </w:r>
          </w:p>
        </w:tc>
      </w:tr>
      <w:tr w:rsidTr="00044E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BodyText"/>
            </w:pPr>
            <w:r w:rsidRPr="001E0C67">
              <w:t>Update superseded imported units from elective list with equivalent current unit for:</w:t>
            </w:r>
          </w:p>
          <w:p w:rsidR="00000000" w:rsidRPr="001E0C67" w:rsidP="001E0C67">
            <w:pPr>
              <w:pStyle w:val="BodyText"/>
            </w:pPr>
            <w:r w:rsidRPr="001E0C67">
              <w:t>TLILIC2005A to TLILIC2005</w:t>
            </w:r>
          </w:p>
          <w:p w:rsidR="00000000" w:rsidRPr="001E0C67" w:rsidP="001E0C67">
            <w:pPr>
              <w:pStyle w:val="BodyText"/>
            </w:pPr>
            <w:r w:rsidRPr="001E0C67">
              <w:t>This version released with CPC08 Version 9.</w:t>
            </w:r>
            <w:r w:rsidRPr="001E0C67">
              <w:t>3.</w:t>
            </w:r>
          </w:p>
        </w:tc>
      </w:tr>
    </w:tbl>
    <w:p w:rsidR="00000000" w:rsidRPr="001E0C67" w:rsidP="001E0C67">
      <w:pPr>
        <w:pStyle w:val="BodyText"/>
      </w:pPr>
    </w:p>
    <w:p w:rsidR="00000000" w:rsidRPr="001E0C67" w:rsidP="001E0C67">
      <w:pPr>
        <w:pStyle w:val="AllowPageBreak"/>
      </w:pPr>
    </w:p>
    <w:p w:rsidR="00000000" w:rsidRPr="001E0C67" w:rsidP="001E0C67">
      <w:pPr>
        <w:pStyle w:val="Heading1"/>
      </w:pPr>
      <w:bookmarkStart w:id="2" w:name="O_940489"/>
      <w:bookmarkEnd w:id="2"/>
      <w:r w:rsidRPr="001E0C67">
        <w:t>Description</w:t>
      </w:r>
    </w:p>
    <w:p w:rsidR="00000000" w:rsidRPr="001E0C67" w:rsidP="001E0C67">
      <w:pPr>
        <w:pStyle w:val="BodyText"/>
      </w:pPr>
      <w:r w:rsidRPr="001E0C67">
        <w:t xml:space="preserve">This qualification provides a trade outcome in mobile crane operations in the residential and commercial construction industry. Due to the high </w:t>
      </w:r>
      <w:r w:rsidRPr="001E0C67">
        <w:t>risk nature of the job role, the qualification provides a strong focus on safety requirements.</w:t>
      </w:r>
    </w:p>
    <w:p w:rsidR="00000000" w:rsidRPr="001E0C67" w:rsidP="001E0C67">
      <w:pPr>
        <w:pStyle w:val="BodyText"/>
      </w:pPr>
    </w:p>
    <w:p w:rsidR="00000000" w:rsidRPr="001E0C67" w:rsidP="001E0C67">
      <w:pPr>
        <w:pStyle w:val="BodyText"/>
      </w:pPr>
      <w:r w:rsidRPr="001E0C67">
        <w:t>Occupational titles may include:</w:t>
      </w:r>
    </w:p>
    <w:p w:rsidR="00000000" w:rsidRPr="001E0C67" w:rsidP="001E0C67">
      <w:pPr>
        <w:pStyle w:val="ListBullet"/>
      </w:pPr>
      <w:r w:rsidRPr="001E0C67">
        <w:t>licensed crane operator.</w:t>
      </w:r>
    </w:p>
    <w:p w:rsidR="00000000" w:rsidRPr="001E0C67" w:rsidP="001E0C67">
      <w:pPr>
        <w:pStyle w:val="BodyText"/>
      </w:pPr>
    </w:p>
    <w:p w:rsidR="00000000" w:rsidRPr="001E0C67" w:rsidP="001E0C67">
      <w:pPr>
        <w:pStyle w:val="BodyText"/>
      </w:pPr>
      <w:r w:rsidRPr="001E0C67">
        <w:t>The qualification has core unit of competency requirements that cover common skills, as well as spec</w:t>
      </w:r>
      <w:r w:rsidRPr="001E0C67">
        <w:t>ialist skills for crane operators in two specialist streams:</w:t>
      </w:r>
    </w:p>
    <w:p w:rsidR="00000000" w:rsidRPr="001E0C67" w:rsidP="001E0C67">
      <w:pPr>
        <w:pStyle w:val="ListBullet"/>
      </w:pPr>
      <w:r w:rsidRPr="001E0C67">
        <w:t>Stream 1 20 tonne (C2) licence</w:t>
      </w:r>
    </w:p>
    <w:p w:rsidR="00000000" w:rsidRPr="001E0C67" w:rsidP="001E0C67">
      <w:pPr>
        <w:pStyle w:val="ListBullet"/>
      </w:pPr>
      <w:r w:rsidRPr="001E0C67">
        <w:t>Stream 2 60 tonne (C6) licence.</w:t>
      </w:r>
    </w:p>
    <w:p w:rsidR="00000000" w:rsidRPr="001E0C67" w:rsidP="001E0C67">
      <w:pPr>
        <w:pStyle w:val="BodyText"/>
      </w:pPr>
    </w:p>
    <w:p w:rsidR="00000000" w:rsidRPr="001E0C67" w:rsidP="001E0C67">
      <w:pPr>
        <w:pStyle w:val="BodyText"/>
      </w:pPr>
      <w:r w:rsidRPr="001E0C67">
        <w:t>Additional licensing for rigging and elevated work platforms is available depending on the choice of elective units of competency.</w:t>
      </w:r>
    </w:p>
    <w:p w:rsidR="00000000" w:rsidRPr="001E0C67" w:rsidP="001E0C67">
      <w:pPr>
        <w:pStyle w:val="BodyText"/>
      </w:pPr>
    </w:p>
    <w:p w:rsidR="00000000" w:rsidRPr="001E0C67" w:rsidP="001E0C67">
      <w:pPr>
        <w:pStyle w:val="BodyText"/>
      </w:pPr>
      <w:r w:rsidRPr="001E0C67">
        <w:t xml:space="preserve">The construction industry strongly affirms that training and assessment leading to recognition of skills must be undertaken in a real or very closely simulated workplace environment and this qualification requires all units of competency to be delivered </w:t>
      </w:r>
      <w:r w:rsidRPr="001E0C67">
        <w:t>in this context.</w:t>
      </w:r>
    </w:p>
    <w:p w:rsidR="00000000" w:rsidRPr="001E0C67" w:rsidP="001E0C67">
      <w:pPr>
        <w:pStyle w:val="BodyText"/>
      </w:pPr>
    </w:p>
    <w:p w:rsidR="00044E83" w:rsidP="001E0C67">
      <w:pPr>
        <w:pStyle w:val="BodyText"/>
      </w:pPr>
      <w:r w:rsidRPr="001E0C67">
        <w:t>Completion of the general induction training program specified by the National Code of Practice for Induction Training for Construction Work (ASCC 2007) is required before entering a construction work site. Achievement of unit CPCCOHS1001</w:t>
      </w:r>
      <w:r w:rsidRPr="001E0C67">
        <w:t>A covers this requirement.</w:t>
      </w:r>
    </w:p>
    <w:p w:rsidR="00044E83" w:rsidP="001E0C67">
      <w:pPr>
        <w:pStyle w:val="BodyText"/>
      </w:pPr>
    </w:p>
    <w:p w:rsidR="00000000" w:rsidRPr="001E0C67" w:rsidP="001E0C67">
      <w:pPr>
        <w:pStyle w:val="Heading1"/>
      </w:pPr>
      <w:bookmarkStart w:id="3" w:name="O_940488"/>
      <w:bookmarkEnd w:id="3"/>
      <w:r w:rsidRPr="001E0C67">
        <w:t>Pathways Information</w:t>
      </w:r>
    </w:p>
    <w:p w:rsidR="00000000" w:rsidRPr="001E0C67" w:rsidP="001E0C67">
      <w:pPr>
        <w:pStyle w:val="BodyText"/>
      </w:pPr>
      <w:r w:rsidRPr="001E0C67">
        <w:t>The following CPC08 qualifications provide a pathway into this qualification:</w:t>
      </w:r>
    </w:p>
    <w:p w:rsidR="00000000" w:rsidRPr="001E0C67" w:rsidP="001E0C67">
      <w:pPr>
        <w:pStyle w:val="ListBullet"/>
      </w:pPr>
      <w:r w:rsidRPr="001E0C67">
        <w:t>CPC20112 Certificate II in Construction</w:t>
      </w:r>
    </w:p>
    <w:p w:rsidR="00000000" w:rsidRPr="001E0C67" w:rsidP="001E0C67">
      <w:pPr>
        <w:pStyle w:val="ListBullet"/>
      </w:pPr>
      <w:r w:rsidRPr="001E0C67">
        <w:t>CPC30211 Certificate III in Carpentry</w:t>
      </w:r>
    </w:p>
    <w:p w:rsidR="00000000" w:rsidRPr="001E0C67" w:rsidP="001E0C67">
      <w:pPr>
        <w:pStyle w:val="ListBullet"/>
      </w:pPr>
      <w:r w:rsidRPr="001E0C67">
        <w:t>CPC30511 Certificate III in Doggi</w:t>
      </w:r>
      <w:r w:rsidRPr="001E0C67">
        <w:t>ng</w:t>
      </w:r>
    </w:p>
    <w:p w:rsidR="00000000" w:rsidRPr="001E0C67" w:rsidP="001E0C67">
      <w:pPr>
        <w:pStyle w:val="ListBullet"/>
      </w:pPr>
      <w:r w:rsidRPr="001E0C67">
        <w:t>CPC30711 Certificate III in Rigging.</w:t>
      </w:r>
    </w:p>
    <w:p w:rsidR="00000000" w:rsidRPr="001E0C67" w:rsidP="001E0C67">
      <w:pPr>
        <w:pStyle w:val="AllowPageBreak"/>
      </w:pPr>
    </w:p>
    <w:p w:rsidR="00000000" w:rsidRPr="001E0C67" w:rsidP="001E0C67">
      <w:pPr>
        <w:pStyle w:val="Heading1"/>
      </w:pPr>
      <w:bookmarkStart w:id="4" w:name="O_940487"/>
      <w:bookmarkEnd w:id="4"/>
      <w:r w:rsidRPr="001E0C67">
        <w:t>Licensing/Regulatory Information</w:t>
      </w:r>
    </w:p>
    <w:p w:rsidR="00000000" w:rsidRPr="001E0C67" w:rsidP="001E0C67">
      <w:pPr>
        <w:pStyle w:val="BodyText"/>
      </w:pPr>
      <w:r w:rsidRPr="001E0C67">
        <w:t>This qualification is recognised by the Crane Industry Council of Australia as entry-level national training for crane operators and is suitable for a traineeship.</w:t>
      </w:r>
    </w:p>
    <w:p w:rsidR="00000000" w:rsidRPr="001E0C67" w:rsidP="001E0C67">
      <w:pPr>
        <w:pStyle w:val="BodyText"/>
      </w:pPr>
    </w:p>
    <w:p w:rsidR="00044E83" w:rsidP="001E0C67">
      <w:pPr>
        <w:pStyle w:val="BodyText"/>
      </w:pPr>
      <w:r w:rsidRPr="001E0C67">
        <w:t>This is a licensed occupation. Users should check requirements with their relevant licensing authority.</w:t>
      </w:r>
    </w:p>
    <w:p w:rsidR="00044E83" w:rsidP="001E0C67">
      <w:pPr>
        <w:pStyle w:val="BodyText"/>
      </w:pPr>
    </w:p>
    <w:p w:rsidR="00000000" w:rsidRPr="001E0C67" w:rsidP="001E0C67">
      <w:pPr>
        <w:pStyle w:val="Heading1"/>
      </w:pPr>
      <w:bookmarkStart w:id="5" w:name="O_940486"/>
      <w:bookmarkEnd w:id="5"/>
      <w:r w:rsidRPr="001E0C67">
        <w:t>Entry Requirements</w:t>
      </w:r>
    </w:p>
    <w:p w:rsidR="00000000" w:rsidRPr="001E0C67" w:rsidP="001E0C67">
      <w:pPr>
        <w:pStyle w:val="BodyText"/>
      </w:pPr>
      <w:r w:rsidRPr="001E0C67">
        <w:t>Not applicable.</w:t>
      </w:r>
    </w:p>
    <w:p w:rsidR="00000000" w:rsidRPr="001E0C67" w:rsidP="001E0C67">
      <w:pPr>
        <w:pStyle w:val="AllowPageBreak"/>
      </w:pPr>
    </w:p>
    <w:p w:rsidR="00000000" w:rsidRPr="001E0C67" w:rsidP="001E0C67">
      <w:pPr>
        <w:pStyle w:val="Heading1"/>
      </w:pPr>
      <w:bookmarkStart w:id="6" w:name="O_940485"/>
      <w:bookmarkEnd w:id="6"/>
      <w:r w:rsidRPr="001E0C6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BodyText"/>
            </w:pPr>
            <w:r w:rsidRPr="001E0C67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 xml:space="preserve">Industry/enterprise requirements </w:t>
            </w:r>
            <w:r w:rsidRPr="001E0C67">
              <w:rPr>
                <w:rStyle w:val="SpecialBold"/>
              </w:rPr>
              <w:t>for this qualification include: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exchanges information with other team members in a way that contributes to safe, productive and harmonious relations</w:t>
            </w:r>
          </w:p>
          <w:p w:rsidR="00000000" w:rsidRPr="001E0C67" w:rsidP="001E0C67">
            <w:pPr>
              <w:pStyle w:val="ListBullet"/>
            </w:pPr>
            <w:r w:rsidRPr="001E0C67">
              <w:t xml:space="preserve">communicates at various stages with a range of site workers and visitors, including crane operators and dogmen, building tradespersons, work health and safety inspectors, local utility providers, and the general public </w:t>
            </w:r>
          </w:p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communicates ideas and information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works in tandem with dogmen</w:t>
            </w:r>
          </w:p>
          <w:p w:rsidR="00000000" w:rsidRPr="001E0C67" w:rsidP="001E0C67">
            <w:pPr>
              <w:pStyle w:val="ListBullet"/>
            </w:pPr>
            <w:r w:rsidRPr="001E0C67">
              <w:t>works as a team with other construction workers to minimise accidents</w:t>
            </w:r>
          </w:p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works effectively and sustainably with others in the construction industry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applies a broad range of techniques to solve logistic a</w:t>
            </w:r>
            <w:r w:rsidRPr="001E0C67">
              <w:t>nd safety problems when transporting and using cranes on work site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adapts to new situations</w:t>
            </w:r>
          </w:p>
          <w:p w:rsidR="00000000" w:rsidRPr="001E0C67" w:rsidP="001E0C67">
            <w:pPr>
              <w:pStyle w:val="ListBullet"/>
            </w:pPr>
            <w:r w:rsidRPr="001E0C67">
              <w:t>generates options in response to site inspections and project briefs</w:t>
            </w:r>
          </w:p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applies fatigue management strategies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reallocates crane usage depending on available labour, weather and material delivery schedule</w:t>
            </w:r>
          </w:p>
          <w:p w:rsidR="00000000" w:rsidRPr="001E0C67" w:rsidP="001E0C67">
            <w:pPr>
              <w:pStyle w:val="ListBullet"/>
            </w:pPr>
            <w:r w:rsidRPr="001E0C67">
              <w:t>collects and analyses construction site information</w:t>
            </w:r>
          </w:p>
          <w:p w:rsidR="00000000" w:rsidRPr="001E0C67" w:rsidP="001E0C67">
            <w:pPr>
              <w:pStyle w:val="ListBullet"/>
            </w:pPr>
            <w:r w:rsidRPr="001E0C67">
              <w:t>plans and undertakes site inspections</w:t>
            </w:r>
          </w:p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manages time and priorities as part of fatigue management strategies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Se</w:t>
            </w:r>
            <w:r w:rsidRPr="001E0C67">
              <w:rPr>
                <w:rStyle w:val="SpecialBold"/>
              </w:rPr>
              <w:t>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manages own professional development by setting personal goals</w:t>
            </w:r>
          </w:p>
          <w:p w:rsidR="00000000" w:rsidRPr="001E0C67" w:rsidP="001E0C67">
            <w:pPr>
              <w:pStyle w:val="ListBullet"/>
            </w:pPr>
            <w:r w:rsidRPr="001E0C67">
              <w:t>evaluates and monitors own performance and takes responsibility for own actions</w:t>
            </w:r>
          </w:p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selects and uses appropriate personal protective equipment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contributes to ongoing improvement in own and company operations and outcomes</w:t>
            </w:r>
          </w:p>
          <w:p w:rsidR="00000000" w:rsidRPr="001E0C67" w:rsidP="001E0C67">
            <w:pPr>
              <w:pStyle w:val="ListBullet"/>
            </w:pPr>
            <w:r w:rsidRPr="001E0C67">
              <w:t>contributes to the learning community in the workplace</w:t>
            </w:r>
          </w:p>
          <w:p w:rsidR="00000000" w:rsidP="001E0C67">
            <w:pPr>
              <w:pStyle w:val="ListBullet"/>
              <w:rPr>
                <w:lang w:val="en-NZ"/>
              </w:rPr>
            </w:pPr>
            <w:r w:rsidRPr="001E0C67">
              <w:t>invests time and effort in learning new skills to accommodate change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ListBullet"/>
            </w:pPr>
            <w:r w:rsidRPr="001E0C67">
              <w:t>carries out work tasks using the latest t</w:t>
            </w:r>
            <w:r w:rsidRPr="001E0C67">
              <w:t>echniques and technology to ensure greater efficiency and productivity</w:t>
            </w:r>
          </w:p>
          <w:p w:rsidR="00000000" w:rsidRPr="001E0C67" w:rsidP="001E0C67">
            <w:pPr>
              <w:pStyle w:val="ListBullet"/>
            </w:pPr>
            <w:r w:rsidRPr="001E0C67">
              <w:t>demonstrates proficiency with computer consoles on modern cranes</w:t>
            </w:r>
          </w:p>
          <w:p w:rsidR="00000000" w:rsidRPr="001E0C67" w:rsidP="001E0C67">
            <w:pPr>
              <w:pStyle w:val="ListBullet"/>
            </w:pPr>
            <w:r w:rsidRPr="001E0C67">
              <w:t>uses a range of devices and media when communicating</w:t>
            </w:r>
          </w:p>
        </w:tc>
      </w:tr>
    </w:tbl>
    <w:p w:rsidR="00044E83" w:rsidP="001E0C67">
      <w:pPr>
        <w:pStyle w:val="BodyText"/>
      </w:pPr>
    </w:p>
    <w:p w:rsidR="00044E83" w:rsidP="001E0C67">
      <w:pPr>
        <w:pStyle w:val="BodyText"/>
      </w:pPr>
    </w:p>
    <w:p w:rsidR="00000000" w:rsidRPr="001E0C67" w:rsidP="001E0C67">
      <w:pPr>
        <w:pStyle w:val="Heading1"/>
      </w:pPr>
      <w:bookmarkStart w:id="7" w:name="O_940484"/>
      <w:bookmarkEnd w:id="7"/>
      <w:r w:rsidRPr="001E0C6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8"/>
        <w:gridCol w:w="732"/>
        <w:gridCol w:w="6312"/>
      </w:tblGrid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BodyText"/>
            </w:pPr>
            <w:r w:rsidRPr="001E0C67">
              <w:t>To achieve this qualification, the candidate must demonstrate competency in:</w:t>
            </w:r>
          </w:p>
          <w:p w:rsidR="00000000" w:rsidRPr="001E0C67" w:rsidP="001E0C67">
            <w:pPr>
              <w:pStyle w:val="ListBullet"/>
            </w:pPr>
            <w:r w:rsidRPr="001E0C67">
              <w:t>23 units of competency:</w:t>
            </w:r>
          </w:p>
          <w:p w:rsidR="00000000" w:rsidRPr="001E0C67" w:rsidP="001E0C67">
            <w:pPr>
              <w:pStyle w:val="ListBullet2"/>
            </w:pPr>
            <w:r w:rsidRPr="001E0C67">
              <w:t>20 core units</w:t>
            </w:r>
          </w:p>
          <w:p w:rsidR="00000000" w:rsidRPr="001E0C67" w:rsidP="001E0C67">
            <w:pPr>
              <w:pStyle w:val="ListBullet2"/>
            </w:pPr>
            <w:r w:rsidRPr="001E0C67">
              <w:t>3 elective units.</w:t>
            </w:r>
          </w:p>
          <w:p w:rsidR="00000000" w:rsidRPr="001E0C67" w:rsidP="001E0C67">
            <w:pPr>
              <w:pStyle w:val="BodyText"/>
            </w:pPr>
            <w:r w:rsidRPr="001E0C67">
              <w:t>Some units in this qualification have prerequisite requirements, which must be met when packaging the qualification. User</w:t>
            </w:r>
            <w:r w:rsidRPr="001E0C67">
              <w:t>s are referred to the list of CPC08 units with prerequisite unit requirements available in this Training Package for this purpose.</w:t>
            </w:r>
          </w:p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Core units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BSBCUS301B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Deliver and monitor a service to customers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CPCCCM1012A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Work effectively and sustainably in the construction industry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CPCCCM1013A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Plan and organise work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CPCCCM1014A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Conduct workplace communication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CPCCCM2001A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Read and interpret plans and specifications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CPCCCM2004A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Handle construction materials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CPCCCM2010B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Work safely at heights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CPCCCM3001C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Operate elevated work platforms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CPCCCM3003A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Work safely around power sources, services and assets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CPCCDO3012A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Perform crane scheduling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CPCCLDG3001A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Licence to perform dogging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CPCCOHS2001A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Apply OHS requirements, policies and procedures in the construction industry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TLIB3011A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Set up and rig crane for lift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TLIB3013A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Maintain mobile cranes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TLIB3015A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Undertake site inspection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TLIF2006A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Apply accident-emergency procedures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TLIF2010A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Apply fatigue management strategies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TLIF3084A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Follow mobile crane safety procedures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TLILIC2016A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Licence to drive heavy rigid vehicle*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PLUS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BoldandItalics"/>
              </w:rPr>
              <w:t>Stream 1 20 tonne (C2) licence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TLILIC3008A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Licence to operate a slewing mobile crane (up to 20 tonnes)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OR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BoldandItalics"/>
              </w:rPr>
              <w:t>Stream 2 60 tonne (C6) licence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E0C67" w:rsidP="001E0C67">
            <w:pPr>
              <w:pStyle w:val="BodyText"/>
            </w:pPr>
          </w:p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TLILIC4009A</w:t>
            </w:r>
          </w:p>
        </w:tc>
        <w:tc>
          <w:tcPr>
            <w:tcW w:w="7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Licence to operate a slewing mobile crane (up to 60 tonnes)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* It is a prerequisite of the core unit TLILIC2016A Licence to drive heavy rigid vehicle that candidates hold a current Class C drivers licence (for at least 2 years).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rPr>
                <w:rStyle w:val="SpecialBold"/>
              </w:rPr>
              <w:t>Elective units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Carry out measurements and calculations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CPCCDO3011A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Perform dogging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CPCCLRG3001A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Licence to perform rigging basic level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CPCCRI3012A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Perform basic rigging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CPCCRI3013A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Perform intermediate rigging</w:t>
            </w:r>
          </w:p>
        </w:tc>
      </w:tr>
      <w:tr w:rsidTr="001E0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67">
            <w:pPr>
              <w:pStyle w:val="BodyText"/>
              <w:rPr>
                <w:lang w:val="en-NZ"/>
              </w:rPr>
            </w:pPr>
            <w:r w:rsidRPr="001E0C67">
              <w:t>TLILIC2005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67" w:rsidP="001E0C67">
            <w:pPr>
              <w:pStyle w:val="BodyText"/>
            </w:pPr>
            <w:r w:rsidRPr="001E0C67">
              <w:t>Licence to operate a boom-type elevated work platform (boom length 11 meters or m</w:t>
            </w:r>
            <w:r w:rsidRPr="001E0C67">
              <w:t>ore)</w:t>
            </w:r>
          </w:p>
        </w:tc>
      </w:tr>
    </w:tbl>
    <w:p w:rsidR="00044E83" w:rsidP="001E0C67">
      <w:pPr>
        <w:pStyle w:val="BodyText"/>
      </w:pPr>
    </w:p>
    <w:p w:rsidR="00044E83" w:rsidP="001E0C67">
      <w:pPr>
        <w:pStyle w:val="BodyText"/>
      </w:pPr>
    </w:p>
    <w:p w:rsidR="00000000" w:rsidRPr="001E0C67" w:rsidP="001E0C67">
      <w:pPr>
        <w:pStyle w:val="Heading1"/>
      </w:pPr>
      <w:bookmarkStart w:id="8" w:name="O_940483"/>
      <w:bookmarkEnd w:id="8"/>
      <w:r w:rsidRPr="001E0C67">
        <w:t>Custom Content Section</w:t>
      </w:r>
    </w:p>
    <w:p w:rsidR="00000000" w:rsidRPr="001E0C67" w:rsidP="001E0C67">
      <w:pPr>
        <w:pStyle w:val="BodyText"/>
      </w:pPr>
      <w:r w:rsidRPr="001E0C67">
        <w:t>Not applicable.</w:t>
      </w:r>
    </w:p>
    <w:p w:rsidR="00000000" w:rsidRPr="001E0C67" w:rsidP="001E0C67"/>
    <w:sectPr w:rsidSect="001E0C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67" w:rsidRPr="00044E83" w:rsidP="00044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83" w:rsidP="001E0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E83" w:rsidP="001E0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44E83" w:rsidP="001E0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C67" w:rsidRPr="00044E83" w:rsidP="00044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83" w:rsidRPr="002D2AF8" w:rsidP="001E0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CPC32912 Certificate III in Construction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044E83" w:rsidP="001E0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AC8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86A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AA1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C67"/>
  </w:style>
  <w:style w:type="character" w:customStyle="1" w:styleId="Heading1Char">
    <w:name w:val="Heading 1 Char"/>
    <w:basedOn w:val="DefaultParagraphFont"/>
    <w:link w:val="Heading1"/>
    <w:rsid w:val="001E0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C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C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C67"/>
    <w:rPr>
      <w:b/>
      <w:spacing w:val="0"/>
    </w:rPr>
  </w:style>
  <w:style w:type="paragraph" w:styleId="ListBullet2">
    <w:name w:val="List Bullet 2"/>
    <w:basedOn w:val="List2"/>
    <w:rsid w:val="001E0C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E0C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0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C67"/>
    <w:rPr>
      <w:i/>
    </w:rPr>
  </w:style>
  <w:style w:type="paragraph" w:styleId="Caption">
    <w:name w:val="caption"/>
    <w:basedOn w:val="BodyText"/>
    <w:next w:val="Normal"/>
    <w:qFormat/>
    <w:rsid w:val="001E0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C67"/>
  </w:style>
  <w:style w:type="paragraph" w:styleId="TableofFigures">
    <w:name w:val="table of figures"/>
    <w:basedOn w:val="Normal"/>
    <w:next w:val="Normal"/>
    <w:semiHidden/>
    <w:rsid w:val="001E0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C67"/>
    <w:pPr>
      <w:numPr>
        <w:numId w:val="11"/>
      </w:numPr>
    </w:pPr>
  </w:style>
  <w:style w:type="character" w:customStyle="1" w:styleId="WingdingSymbols">
    <w:name w:val="Wingding Symbols"/>
    <w:rsid w:val="001E0C67"/>
    <w:rPr>
      <w:rFonts w:ascii="Wingdings" w:hAnsi="Wingdings"/>
    </w:rPr>
  </w:style>
  <w:style w:type="paragraph" w:customStyle="1" w:styleId="TableHeading">
    <w:name w:val="Table Heading"/>
    <w:basedOn w:val="HeadingBase"/>
    <w:rsid w:val="001E0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C67"/>
    <w:rPr>
      <w:color w:val="0033CC"/>
      <w:u w:val="none"/>
    </w:rPr>
  </w:style>
  <w:style w:type="paragraph" w:customStyle="1" w:styleId="BodyTextRight">
    <w:name w:val="Body Text Right"/>
    <w:basedOn w:val="BodyText"/>
    <w:rsid w:val="001E0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C67"/>
    <w:rPr>
      <w:sz w:val="32"/>
    </w:rPr>
  </w:style>
  <w:style w:type="paragraph" w:customStyle="1" w:styleId="HeadingProcedure">
    <w:name w:val="Heading Procedure"/>
    <w:basedOn w:val="HeadingBase"/>
    <w:next w:val="Normal"/>
    <w:rsid w:val="001E0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C67"/>
    <w:pPr>
      <w:spacing w:before="60" w:after="60"/>
    </w:pPr>
  </w:style>
  <w:style w:type="paragraph" w:styleId="ListContinue">
    <w:name w:val="List Continue"/>
    <w:basedOn w:val="List"/>
    <w:rsid w:val="001E0C67"/>
    <w:pPr>
      <w:ind w:firstLine="0"/>
    </w:pPr>
  </w:style>
  <w:style w:type="paragraph" w:customStyle="1" w:styleId="ListNote">
    <w:name w:val="List Note"/>
    <w:basedOn w:val="List"/>
    <w:rsid w:val="001E0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C67"/>
    <w:rPr>
      <w:rFonts w:ascii="Courier New" w:hAnsi="Courier New"/>
    </w:rPr>
  </w:style>
  <w:style w:type="paragraph" w:customStyle="1" w:styleId="NoteBullet">
    <w:name w:val="Note Bullet"/>
    <w:basedOn w:val="Note"/>
    <w:rsid w:val="001E0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C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0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C67"/>
    <w:rPr>
      <w:b/>
      <w:smallCaps/>
    </w:rPr>
  </w:style>
  <w:style w:type="paragraph" w:customStyle="1" w:styleId="TableListNumber">
    <w:name w:val="Table List Number"/>
    <w:basedOn w:val="ListNumber"/>
    <w:rsid w:val="001E0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C67"/>
    <w:pPr>
      <w:numPr>
        <w:numId w:val="9"/>
      </w:numPr>
    </w:pPr>
  </w:style>
  <w:style w:type="paragraph" w:customStyle="1" w:styleId="ListAlpha2">
    <w:name w:val="List Alpha 2"/>
    <w:basedOn w:val="List2"/>
    <w:rsid w:val="001E0C67"/>
    <w:pPr>
      <w:numPr>
        <w:numId w:val="8"/>
      </w:numPr>
    </w:pPr>
  </w:style>
  <w:style w:type="paragraph" w:styleId="List2">
    <w:name w:val="List 2"/>
    <w:basedOn w:val="BodyText"/>
    <w:rsid w:val="001E0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C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C67"/>
    <w:pPr>
      <w:numPr>
        <w:numId w:val="4"/>
      </w:numPr>
    </w:pPr>
  </w:style>
  <w:style w:type="paragraph" w:styleId="ListContinue2">
    <w:name w:val="List Continue 2"/>
    <w:basedOn w:val="List2"/>
    <w:rsid w:val="001E0C67"/>
    <w:pPr>
      <w:ind w:firstLine="0"/>
    </w:pPr>
  </w:style>
  <w:style w:type="paragraph" w:styleId="ListContinue3">
    <w:name w:val="List Continue 3"/>
    <w:basedOn w:val="List3"/>
    <w:rsid w:val="001E0C67"/>
    <w:pPr>
      <w:ind w:left="1021" w:firstLine="0"/>
    </w:pPr>
  </w:style>
  <w:style w:type="paragraph" w:styleId="ListContinue4">
    <w:name w:val="List Continue 4"/>
    <w:basedOn w:val="List4"/>
    <w:rsid w:val="001E0C67"/>
    <w:pPr>
      <w:ind w:firstLine="0"/>
    </w:pPr>
  </w:style>
  <w:style w:type="paragraph" w:styleId="ListContinue5">
    <w:name w:val="List Continue 5"/>
    <w:basedOn w:val="List5"/>
    <w:rsid w:val="001E0C67"/>
    <w:pPr>
      <w:ind w:firstLine="0"/>
    </w:pPr>
  </w:style>
  <w:style w:type="paragraph" w:styleId="ListNumber3">
    <w:name w:val="List Number 3"/>
    <w:basedOn w:val="List3"/>
    <w:rsid w:val="001E0C67"/>
    <w:pPr>
      <w:numPr>
        <w:numId w:val="5"/>
      </w:numPr>
    </w:pPr>
  </w:style>
  <w:style w:type="paragraph" w:styleId="ListNumber4">
    <w:name w:val="List Number 4"/>
    <w:basedOn w:val="List4"/>
    <w:rsid w:val="001E0C67"/>
    <w:pPr>
      <w:numPr>
        <w:numId w:val="6"/>
      </w:numPr>
    </w:pPr>
  </w:style>
  <w:style w:type="paragraph" w:styleId="ListNumber5">
    <w:name w:val="List Number 5"/>
    <w:basedOn w:val="List5"/>
    <w:rsid w:val="001E0C67"/>
    <w:pPr>
      <w:numPr>
        <w:numId w:val="7"/>
      </w:numPr>
    </w:pPr>
  </w:style>
  <w:style w:type="paragraph" w:styleId="BlockText">
    <w:name w:val="Block Text"/>
    <w:basedOn w:val="Normal"/>
    <w:rsid w:val="001E0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C67"/>
    <w:rPr>
      <w:sz w:val="16"/>
      <w:vertAlign w:val="superscript"/>
    </w:rPr>
  </w:style>
  <w:style w:type="character" w:customStyle="1" w:styleId="Symbols">
    <w:name w:val="Symbols"/>
    <w:basedOn w:val="DefaultParagraphFont"/>
    <w:rsid w:val="001E0C67"/>
    <w:rPr>
      <w:rFonts w:ascii="Symbol" w:hAnsi="Symbol"/>
    </w:rPr>
  </w:style>
  <w:style w:type="character" w:customStyle="1" w:styleId="MenuOptions">
    <w:name w:val="Menu Options"/>
    <w:basedOn w:val="DefaultParagraphFont"/>
    <w:rsid w:val="001E0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C67"/>
    <w:rPr>
      <w:b/>
    </w:rPr>
  </w:style>
  <w:style w:type="character" w:customStyle="1" w:styleId="Underlined">
    <w:name w:val="Underlined"/>
    <w:basedOn w:val="DefaultParagraphFont"/>
    <w:rsid w:val="001E0C67"/>
    <w:rPr>
      <w:u w:val="single"/>
    </w:rPr>
  </w:style>
  <w:style w:type="paragraph" w:customStyle="1" w:styleId="TableBodyTextRight">
    <w:name w:val="Table Body Text Right"/>
    <w:basedOn w:val="TableBodyText"/>
    <w:rsid w:val="001E0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C67"/>
    <w:rPr>
      <w:sz w:val="18"/>
    </w:rPr>
  </w:style>
  <w:style w:type="paragraph" w:customStyle="1" w:styleId="BodySmallRight">
    <w:name w:val="Body Small Right"/>
    <w:basedOn w:val="BodyTextRight"/>
    <w:rsid w:val="001E0C67"/>
    <w:rPr>
      <w:sz w:val="18"/>
      <w:szCs w:val="18"/>
    </w:rPr>
  </w:style>
  <w:style w:type="paragraph" w:customStyle="1" w:styleId="MarginEdition">
    <w:name w:val="Margin Edition"/>
    <w:basedOn w:val="MarginNote"/>
    <w:rsid w:val="001E0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C67"/>
    <w:rPr>
      <w:sz w:val="2"/>
      <w:szCs w:val="2"/>
    </w:rPr>
  </w:style>
  <w:style w:type="character" w:customStyle="1" w:styleId="Small">
    <w:name w:val="Small"/>
    <w:basedOn w:val="DefaultParagraphFont"/>
    <w:rsid w:val="001E0C67"/>
    <w:rPr>
      <w:sz w:val="16"/>
    </w:rPr>
  </w:style>
  <w:style w:type="paragraph" w:customStyle="1" w:styleId="WideTable">
    <w:name w:val="Wide Table"/>
    <w:basedOn w:val="Normal"/>
    <w:rsid w:val="001E0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C67"/>
  </w:style>
  <w:style w:type="paragraph" w:styleId="Quote">
    <w:name w:val="Quote"/>
    <w:basedOn w:val="Heading1"/>
    <w:link w:val="QuoteChar"/>
    <w:qFormat/>
    <w:rsid w:val="001E0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C67"/>
    <w:pPr>
      <w:pageBreakBefore/>
    </w:pPr>
  </w:style>
  <w:style w:type="paragraph" w:customStyle="1" w:styleId="Border">
    <w:name w:val="Border"/>
    <w:basedOn w:val="Normal"/>
    <w:qFormat/>
    <w:rsid w:val="001E0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C67"/>
    <w:rPr>
      <w:u w:val="single"/>
    </w:rPr>
  </w:style>
  <w:style w:type="paragraph" w:styleId="BalloonText">
    <w:name w:val="Balloon Text"/>
    <w:basedOn w:val="Normal"/>
    <w:link w:val="BalloonTextChar"/>
    <w:rsid w:val="001E0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C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C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5331</Characters>
  <Application>Microsoft Office Word</Application>
  <DocSecurity>0</DocSecurity>
  <Lines>200</Lines>
  <Paragraphs>136</Paragraphs>
  <ScaleCrop>false</ScaleCrop>
  <Company>Author-it Software Corporation Ltd.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CPC32912 Certificate III in Construction Crane Operations</dc:title>
  <dc:subject>Approved</dc:subject>
  <dc:creator>Artibus Innovation</dc:creator>
  <cp:keywords>Release: 2</cp:keywords>
  <dc:description>Review Date: 12 April 2008</dc:description>
  <cp:lastModifiedBy>TPCMS</cp:lastModifiedBy>
  <cp:revision>3</cp:revision>
  <dcterms:created xsi:type="dcterms:W3CDTF">2017-01-17T11:18:00Z</dcterms:created>
  <dcterms:modified xsi:type="dcterms:W3CDTF">2017-01-17T11:18:00Z</dcterms:modified>
</cp:coreProperties>
</file>