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21C" w:rsidP="008A4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CPCSPS4010 Lay swimming pool and spa coping</w:t>
      </w:r>
      <w:r>
        <w:fldChar w:fldCharType="end"/>
      </w:r>
    </w:p>
    <w:p w:rsidR="008A421C" w:rsidP="008A421C">
      <w:pPr>
        <w:pStyle w:val="Version"/>
        <w:sectPr w:rsidSect="00711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11257" w:rsidP="00711257">
      <w:pPr>
        <w:pStyle w:val="SuperHeading"/>
      </w:pPr>
      <w:r w:rsidRPr="00711257">
        <w:t>CPCSPS4010 Lay swimming pool and spa coping</w:t>
      </w:r>
    </w:p>
    <w:p w:rsidR="00000000" w:rsidRPr="00711257" w:rsidP="00711257">
      <w:pPr>
        <w:pStyle w:val="Heading1"/>
      </w:pPr>
      <w:bookmarkStart w:id="1" w:name="O_1157460"/>
      <w:bookmarkEnd w:id="1"/>
      <w:r w:rsidRPr="00711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Release 2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57" w:rsidP="00711257">
            <w:pPr>
              <w:pStyle w:val="BodyText"/>
            </w:pPr>
            <w:r w:rsidRPr="00711257">
              <w:t>This version first released with CPC Construction, Plumbing and Services Training Package Release 5.1.</w:t>
            </w:r>
          </w:p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Performance Evidence corrected for clarity.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57" w:rsidP="00711257">
            <w:pPr>
              <w:pStyle w:val="BodyText"/>
            </w:pPr>
            <w:r w:rsidRPr="00711257">
              <w:t>This version first released with CPC Construction, Plumbi</w:t>
            </w:r>
            <w:r w:rsidRPr="00711257">
              <w:t>ng and Services Training Package Release 5.0.</w:t>
            </w:r>
          </w:p>
          <w:p w:rsidR="00000000" w:rsidRPr="00711257" w:rsidP="00711257">
            <w:pPr>
              <w:pStyle w:val="BodyText"/>
            </w:pPr>
            <w:r w:rsidRPr="00711257">
              <w:t>New unit.</w:t>
            </w:r>
          </w:p>
        </w:tc>
      </w:tr>
    </w:tbl>
    <w:p w:rsidR="00000000" w:rsidRPr="00711257" w:rsidP="00711257">
      <w:pPr>
        <w:pStyle w:val="BodyText"/>
      </w:pPr>
    </w:p>
    <w:p w:rsidR="00000000" w:rsidRPr="00711257" w:rsidP="00711257">
      <w:pPr>
        <w:pStyle w:val="AllowPageBreak"/>
      </w:pPr>
    </w:p>
    <w:p w:rsidR="00000000" w:rsidRPr="00711257" w:rsidP="00711257">
      <w:pPr>
        <w:pStyle w:val="Heading1"/>
      </w:pPr>
      <w:bookmarkStart w:id="2" w:name="O_1157459"/>
      <w:bookmarkEnd w:id="2"/>
      <w:r w:rsidRPr="00711257">
        <w:t>Application</w:t>
      </w:r>
    </w:p>
    <w:p w:rsidR="00000000" w:rsidRPr="00711257" w:rsidP="008A421C">
      <w:pPr>
        <w:pStyle w:val="BodyText"/>
      </w:pPr>
      <w:r w:rsidRPr="00711257">
        <w:t>This unit specifies the skills and knowledge required to lay different types of coping finishes to swimming pools and spas.</w:t>
      </w:r>
    </w:p>
    <w:p w:rsidR="00000000" w:rsidRPr="00711257" w:rsidP="008A421C">
      <w:pPr>
        <w:pStyle w:val="BodyText"/>
      </w:pPr>
      <w:r w:rsidRPr="00711257">
        <w:t>This unit reflects the role of those who ar</w:t>
      </w:r>
      <w:r w:rsidRPr="00711257">
        <w:t>e responsible for the laying and finishing of coping to variously shaped swimming pools and spas. It applies in a range of contexts:</w:t>
      </w:r>
    </w:p>
    <w:p w:rsidR="00000000" w:rsidRPr="00711257" w:rsidP="00711257">
      <w:pPr>
        <w:pStyle w:val="ListBullet"/>
      </w:pPr>
      <w:r w:rsidRPr="00711257">
        <w:t>private swimming pools</w:t>
      </w:r>
    </w:p>
    <w:p w:rsidR="00000000" w:rsidRPr="00711257" w:rsidP="00711257">
      <w:pPr>
        <w:pStyle w:val="ListBullet"/>
      </w:pPr>
      <w:r w:rsidRPr="00711257">
        <w:t>public swimming pools, including:</w:t>
      </w:r>
    </w:p>
    <w:p w:rsidR="00000000" w:rsidRPr="00711257" w:rsidP="00711257">
      <w:pPr>
        <w:pStyle w:val="ListBullet2"/>
      </w:pPr>
      <w:r w:rsidRPr="00711257">
        <w:t>hydrotherapy and therapeutic exercise pools</w:t>
      </w:r>
    </w:p>
    <w:p w:rsidR="00000000" w:rsidRPr="00711257" w:rsidP="00711257">
      <w:pPr>
        <w:pStyle w:val="ListBullet2"/>
      </w:pPr>
      <w:r w:rsidRPr="00711257">
        <w:t>wading and receiving pools associated with water slides</w:t>
      </w:r>
    </w:p>
    <w:p w:rsidR="00000000" w:rsidRPr="00711257" w:rsidP="00711257">
      <w:pPr>
        <w:pStyle w:val="ListBullet2"/>
      </w:pPr>
      <w:r w:rsidRPr="00711257">
        <w:t>wave pools.</w:t>
      </w:r>
    </w:p>
    <w:p w:rsidR="00000000" w:rsidRPr="00711257" w:rsidP="008A421C">
      <w:pPr>
        <w:pStyle w:val="BodyText"/>
      </w:pPr>
      <w:r w:rsidRPr="00711257">
        <w:t>This unit is suitable for those using specialised knowledge to complete routine and non-routine tasks, and their own judgement to deal with predictable and sometimes unpredictable problems</w:t>
      </w:r>
      <w:r w:rsidRPr="00711257">
        <w:t>.</w:t>
      </w:r>
    </w:p>
    <w:p w:rsidR="00000000" w:rsidRPr="00711257" w:rsidP="008A421C">
      <w:pPr>
        <w:pStyle w:val="BodyText"/>
      </w:pPr>
      <w:r w:rsidRPr="00711257">
        <w:t>No licensing or certification requirements apply to this unit at the time of publication.</w:t>
      </w:r>
    </w:p>
    <w:p w:rsidR="00000000" w:rsidRPr="00711257" w:rsidP="00711257">
      <w:pPr>
        <w:pStyle w:val="Heading1"/>
      </w:pPr>
      <w:bookmarkStart w:id="3" w:name="O_1157458"/>
      <w:bookmarkEnd w:id="3"/>
      <w:r w:rsidRPr="00711257">
        <w:t>Pre-requisite Unit</w:t>
      </w:r>
    </w:p>
    <w:p w:rsidR="00000000" w:rsidRPr="00711257" w:rsidP="008A421C">
      <w:pPr>
        <w:pStyle w:val="BodyText"/>
      </w:pPr>
      <w:r w:rsidRPr="00711257">
        <w:t>Nil.</w:t>
      </w:r>
    </w:p>
    <w:p w:rsidR="00000000" w:rsidRPr="00711257" w:rsidP="00711257">
      <w:pPr>
        <w:pStyle w:val="Heading1"/>
      </w:pPr>
      <w:bookmarkStart w:id="4" w:name="O_1157457"/>
      <w:bookmarkEnd w:id="4"/>
      <w:r w:rsidRPr="00711257">
        <w:t>Unit Sector</w:t>
      </w:r>
    </w:p>
    <w:p w:rsidR="00000000" w:rsidRPr="00711257" w:rsidP="008A421C">
      <w:pPr>
        <w:pStyle w:val="BodyText"/>
      </w:pPr>
      <w:r w:rsidRPr="00711257">
        <w:t>Swimming Pool and Spa Building</w:t>
      </w:r>
    </w:p>
    <w:p w:rsidR="00000000" w:rsidRPr="00711257" w:rsidP="00711257">
      <w:pPr>
        <w:pStyle w:val="Heading1"/>
      </w:pPr>
      <w:bookmarkStart w:id="5" w:name="O_1157456"/>
      <w:bookmarkEnd w:id="5"/>
      <w:r w:rsidRPr="007112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 xml:space="preserve">Elements describe the </w:t>
            </w:r>
            <w:r w:rsidRPr="00711257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 xml:space="preserve">Performance criteria describe what needs to be done to </w:t>
            </w:r>
            <w:r w:rsidRPr="00711257">
              <w:t>demonstrate achievement of the element.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Plan to lay swimming pool and spa coping.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Access, read and interpret relevant swimming pools and spas coping i</w:t>
            </w:r>
            <w:r w:rsidRPr="00711257">
              <w:t>nformation from plans, specifications, codes and standards.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Interpret and apply work health and safety and environmental requirements.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Confirm type of material, pattern and finish for swimming pool and spa coping.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 xml:space="preserve">Calculate specified coping and material quantities. 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Determine job priorities and sequence job tasks and timelines in consultation with others on site.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Schedule delivery of material and required plant and equipment.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Prepare for the coping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Select, fit and use personal protective equipment appropriate to activity.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Check materials for damage, quality and compliance with work specifications.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Check plant and equipment for serviceability.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Prepare surfaces for coping as specified and stated in manufacturer requirements.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Lay coping.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Set out finished height, width, levels, falls and pattern for coping.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Mix and apply adhesives or cement as stated in manufacturer specifications.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 xml:space="preserve">Lay coping to ensure colours are blended, overhang into pool and spa is 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Install expansion joints to comply with standards and manufacturer recommendations.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 xml:space="preserve">Clean coping surface using recommended products and apply sealants as specified. 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Clear the work area and reuse, recycle or dispose of materials in accordance with workplace and environmental requirements.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57" w:rsidP="00711257">
            <w:pPr>
              <w:pStyle w:val="BodyText"/>
            </w:pPr>
            <w:r w:rsidRPr="00711257">
              <w:t>Clean tools and equipment, check for serviceability, report any damage or faults and store and secure.</w:t>
            </w:r>
          </w:p>
        </w:tc>
      </w:tr>
    </w:tbl>
    <w:p w:rsidR="00000000" w:rsidRPr="00711257" w:rsidP="00711257">
      <w:pPr>
        <w:pStyle w:val="BodyText"/>
      </w:pPr>
    </w:p>
    <w:p w:rsidR="00000000" w:rsidRPr="00711257" w:rsidP="00711257">
      <w:pPr>
        <w:pStyle w:val="AllowPageBreak"/>
      </w:pPr>
    </w:p>
    <w:p w:rsidR="00000000" w:rsidRPr="00711257" w:rsidP="00711257">
      <w:pPr>
        <w:pStyle w:val="Heading1"/>
      </w:pPr>
      <w:bookmarkStart w:id="6" w:name="O_1157455"/>
      <w:bookmarkEnd w:id="6"/>
      <w:r w:rsidRPr="00711257">
        <w:t>Foundation Skills</w:t>
      </w:r>
    </w:p>
    <w:p w:rsidR="00000000" w:rsidRPr="00711257" w:rsidP="008A421C">
      <w:pPr>
        <w:pStyle w:val="BodyText"/>
      </w:pPr>
      <w:r w:rsidRPr="00711257">
        <w:t xml:space="preserve">Foundation skills essential to performance are explicit in the performance criteria of this unit of competency. </w:t>
      </w:r>
    </w:p>
    <w:p w:rsidR="00000000" w:rsidRPr="00711257" w:rsidP="00711257">
      <w:pPr>
        <w:pStyle w:val="Heading1"/>
      </w:pPr>
      <w:bookmarkStart w:id="7" w:name="O_1157454"/>
      <w:bookmarkEnd w:id="7"/>
      <w:r w:rsidRPr="00711257">
        <w:t>Unit Mapping Information</w:t>
      </w:r>
    </w:p>
    <w:p w:rsidR="00000000" w:rsidRPr="00711257" w:rsidP="008A421C">
      <w:pPr>
        <w:pStyle w:val="BodyText"/>
      </w:pPr>
      <w:r w:rsidRPr="00711257">
        <w:t>No equivalent unit.</w:t>
      </w:r>
    </w:p>
    <w:p w:rsidR="00000000" w:rsidRPr="00711257" w:rsidP="00711257">
      <w:pPr>
        <w:pStyle w:val="Heading1"/>
      </w:pPr>
      <w:bookmarkStart w:id="8" w:name="O_1157461"/>
      <w:bookmarkEnd w:id="8"/>
      <w:r w:rsidRPr="00711257">
        <w:t>Links</w:t>
      </w:r>
    </w:p>
    <w:p w:rsidR="00000000" w:rsidRPr="00711257" w:rsidP="008A421C">
      <w:pPr>
        <w:pStyle w:val="BodyText"/>
      </w:pPr>
      <w:r w:rsidRPr="0071125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0B7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11257" w:rsidP="008A421C">
      <w:pPr>
        <w:pStyle w:val="BodyText"/>
        <w:sectPr w:rsidSect="007112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1257" w:rsidP="00711257">
      <w:pPr>
        <w:pStyle w:val="SuperHeading"/>
      </w:pPr>
      <w:r w:rsidRPr="00711257">
        <w:t>Assessment Requirements for CPCSPS4010 Lay swimming pool and spa coping</w:t>
      </w:r>
    </w:p>
    <w:p w:rsidR="00000000" w:rsidRPr="00711257" w:rsidP="00711257">
      <w:pPr>
        <w:pStyle w:val="Heading1"/>
      </w:pPr>
      <w:bookmarkStart w:id="9" w:name="O_1157452"/>
      <w:bookmarkEnd w:id="9"/>
      <w:r w:rsidRPr="00711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Release 2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57" w:rsidP="00711257">
            <w:pPr>
              <w:pStyle w:val="BodyText"/>
            </w:pPr>
            <w:r w:rsidRPr="00711257">
              <w:t>This version first released with CPC Construction, Plumbing and Services Training Package</w:t>
            </w:r>
            <w:r w:rsidRPr="00711257">
              <w:t xml:space="preserve"> Release 5.1.</w:t>
            </w:r>
          </w:p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>Performance Evidence corrected for clarity.</w:t>
            </w:r>
          </w:p>
        </w:tc>
      </w:tr>
      <w:tr w:rsidTr="00711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257">
            <w:pPr>
              <w:pStyle w:val="BodyText"/>
              <w:rPr>
                <w:lang w:val="en-NZ"/>
              </w:rPr>
            </w:pPr>
            <w:r w:rsidRPr="00711257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257" w:rsidP="00711257">
            <w:pPr>
              <w:pStyle w:val="BodyText"/>
            </w:pPr>
            <w:r w:rsidRPr="00711257">
              <w:t>This version first released with CPC Construction, Plumbing and Services Training Package Release 5.0.</w:t>
            </w:r>
          </w:p>
          <w:p w:rsidR="00000000" w:rsidRPr="00711257" w:rsidP="00711257">
            <w:pPr>
              <w:pStyle w:val="BodyText"/>
            </w:pPr>
            <w:r w:rsidRPr="00711257">
              <w:t>New unit.</w:t>
            </w:r>
          </w:p>
        </w:tc>
      </w:tr>
    </w:tbl>
    <w:p w:rsidR="00000000" w:rsidRPr="00711257" w:rsidP="00711257">
      <w:pPr>
        <w:pStyle w:val="BodyText"/>
      </w:pPr>
    </w:p>
    <w:p w:rsidR="00000000" w:rsidRPr="00711257" w:rsidP="00711257">
      <w:pPr>
        <w:pStyle w:val="AllowPageBreak"/>
      </w:pPr>
    </w:p>
    <w:p w:rsidR="00000000" w:rsidRPr="00711257" w:rsidP="00711257">
      <w:pPr>
        <w:pStyle w:val="Heading1"/>
      </w:pPr>
      <w:bookmarkStart w:id="10" w:name="O_1157451"/>
      <w:bookmarkEnd w:id="10"/>
      <w:r w:rsidRPr="00711257">
        <w:t>Performance Evidence</w:t>
      </w:r>
    </w:p>
    <w:p w:rsidR="00000000" w:rsidRPr="00711257" w:rsidP="008A421C">
      <w:pPr>
        <w:pStyle w:val="BodyText"/>
      </w:pPr>
      <w:r w:rsidRPr="00711257">
        <w:t xml:space="preserve">To demonstrate competency, a candidate must meet the performance criteria of this unit by laying coping for two different swimming pool or spa projects: </w:t>
      </w:r>
    </w:p>
    <w:p w:rsidR="00000000" w:rsidRPr="00711257" w:rsidP="00711257">
      <w:pPr>
        <w:pStyle w:val="ListBullet"/>
      </w:pPr>
      <w:r w:rsidRPr="00711257">
        <w:t>one project must have curved edges and one project must have square corners</w:t>
      </w:r>
    </w:p>
    <w:p w:rsidR="00000000" w:rsidRPr="00711257" w:rsidP="00711257">
      <w:pPr>
        <w:pStyle w:val="ListBullet"/>
      </w:pPr>
      <w:r w:rsidRPr="00711257">
        <w:t>each project must use dif</w:t>
      </w:r>
      <w:r w:rsidRPr="00711257">
        <w:t xml:space="preserve">ferent types of coping. </w:t>
      </w:r>
    </w:p>
    <w:p w:rsidR="00000000" w:rsidRPr="00711257" w:rsidP="00711257">
      <w:pPr>
        <w:pStyle w:val="AllowPageBreak"/>
      </w:pPr>
    </w:p>
    <w:p w:rsidR="00000000" w:rsidRPr="00711257" w:rsidP="00711257">
      <w:pPr>
        <w:pStyle w:val="Heading1"/>
      </w:pPr>
      <w:bookmarkStart w:id="11" w:name="O_1157450"/>
      <w:bookmarkEnd w:id="11"/>
      <w:r w:rsidRPr="00711257">
        <w:t>Knowledge Evidence</w:t>
      </w:r>
    </w:p>
    <w:p w:rsidR="00000000" w:rsidRPr="00711257" w:rsidP="008A421C">
      <w:pPr>
        <w:pStyle w:val="BodyText"/>
      </w:pPr>
      <w:r w:rsidRPr="00711257">
        <w:t>To be competent in this unit, a candidate must demonstrate knowledge of:</w:t>
      </w:r>
    </w:p>
    <w:p w:rsidR="00000000" w:rsidRPr="00711257" w:rsidP="00711257">
      <w:pPr>
        <w:pStyle w:val="ListBullet"/>
      </w:pPr>
      <w:r w:rsidRPr="00711257">
        <w:t>regulations, codes and standards relevant to swimming pool and spas</w:t>
      </w:r>
    </w:p>
    <w:p w:rsidR="00000000" w:rsidRPr="00711257" w:rsidP="00711257">
      <w:pPr>
        <w:pStyle w:val="ListBullet"/>
      </w:pPr>
      <w:r w:rsidRPr="00711257">
        <w:t>swimming pool and spa project plans and specificati</w:t>
      </w:r>
      <w:r w:rsidRPr="00711257">
        <w:t>ons</w:t>
      </w:r>
    </w:p>
    <w:p w:rsidR="00000000" w:rsidRPr="00711257" w:rsidP="00711257">
      <w:pPr>
        <w:pStyle w:val="ListBullet"/>
      </w:pPr>
      <w:r w:rsidRPr="00711257">
        <w:t>relevant sections of National Construction Code (NCC)</w:t>
      </w:r>
    </w:p>
    <w:p w:rsidR="00000000" w:rsidRPr="00711257" w:rsidP="00711257">
      <w:pPr>
        <w:pStyle w:val="ListBullet"/>
      </w:pPr>
      <w:r w:rsidRPr="00711257">
        <w:t>pool fencing requirements</w:t>
      </w:r>
    </w:p>
    <w:p w:rsidR="00000000" w:rsidRPr="00711257" w:rsidP="00711257">
      <w:pPr>
        <w:pStyle w:val="ListBullet"/>
      </w:pPr>
      <w:r w:rsidRPr="00711257">
        <w:t>properties, applications and limitations of swimming pool and spa coping materials and products:</w:t>
      </w:r>
    </w:p>
    <w:p w:rsidR="00000000" w:rsidRPr="00711257" w:rsidP="00711257">
      <w:pPr>
        <w:pStyle w:val="ListBullet2"/>
      </w:pPr>
      <w:r w:rsidRPr="00711257">
        <w:t>poured concrete</w:t>
      </w:r>
    </w:p>
    <w:p w:rsidR="00000000" w:rsidRPr="00711257" w:rsidP="00711257">
      <w:pPr>
        <w:pStyle w:val="ListBullet2"/>
      </w:pPr>
      <w:r w:rsidRPr="00711257">
        <w:t>brick</w:t>
      </w:r>
    </w:p>
    <w:p w:rsidR="00000000" w:rsidRPr="00711257" w:rsidP="00711257">
      <w:pPr>
        <w:pStyle w:val="ListBullet2"/>
      </w:pPr>
      <w:r w:rsidRPr="00711257">
        <w:t>precast concrete</w:t>
      </w:r>
    </w:p>
    <w:p w:rsidR="00000000" w:rsidRPr="00711257" w:rsidP="00711257">
      <w:pPr>
        <w:pStyle w:val="ListBullet2"/>
      </w:pPr>
      <w:r w:rsidRPr="00711257">
        <w:t>tiles</w:t>
      </w:r>
    </w:p>
    <w:p w:rsidR="00000000" w:rsidRPr="00711257" w:rsidP="00711257">
      <w:pPr>
        <w:pStyle w:val="ListBullet2"/>
      </w:pPr>
      <w:r w:rsidRPr="00711257">
        <w:t>pavers</w:t>
      </w:r>
    </w:p>
    <w:p w:rsidR="00000000" w:rsidRPr="00711257" w:rsidP="00711257">
      <w:pPr>
        <w:pStyle w:val="ListBullet2"/>
      </w:pPr>
      <w:r w:rsidRPr="00711257">
        <w:t>natural stone</w:t>
      </w:r>
    </w:p>
    <w:p w:rsidR="00000000" w:rsidRPr="00711257" w:rsidP="00711257">
      <w:pPr>
        <w:pStyle w:val="ListBullet"/>
      </w:pPr>
      <w:r w:rsidRPr="00711257">
        <w:t>processes, procedures and techniques for:</w:t>
      </w:r>
    </w:p>
    <w:p w:rsidR="00000000" w:rsidRPr="00711257" w:rsidP="00711257">
      <w:pPr>
        <w:pStyle w:val="ListBullet2"/>
      </w:pPr>
      <w:r w:rsidRPr="00711257">
        <w:t>preparing surfaces for laying of various types of coping</w:t>
      </w:r>
    </w:p>
    <w:p w:rsidR="00000000" w:rsidRPr="00711257" w:rsidP="00711257">
      <w:pPr>
        <w:pStyle w:val="ListBullet2"/>
      </w:pPr>
      <w:r w:rsidRPr="00711257">
        <w:t>setting out different patterns for different shapes and sizes of coping</w:t>
      </w:r>
    </w:p>
    <w:p w:rsidR="00000000" w:rsidRPr="00711257" w:rsidP="00711257">
      <w:pPr>
        <w:pStyle w:val="ListBullet2"/>
      </w:pPr>
      <w:r w:rsidRPr="00711257">
        <w:t xml:space="preserve">laying different coping types and shapes to various patterns and designs </w:t>
      </w:r>
    </w:p>
    <w:p w:rsidR="00000000" w:rsidRPr="00711257" w:rsidP="00711257">
      <w:pPr>
        <w:pStyle w:val="ListBullet"/>
      </w:pPr>
      <w:r w:rsidRPr="00711257">
        <w:t>operation</w:t>
      </w:r>
      <w:r w:rsidRPr="00711257">
        <w:t xml:space="preserve">al and functional features of tools and equipment </w:t>
      </w:r>
    </w:p>
    <w:p w:rsidR="00000000" w:rsidRPr="00711257" w:rsidP="00711257">
      <w:pPr>
        <w:pStyle w:val="ListBullet"/>
      </w:pPr>
      <w:r w:rsidRPr="00711257">
        <w:t>workplace procedures and workplace safety:</w:t>
      </w:r>
    </w:p>
    <w:p w:rsidR="00000000" w:rsidRPr="00711257" w:rsidP="00711257">
      <w:pPr>
        <w:pStyle w:val="ListBullet2"/>
      </w:pPr>
      <w:r w:rsidRPr="00711257">
        <w:t>hierarchy of control</w:t>
      </w:r>
    </w:p>
    <w:p w:rsidR="00000000" w:rsidRPr="00711257" w:rsidP="00711257">
      <w:pPr>
        <w:pStyle w:val="ListBullet2"/>
      </w:pPr>
      <w:r w:rsidRPr="00711257">
        <w:t>temporary safety barriers and fences around pools</w:t>
      </w:r>
    </w:p>
    <w:p w:rsidR="00000000" w:rsidRPr="00711257" w:rsidP="00711257">
      <w:pPr>
        <w:pStyle w:val="ListBullet2"/>
      </w:pPr>
      <w:r w:rsidRPr="00711257">
        <w:t>hazardous manual tasks</w:t>
      </w:r>
    </w:p>
    <w:p w:rsidR="00000000" w:rsidRPr="00711257" w:rsidP="00711257">
      <w:pPr>
        <w:pStyle w:val="ListBullet2"/>
      </w:pPr>
      <w:r w:rsidRPr="00711257">
        <w:t>hazardous chemicals</w:t>
      </w:r>
    </w:p>
    <w:p w:rsidR="00000000" w:rsidRPr="00711257" w:rsidP="00711257">
      <w:pPr>
        <w:pStyle w:val="ListBullet2"/>
      </w:pPr>
      <w:r w:rsidRPr="00711257">
        <w:t>falls from heights</w:t>
      </w:r>
    </w:p>
    <w:p w:rsidR="00000000" w:rsidRPr="00711257" w:rsidP="00711257">
      <w:pPr>
        <w:pStyle w:val="ListBullet2"/>
      </w:pPr>
      <w:r w:rsidRPr="00711257">
        <w:t>exposure to silica</w:t>
      </w:r>
    </w:p>
    <w:p w:rsidR="00000000" w:rsidRPr="00711257" w:rsidP="00711257">
      <w:pPr>
        <w:pStyle w:val="ListBullet"/>
      </w:pPr>
      <w:r w:rsidRPr="00711257">
        <w:t>workplace and environmental requirements relating to waste disposal and clean-up.</w:t>
      </w:r>
    </w:p>
    <w:p w:rsidR="00000000" w:rsidRPr="00711257" w:rsidP="00711257">
      <w:pPr>
        <w:pStyle w:val="AllowPageBreak"/>
      </w:pPr>
    </w:p>
    <w:p w:rsidR="00000000" w:rsidRPr="00711257" w:rsidP="00711257">
      <w:pPr>
        <w:pStyle w:val="Heading1"/>
      </w:pPr>
      <w:bookmarkStart w:id="12" w:name="O_1157449"/>
      <w:bookmarkEnd w:id="12"/>
      <w:r w:rsidRPr="00711257">
        <w:t>Assessment Conditions</w:t>
      </w:r>
    </w:p>
    <w:p w:rsidR="00000000" w:rsidRPr="00711257" w:rsidP="008A421C">
      <w:pPr>
        <w:pStyle w:val="BodyText"/>
      </w:pPr>
      <w:r w:rsidRPr="00711257">
        <w:t xml:space="preserve">Assessors must meet the requirements for assessors contained in the Standards for Registered Training Organisations. </w:t>
      </w:r>
    </w:p>
    <w:p w:rsidR="00000000" w:rsidRPr="00711257" w:rsidP="008A421C">
      <w:pPr>
        <w:pStyle w:val="BodyText"/>
      </w:pPr>
      <w:r w:rsidRPr="00711257">
        <w:t>Assessment must</w:t>
      </w:r>
      <w:r w:rsidRPr="00711257">
        <w:t xml:space="preserve"> be conducted in the workplace or in a simulated workplace environment.</w:t>
      </w:r>
    </w:p>
    <w:p w:rsidR="00000000" w:rsidRPr="00711257" w:rsidP="008A421C">
      <w:pPr>
        <w:pStyle w:val="BodyText"/>
      </w:pPr>
      <w:r w:rsidRPr="00711257">
        <w:t>Candidates must have access to:</w:t>
      </w:r>
    </w:p>
    <w:p w:rsidR="00000000" w:rsidRPr="00711257" w:rsidP="00711257">
      <w:pPr>
        <w:pStyle w:val="ListBullet"/>
      </w:pPr>
      <w:r w:rsidRPr="00711257">
        <w:t xml:space="preserve">regulations, standards and codes relevant to swimming pools and spas </w:t>
      </w:r>
    </w:p>
    <w:p w:rsidR="00000000" w:rsidRPr="00711257" w:rsidP="00711257">
      <w:pPr>
        <w:pStyle w:val="ListBullet"/>
      </w:pPr>
      <w:r w:rsidRPr="00711257">
        <w:t xml:space="preserve">relevant sections of the NCC </w:t>
      </w:r>
    </w:p>
    <w:p w:rsidR="00000000" w:rsidRPr="00711257" w:rsidP="00711257">
      <w:pPr>
        <w:pStyle w:val="ListBullet"/>
      </w:pPr>
      <w:r w:rsidRPr="00711257">
        <w:t>project plans, specifications and manufacturer instructions</w:t>
      </w:r>
    </w:p>
    <w:p w:rsidR="00000000" w:rsidRPr="00711257" w:rsidP="00711257">
      <w:pPr>
        <w:pStyle w:val="ListBullet"/>
      </w:pPr>
      <w:r w:rsidRPr="00711257">
        <w:t>workplace safety and environmental requirements.</w:t>
      </w:r>
    </w:p>
    <w:p w:rsidR="00000000" w:rsidRPr="00711257" w:rsidP="00711257">
      <w:pPr>
        <w:pStyle w:val="AllowPageBreak"/>
      </w:pPr>
    </w:p>
    <w:p w:rsidR="00000000" w:rsidRPr="00711257" w:rsidP="00711257">
      <w:pPr>
        <w:pStyle w:val="Heading1"/>
      </w:pPr>
      <w:bookmarkStart w:id="13" w:name="O_1157462"/>
      <w:bookmarkEnd w:id="13"/>
      <w:r w:rsidRPr="00711257">
        <w:t>Links</w:t>
      </w:r>
    </w:p>
    <w:p w:rsidR="00000000" w:rsidRPr="00711257" w:rsidP="008A421C">
      <w:pPr>
        <w:pStyle w:val="BodyText"/>
      </w:pPr>
      <w:r w:rsidRPr="0071125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20B7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11257" w:rsidP="00711257"/>
    <w:sectPr w:rsidSect="007112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57" w:rsidRPr="008A421C" w:rsidP="008A4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21C" w:rsidP="00711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21C" w:rsidP="00711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A421C" w:rsidP="007112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57" w:rsidP="00711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421C">
      <w:t>Approved</w:t>
    </w:r>
    <w:r w:rsidR="008A42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42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421C">
      <w:rPr>
        <w:noProof/>
      </w:rPr>
      <w:t>4</w:t>
    </w:r>
    <w:r>
      <w:rPr>
        <w:noProof/>
      </w:rPr>
      <w:fldChar w:fldCharType="end"/>
    </w:r>
  </w:p>
  <w:p w:rsidR="00711257" w:rsidP="00711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42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421C">
      <w:t>BuildSkills Australia</w:t>
    </w:r>
    <w:r w:rsidR="008A421C">
      <w:fldChar w:fldCharType="end"/>
    </w:r>
  </w:p>
  <w:p w:rsidR="00711257" w:rsidP="00711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257" w:rsidRPr="008A421C" w:rsidP="008A4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21C" w:rsidRPr="002D2AF8" w:rsidP="00711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CPCSPS4010 Lay swimming pool and spa coping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421C" w:rsidP="007112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257" w:rsidRPr="002D2AF8" w:rsidP="00711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421C">
      <w:t>CPCSPS4010 Lay swimming pool and spa coping</w:t>
    </w:r>
    <w:r w:rsidR="008A42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421C">
      <w:rPr>
        <w:noProof/>
      </w:rPr>
      <w:t>2 March 2025</w:t>
    </w:r>
    <w:r>
      <w:fldChar w:fldCharType="end"/>
    </w:r>
  </w:p>
  <w:p w:rsidR="00711257" w:rsidP="00711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2A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02D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2858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257"/>
  </w:style>
  <w:style w:type="character" w:customStyle="1" w:styleId="Heading1Char">
    <w:name w:val="Heading 1 Char"/>
    <w:basedOn w:val="DefaultParagraphFont"/>
    <w:link w:val="Heading1"/>
    <w:rsid w:val="00711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2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2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257"/>
    <w:rPr>
      <w:b/>
      <w:spacing w:val="0"/>
    </w:rPr>
  </w:style>
  <w:style w:type="paragraph" w:customStyle="1" w:styleId="SuperTitle">
    <w:name w:val="SuperTitle"/>
    <w:basedOn w:val="Title"/>
    <w:rsid w:val="00711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2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257"/>
    <w:rPr>
      <w:i/>
    </w:rPr>
  </w:style>
  <w:style w:type="paragraph" w:styleId="Caption">
    <w:name w:val="caption"/>
    <w:basedOn w:val="BodyText"/>
    <w:next w:val="Normal"/>
    <w:qFormat/>
    <w:rsid w:val="00711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257"/>
  </w:style>
  <w:style w:type="paragraph" w:styleId="TableofFigures">
    <w:name w:val="table of figures"/>
    <w:basedOn w:val="Normal"/>
    <w:next w:val="Normal"/>
    <w:semiHidden/>
    <w:rsid w:val="00711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2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257"/>
    <w:rPr>
      <w:rFonts w:ascii="Wingdings" w:hAnsi="Wingdings"/>
    </w:rPr>
  </w:style>
  <w:style w:type="paragraph" w:customStyle="1" w:styleId="TableHeading">
    <w:name w:val="Table Heading"/>
    <w:basedOn w:val="HeadingBase"/>
    <w:rsid w:val="00711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257"/>
    <w:rPr>
      <w:color w:val="0033CC"/>
      <w:u w:val="none"/>
    </w:rPr>
  </w:style>
  <w:style w:type="paragraph" w:customStyle="1" w:styleId="BodyTextRight">
    <w:name w:val="Body Text Right"/>
    <w:basedOn w:val="BodyText"/>
    <w:rsid w:val="00711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2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257"/>
    <w:rPr>
      <w:sz w:val="32"/>
    </w:rPr>
  </w:style>
  <w:style w:type="paragraph" w:customStyle="1" w:styleId="HeadingProcedure">
    <w:name w:val="Heading Procedure"/>
    <w:basedOn w:val="HeadingBase"/>
    <w:next w:val="Normal"/>
    <w:rsid w:val="00711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257"/>
    <w:pPr>
      <w:spacing w:before="60" w:after="60"/>
    </w:pPr>
  </w:style>
  <w:style w:type="paragraph" w:styleId="ListContinue">
    <w:name w:val="List Continue"/>
    <w:basedOn w:val="List"/>
    <w:rsid w:val="00711257"/>
    <w:pPr>
      <w:ind w:firstLine="0"/>
    </w:pPr>
  </w:style>
  <w:style w:type="paragraph" w:customStyle="1" w:styleId="ListNote">
    <w:name w:val="List Note"/>
    <w:basedOn w:val="List"/>
    <w:rsid w:val="00711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257"/>
    <w:rPr>
      <w:rFonts w:ascii="Courier New" w:hAnsi="Courier New"/>
    </w:rPr>
  </w:style>
  <w:style w:type="paragraph" w:customStyle="1" w:styleId="NoteBullet">
    <w:name w:val="Note Bullet"/>
    <w:basedOn w:val="Note"/>
    <w:rsid w:val="00711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2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257"/>
    <w:rPr>
      <w:b/>
      <w:smallCaps/>
    </w:rPr>
  </w:style>
  <w:style w:type="paragraph" w:customStyle="1" w:styleId="TableListNumber">
    <w:name w:val="Table List Number"/>
    <w:basedOn w:val="ListNumber"/>
    <w:rsid w:val="00711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257"/>
    <w:pPr>
      <w:numPr>
        <w:numId w:val="9"/>
      </w:numPr>
    </w:pPr>
  </w:style>
  <w:style w:type="paragraph" w:customStyle="1" w:styleId="ListAlpha2">
    <w:name w:val="List Alpha 2"/>
    <w:basedOn w:val="List2"/>
    <w:rsid w:val="00711257"/>
    <w:pPr>
      <w:numPr>
        <w:numId w:val="8"/>
      </w:numPr>
    </w:pPr>
  </w:style>
  <w:style w:type="paragraph" w:styleId="List2">
    <w:name w:val="List 2"/>
    <w:basedOn w:val="BodyText"/>
    <w:rsid w:val="00711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2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2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257"/>
    <w:pPr>
      <w:numPr>
        <w:numId w:val="4"/>
      </w:numPr>
    </w:pPr>
  </w:style>
  <w:style w:type="paragraph" w:styleId="ListContinue2">
    <w:name w:val="List Continue 2"/>
    <w:basedOn w:val="List2"/>
    <w:rsid w:val="00711257"/>
    <w:pPr>
      <w:ind w:firstLine="0"/>
    </w:pPr>
  </w:style>
  <w:style w:type="paragraph" w:styleId="ListContinue3">
    <w:name w:val="List Continue 3"/>
    <w:basedOn w:val="List3"/>
    <w:rsid w:val="00711257"/>
    <w:pPr>
      <w:ind w:left="1021" w:firstLine="0"/>
    </w:pPr>
  </w:style>
  <w:style w:type="paragraph" w:styleId="ListContinue4">
    <w:name w:val="List Continue 4"/>
    <w:basedOn w:val="List4"/>
    <w:rsid w:val="00711257"/>
    <w:pPr>
      <w:ind w:firstLine="0"/>
    </w:pPr>
  </w:style>
  <w:style w:type="paragraph" w:styleId="ListContinue5">
    <w:name w:val="List Continue 5"/>
    <w:basedOn w:val="List5"/>
    <w:rsid w:val="00711257"/>
    <w:pPr>
      <w:ind w:firstLine="0"/>
    </w:pPr>
  </w:style>
  <w:style w:type="paragraph" w:styleId="ListNumber3">
    <w:name w:val="List Number 3"/>
    <w:basedOn w:val="List3"/>
    <w:rsid w:val="00711257"/>
    <w:pPr>
      <w:numPr>
        <w:numId w:val="5"/>
      </w:numPr>
    </w:pPr>
  </w:style>
  <w:style w:type="paragraph" w:styleId="ListNumber4">
    <w:name w:val="List Number 4"/>
    <w:basedOn w:val="List4"/>
    <w:rsid w:val="00711257"/>
    <w:pPr>
      <w:numPr>
        <w:numId w:val="6"/>
      </w:numPr>
    </w:pPr>
  </w:style>
  <w:style w:type="paragraph" w:styleId="ListNumber5">
    <w:name w:val="List Number 5"/>
    <w:basedOn w:val="List5"/>
    <w:rsid w:val="00711257"/>
    <w:pPr>
      <w:numPr>
        <w:numId w:val="7"/>
      </w:numPr>
    </w:pPr>
  </w:style>
  <w:style w:type="paragraph" w:styleId="BlockText">
    <w:name w:val="Block Text"/>
    <w:basedOn w:val="Normal"/>
    <w:rsid w:val="00711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257"/>
    <w:rPr>
      <w:sz w:val="16"/>
      <w:vertAlign w:val="superscript"/>
    </w:rPr>
  </w:style>
  <w:style w:type="character" w:customStyle="1" w:styleId="Symbols">
    <w:name w:val="Symbols"/>
    <w:basedOn w:val="DefaultParagraphFont"/>
    <w:rsid w:val="00711257"/>
    <w:rPr>
      <w:rFonts w:ascii="Symbol" w:hAnsi="Symbol"/>
    </w:rPr>
  </w:style>
  <w:style w:type="character" w:customStyle="1" w:styleId="MenuOptions">
    <w:name w:val="Menu Options"/>
    <w:basedOn w:val="DefaultParagraphFont"/>
    <w:rsid w:val="00711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257"/>
    <w:rPr>
      <w:b/>
    </w:rPr>
  </w:style>
  <w:style w:type="character" w:customStyle="1" w:styleId="Underlined">
    <w:name w:val="Underlined"/>
    <w:basedOn w:val="DefaultParagraphFont"/>
    <w:rsid w:val="00711257"/>
    <w:rPr>
      <w:u w:val="single"/>
    </w:rPr>
  </w:style>
  <w:style w:type="paragraph" w:customStyle="1" w:styleId="TableBodyTextRight">
    <w:name w:val="Table Body Text Right"/>
    <w:basedOn w:val="TableBodyText"/>
    <w:rsid w:val="00711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257"/>
    <w:rPr>
      <w:sz w:val="18"/>
    </w:rPr>
  </w:style>
  <w:style w:type="paragraph" w:customStyle="1" w:styleId="BodySmallRight">
    <w:name w:val="Body Small Right"/>
    <w:basedOn w:val="BodyTextRight"/>
    <w:rsid w:val="00711257"/>
    <w:rPr>
      <w:sz w:val="18"/>
      <w:szCs w:val="18"/>
    </w:rPr>
  </w:style>
  <w:style w:type="paragraph" w:customStyle="1" w:styleId="MarginEdition">
    <w:name w:val="Margin Edition"/>
    <w:basedOn w:val="MarginNote"/>
    <w:rsid w:val="00711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257"/>
    <w:rPr>
      <w:sz w:val="2"/>
      <w:szCs w:val="2"/>
    </w:rPr>
  </w:style>
  <w:style w:type="character" w:customStyle="1" w:styleId="Small">
    <w:name w:val="Small"/>
    <w:basedOn w:val="DefaultParagraphFont"/>
    <w:rsid w:val="00711257"/>
    <w:rPr>
      <w:sz w:val="16"/>
    </w:rPr>
  </w:style>
  <w:style w:type="paragraph" w:customStyle="1" w:styleId="WideTable">
    <w:name w:val="Wide Table"/>
    <w:basedOn w:val="Normal"/>
    <w:rsid w:val="00711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257"/>
  </w:style>
  <w:style w:type="paragraph" w:styleId="Quote">
    <w:name w:val="Quote"/>
    <w:basedOn w:val="Heading1"/>
    <w:link w:val="QuoteChar"/>
    <w:qFormat/>
    <w:rsid w:val="00711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257"/>
    <w:pPr>
      <w:pageBreakBefore/>
    </w:pPr>
  </w:style>
  <w:style w:type="paragraph" w:customStyle="1" w:styleId="Border">
    <w:name w:val="Border"/>
    <w:basedOn w:val="Normal"/>
    <w:qFormat/>
    <w:rsid w:val="00711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257"/>
    <w:rPr>
      <w:u w:val="single"/>
    </w:rPr>
  </w:style>
  <w:style w:type="character" w:customStyle="1" w:styleId="BoldandItalics">
    <w:name w:val="Bold and Italics"/>
    <w:qFormat/>
    <w:rsid w:val="00711257"/>
    <w:rPr>
      <w:b/>
      <w:i/>
      <w:u w:val="none"/>
    </w:rPr>
  </w:style>
  <w:style w:type="paragraph" w:styleId="BalloonText">
    <w:name w:val="Balloon Text"/>
    <w:basedOn w:val="Normal"/>
    <w:link w:val="BalloonTextChar"/>
    <w:rsid w:val="00711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257"/>
    <w:pPr>
      <w:spacing w:before="0" w:after="0"/>
    </w:pPr>
  </w:style>
  <w:style w:type="paragraph" w:customStyle="1" w:styleId="BodyTextBold">
    <w:name w:val="Body Text Bold"/>
    <w:basedOn w:val="BodyText"/>
    <w:qFormat/>
    <w:rsid w:val="00711257"/>
    <w:rPr>
      <w:b/>
    </w:rPr>
  </w:style>
  <w:style w:type="character" w:styleId="Hyperlink">
    <w:name w:val="Hyperlink"/>
    <w:basedOn w:val="DefaultParagraphFont"/>
    <w:uiPriority w:val="99"/>
    <w:unhideWhenUsed/>
    <w:rsid w:val="008A4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5160</Characters>
  <Application>Microsoft Office Word</Application>
  <DocSecurity>0</DocSecurity>
  <Lines>224</Lines>
  <Paragraphs>150</Paragraphs>
  <ScaleCrop>false</ScaleCrop>
  <Company>Author-it Software Corporation Ltd.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CPCSPS4010 Lay swimming pool and spa coping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