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500" w:rsidP="00014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CPCSPS4007 Commission ancillary swimming pool and spa systems and hand over to client</w:t>
      </w:r>
      <w:r>
        <w:fldChar w:fldCharType="end"/>
      </w:r>
    </w:p>
    <w:p w:rsidR="00014500" w:rsidP="00014500">
      <w:pPr>
        <w:pStyle w:val="Version"/>
        <w:sectPr w:rsidSect="00116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535" w:rsidP="00116535">
      <w:pPr>
        <w:pStyle w:val="SuperHeading"/>
      </w:pPr>
      <w:r w:rsidRPr="00116535">
        <w:t>CPCSPS4007 Commission ancillary swimming pool and spa systems and hand over to client</w:t>
      </w:r>
    </w:p>
    <w:p w:rsidR="00000000" w:rsidRPr="00116535" w:rsidP="00116535">
      <w:pPr>
        <w:pStyle w:val="Heading1"/>
      </w:pPr>
      <w:bookmarkStart w:id="1" w:name="O_1131846"/>
      <w:bookmarkEnd w:id="1"/>
      <w:r w:rsidRPr="00116535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116535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35" w:rsidP="00116535">
            <w:pPr>
              <w:pStyle w:val="BodyText"/>
            </w:pPr>
            <w:r w:rsidRPr="00116535">
              <w:t>This version first released with CPC Construction, Plumbing and Services Training Package Release 5.0.</w:t>
            </w:r>
          </w:p>
          <w:p w:rsidR="00000000" w:rsidRPr="00116535" w:rsidP="00116535">
            <w:pPr>
              <w:pStyle w:val="BodyText"/>
            </w:pPr>
            <w:r w:rsidRPr="00116535">
              <w:t>New unit.</w:t>
            </w:r>
          </w:p>
        </w:tc>
      </w:tr>
    </w:tbl>
    <w:p w:rsidR="00000000" w:rsidRPr="00116535" w:rsidP="00116535">
      <w:pPr>
        <w:pStyle w:val="BodyText"/>
      </w:pPr>
    </w:p>
    <w:p w:rsidR="00000000" w:rsidRPr="00116535" w:rsidP="00116535">
      <w:pPr>
        <w:pStyle w:val="AllowPageBreak"/>
      </w:pPr>
    </w:p>
    <w:p w:rsidR="00000000" w:rsidRPr="00116535" w:rsidP="00116535">
      <w:pPr>
        <w:pStyle w:val="Heading1"/>
      </w:pPr>
      <w:bookmarkStart w:id="2" w:name="O_1131852"/>
      <w:bookmarkEnd w:id="2"/>
      <w:r w:rsidRPr="00116535">
        <w:t>Application</w:t>
      </w:r>
    </w:p>
    <w:p w:rsidR="00000000" w:rsidRPr="00116535" w:rsidP="00014500">
      <w:pPr>
        <w:pStyle w:val="BodyText"/>
      </w:pPr>
      <w:r w:rsidRPr="00116535">
        <w:t>This unit specifies the skills and knowledge required to commission ancillary swimming pool and spa systems. It includes the testing of filtration, heating and lighting systems.</w:t>
      </w:r>
    </w:p>
    <w:p w:rsidR="00000000" w:rsidRPr="00116535" w:rsidP="00014500">
      <w:pPr>
        <w:pStyle w:val="BodyText"/>
      </w:pPr>
      <w:r w:rsidRPr="00116535">
        <w:t>This unit reflects the role of those who are res</w:t>
      </w:r>
      <w:r w:rsidRPr="00116535">
        <w:t>ponsible for commissioning ancillary pool systems and finalising hand over to clients. It applies to a range of contexts:</w:t>
      </w:r>
    </w:p>
    <w:p w:rsidR="00000000" w:rsidRPr="00116535" w:rsidP="00116535">
      <w:pPr>
        <w:pStyle w:val="ListBullet"/>
      </w:pPr>
      <w:r w:rsidRPr="00116535">
        <w:t>private swimming pools</w:t>
      </w:r>
    </w:p>
    <w:p w:rsidR="00000000" w:rsidRPr="00116535" w:rsidP="00116535">
      <w:pPr>
        <w:pStyle w:val="ListBullet"/>
      </w:pPr>
      <w:r w:rsidRPr="00116535">
        <w:t>public swimming pools, including:</w:t>
      </w:r>
    </w:p>
    <w:p w:rsidR="00000000" w:rsidRPr="00116535" w:rsidP="00116535">
      <w:pPr>
        <w:pStyle w:val="ListBullet2"/>
      </w:pPr>
      <w:r w:rsidRPr="00116535">
        <w:t>hydrotherapy and therapeutic exercise pools</w:t>
      </w:r>
    </w:p>
    <w:p w:rsidR="00000000" w:rsidRPr="00116535" w:rsidP="00116535">
      <w:pPr>
        <w:pStyle w:val="ListBullet2"/>
      </w:pPr>
      <w:r w:rsidRPr="00116535">
        <w:t>wading and receiving pools associated with water slides</w:t>
      </w:r>
    </w:p>
    <w:p w:rsidR="00000000" w:rsidRPr="00116535" w:rsidP="00116535">
      <w:pPr>
        <w:pStyle w:val="ListBullet2"/>
      </w:pPr>
      <w:r w:rsidRPr="00116535">
        <w:t>wave pools.</w:t>
      </w:r>
    </w:p>
    <w:p w:rsidR="00000000" w:rsidRPr="00116535" w:rsidP="00014500">
      <w:pPr>
        <w:pStyle w:val="BodyText"/>
      </w:pPr>
      <w:r w:rsidRPr="00116535">
        <w:t>This unit is suitable for those using specialised knowledge to complete routine and non-routine tasks, and their own judgement to deal with predictable and sometimes unpredictable problems</w:t>
      </w:r>
      <w:r w:rsidRPr="00116535">
        <w:t>.</w:t>
      </w:r>
    </w:p>
    <w:p w:rsidR="00000000" w:rsidRPr="00116535" w:rsidP="00014500">
      <w:pPr>
        <w:pStyle w:val="BodyText"/>
      </w:pPr>
      <w:r w:rsidRPr="00116535">
        <w:t>No licensing or certification requirements apply to this unit at the time of publication.</w:t>
      </w:r>
    </w:p>
    <w:p w:rsidR="00000000" w:rsidRPr="00116535" w:rsidP="00116535">
      <w:pPr>
        <w:pStyle w:val="Heading1"/>
      </w:pPr>
      <w:bookmarkStart w:id="3" w:name="O_1131851"/>
      <w:bookmarkEnd w:id="3"/>
      <w:r w:rsidRPr="00116535">
        <w:t>Pre-requisite Unit</w:t>
      </w:r>
    </w:p>
    <w:p w:rsidR="00000000" w:rsidRPr="00116535" w:rsidP="00014500">
      <w:pPr>
        <w:pStyle w:val="BodyText"/>
      </w:pPr>
      <w:r w:rsidRPr="00116535">
        <w:t>Nil.</w:t>
      </w:r>
    </w:p>
    <w:p w:rsidR="00000000" w:rsidRPr="00116535" w:rsidP="00116535">
      <w:pPr>
        <w:pStyle w:val="Heading1"/>
      </w:pPr>
      <w:bookmarkStart w:id="4" w:name="O_1131850"/>
      <w:bookmarkEnd w:id="4"/>
      <w:r w:rsidRPr="00116535">
        <w:t>Unit Sector</w:t>
      </w:r>
    </w:p>
    <w:p w:rsidR="00000000" w:rsidRPr="00116535" w:rsidP="00014500">
      <w:pPr>
        <w:pStyle w:val="BodyText"/>
      </w:pPr>
      <w:r w:rsidRPr="00116535">
        <w:t>Swimming Pool and Spa Building</w:t>
      </w:r>
    </w:p>
    <w:p w:rsidR="00000000" w:rsidRPr="00116535" w:rsidP="00116535">
      <w:pPr>
        <w:pStyle w:val="Heading1"/>
      </w:pPr>
      <w:bookmarkStart w:id="5" w:name="O_1131849"/>
      <w:bookmarkEnd w:id="5"/>
      <w:r w:rsidRPr="001165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Performance criteria describe what needs to be done to demonstrate achievement of the element.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 xml:space="preserve">Collate project and </w:t>
            </w:r>
            <w:r w:rsidRPr="00116535">
              <w:t>client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 xml:space="preserve">Review client information to ensure client requirements </w:t>
            </w:r>
            <w:r w:rsidRPr="00116535">
              <w:t>have been met.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Review contractual conditions to determine final payment.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Compile client information and instructions for operation of swimming pool and spa equipment and systems.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Contact client and arrange suitable time to meet for handover.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Connect and test ancillary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Test operation of filtration, heating, lighting and cleaning control systems.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Conduct adjustment in line with pool environment, conditions and operating specifications.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 xml:space="preserve">Set equipment timers to accommodate pool environment and conditions. 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Inspect workmanship and ensure all inclusions are supplied and fitted.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Record outcomes and complete necessary documentation.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Conduct client handover.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Confirm project completion and supply of inclusions with client.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 xml:space="preserve">Demonstrate operation and inform client of settings, adjustments and routine maintenance requirements. </w:t>
            </w:r>
          </w:p>
        </w:tc>
      </w:tr>
      <w:tr w:rsidTr="0011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535">
            <w:pPr>
              <w:pStyle w:val="BodyText"/>
              <w:rPr>
                <w:lang w:val="en-NZ"/>
              </w:rPr>
            </w:pPr>
            <w:r w:rsidRPr="0011653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535" w:rsidP="00116535">
            <w:pPr>
              <w:pStyle w:val="BodyText"/>
            </w:pPr>
            <w:r w:rsidRPr="00116535">
              <w:t>Supply owner with swimming pool and spa equipment guarantees, warranties and manufacturer operating instructions.</w:t>
            </w:r>
          </w:p>
        </w:tc>
      </w:tr>
    </w:tbl>
    <w:p w:rsidR="00000000" w:rsidRPr="00116535" w:rsidP="00116535">
      <w:pPr>
        <w:pStyle w:val="BodyText"/>
      </w:pPr>
    </w:p>
    <w:p w:rsidR="00000000" w:rsidRPr="00116535" w:rsidP="00116535">
      <w:pPr>
        <w:pStyle w:val="AllowPageBreak"/>
      </w:pPr>
    </w:p>
    <w:p w:rsidR="00000000" w:rsidRPr="00116535" w:rsidP="00116535">
      <w:pPr>
        <w:pStyle w:val="Heading1"/>
      </w:pPr>
      <w:bookmarkStart w:id="6" w:name="O_1131848"/>
      <w:bookmarkEnd w:id="6"/>
      <w:r w:rsidRPr="00116535">
        <w:t>Foundation Skills</w:t>
      </w:r>
    </w:p>
    <w:p w:rsidR="00000000" w:rsidRPr="00116535" w:rsidP="00014500">
      <w:pPr>
        <w:pStyle w:val="BodyText"/>
      </w:pPr>
      <w:r w:rsidRPr="00116535">
        <w:t xml:space="preserve">This section describes the language, literacy, numeracy and employment skills essential to performance </w:t>
      </w:r>
      <w:r w:rsidRPr="00116535">
        <w:t xml:space="preserve">in this unit but not explicit in the performance criteria: </w:t>
      </w:r>
    </w:p>
    <w:p w:rsidR="00000000" w:rsidRPr="00116535" w:rsidP="00116535">
      <w:pPr>
        <w:pStyle w:val="ListBullet"/>
      </w:pPr>
      <w:r w:rsidRPr="00116535">
        <w:t>oral communication skills to instruct client on operation of ancillary pool systems</w:t>
      </w:r>
    </w:p>
    <w:p w:rsidR="00000000" w:rsidRPr="00116535" w:rsidP="00116535">
      <w:pPr>
        <w:pStyle w:val="ListBullet"/>
      </w:pPr>
      <w:r w:rsidRPr="00116535">
        <w:t>technology skills to set digital control systems.</w:t>
      </w:r>
    </w:p>
    <w:p w:rsidR="00000000" w:rsidRPr="00116535" w:rsidP="00116535">
      <w:pPr>
        <w:pStyle w:val="AllowPageBreak"/>
      </w:pPr>
    </w:p>
    <w:p w:rsidR="00000000" w:rsidRPr="00116535" w:rsidP="00116535">
      <w:pPr>
        <w:pStyle w:val="Heading1"/>
      </w:pPr>
      <w:bookmarkStart w:id="7" w:name="O_1131847"/>
      <w:bookmarkEnd w:id="7"/>
      <w:r w:rsidRPr="00116535">
        <w:t>Unit Mapping Information</w:t>
      </w:r>
    </w:p>
    <w:p w:rsidR="00000000" w:rsidRPr="00116535" w:rsidP="00014500">
      <w:pPr>
        <w:pStyle w:val="BodyText"/>
      </w:pPr>
      <w:r w:rsidRPr="00116535">
        <w:t>No equivalent unit.</w:t>
      </w:r>
    </w:p>
    <w:p w:rsidR="00000000" w:rsidRPr="00116535" w:rsidP="00116535">
      <w:pPr>
        <w:pStyle w:val="Heading1"/>
      </w:pPr>
      <w:bookmarkStart w:id="8" w:name="O_1131840"/>
      <w:bookmarkEnd w:id="8"/>
      <w:r w:rsidRPr="00116535">
        <w:t>Links</w:t>
      </w:r>
    </w:p>
    <w:p w:rsidR="00000000" w:rsidRPr="00116535" w:rsidP="00014500">
      <w:pPr>
        <w:pStyle w:val="BodyText"/>
      </w:pPr>
      <w:r w:rsidRPr="001165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B1B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16535" w:rsidP="00116535"/>
    <w:sectPr w:rsidSect="001165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5" w:rsidRPr="00014500" w:rsidP="00014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00" w:rsidP="00116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500" w:rsidP="00116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4500" w:rsidP="00116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535" w:rsidRPr="00014500" w:rsidP="00014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00" w:rsidRPr="002D2AF8" w:rsidP="00116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CPCSPS4007 Commission ancillary swimming pool and spa systems and hand over to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14500" w:rsidP="00116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5CB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85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28B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535"/>
  </w:style>
  <w:style w:type="character" w:customStyle="1" w:styleId="Heading1Char">
    <w:name w:val="Heading 1 Char"/>
    <w:basedOn w:val="DefaultParagraphFont"/>
    <w:link w:val="Heading1"/>
    <w:rsid w:val="00116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5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65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6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6535"/>
    <w:rPr>
      <w:b/>
      <w:spacing w:val="0"/>
    </w:rPr>
  </w:style>
  <w:style w:type="paragraph" w:customStyle="1" w:styleId="SuperTitle">
    <w:name w:val="SuperTitle"/>
    <w:basedOn w:val="Title"/>
    <w:rsid w:val="00116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5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535"/>
    <w:rPr>
      <w:i/>
    </w:rPr>
  </w:style>
  <w:style w:type="paragraph" w:styleId="Caption">
    <w:name w:val="caption"/>
    <w:basedOn w:val="BodyText"/>
    <w:next w:val="Normal"/>
    <w:qFormat/>
    <w:rsid w:val="00116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535"/>
  </w:style>
  <w:style w:type="paragraph" w:styleId="TableofFigures">
    <w:name w:val="table of figures"/>
    <w:basedOn w:val="Normal"/>
    <w:next w:val="Normal"/>
    <w:semiHidden/>
    <w:rsid w:val="00116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5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535"/>
    <w:rPr>
      <w:rFonts w:ascii="Wingdings" w:hAnsi="Wingdings"/>
    </w:rPr>
  </w:style>
  <w:style w:type="paragraph" w:customStyle="1" w:styleId="TableHeading">
    <w:name w:val="Table Heading"/>
    <w:basedOn w:val="HeadingBase"/>
    <w:rsid w:val="00116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535"/>
    <w:rPr>
      <w:color w:val="0033CC"/>
      <w:u w:val="none"/>
    </w:rPr>
  </w:style>
  <w:style w:type="paragraph" w:customStyle="1" w:styleId="BodyTextRight">
    <w:name w:val="Body Text Right"/>
    <w:basedOn w:val="BodyText"/>
    <w:rsid w:val="00116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5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535"/>
    <w:rPr>
      <w:sz w:val="32"/>
    </w:rPr>
  </w:style>
  <w:style w:type="paragraph" w:customStyle="1" w:styleId="HeadingProcedure">
    <w:name w:val="Heading Procedure"/>
    <w:basedOn w:val="HeadingBase"/>
    <w:next w:val="Normal"/>
    <w:rsid w:val="00116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535"/>
    <w:pPr>
      <w:spacing w:before="60" w:after="60"/>
    </w:pPr>
  </w:style>
  <w:style w:type="paragraph" w:styleId="ListContinue">
    <w:name w:val="List Continue"/>
    <w:basedOn w:val="List"/>
    <w:rsid w:val="00116535"/>
    <w:pPr>
      <w:ind w:firstLine="0"/>
    </w:pPr>
  </w:style>
  <w:style w:type="paragraph" w:customStyle="1" w:styleId="ListNote">
    <w:name w:val="List Note"/>
    <w:basedOn w:val="List"/>
    <w:rsid w:val="00116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535"/>
    <w:rPr>
      <w:rFonts w:ascii="Courier New" w:hAnsi="Courier New"/>
    </w:rPr>
  </w:style>
  <w:style w:type="paragraph" w:customStyle="1" w:styleId="NoteBullet">
    <w:name w:val="Note Bullet"/>
    <w:basedOn w:val="Note"/>
    <w:rsid w:val="00116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535"/>
    <w:rPr>
      <w:b/>
      <w:smallCaps/>
    </w:rPr>
  </w:style>
  <w:style w:type="paragraph" w:customStyle="1" w:styleId="TableListNumber">
    <w:name w:val="Table List Number"/>
    <w:basedOn w:val="ListNumber"/>
    <w:rsid w:val="00116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535"/>
    <w:pPr>
      <w:numPr>
        <w:numId w:val="9"/>
      </w:numPr>
    </w:pPr>
  </w:style>
  <w:style w:type="paragraph" w:customStyle="1" w:styleId="ListAlpha2">
    <w:name w:val="List Alpha 2"/>
    <w:basedOn w:val="List2"/>
    <w:rsid w:val="00116535"/>
    <w:pPr>
      <w:numPr>
        <w:numId w:val="8"/>
      </w:numPr>
    </w:pPr>
  </w:style>
  <w:style w:type="paragraph" w:styleId="List2">
    <w:name w:val="List 2"/>
    <w:basedOn w:val="BodyText"/>
    <w:rsid w:val="00116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5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535"/>
    <w:pPr>
      <w:numPr>
        <w:numId w:val="4"/>
      </w:numPr>
    </w:pPr>
  </w:style>
  <w:style w:type="paragraph" w:styleId="ListContinue2">
    <w:name w:val="List Continue 2"/>
    <w:basedOn w:val="List2"/>
    <w:rsid w:val="00116535"/>
    <w:pPr>
      <w:ind w:firstLine="0"/>
    </w:pPr>
  </w:style>
  <w:style w:type="paragraph" w:styleId="ListContinue3">
    <w:name w:val="List Continue 3"/>
    <w:basedOn w:val="List3"/>
    <w:rsid w:val="00116535"/>
    <w:pPr>
      <w:ind w:left="1021" w:firstLine="0"/>
    </w:pPr>
  </w:style>
  <w:style w:type="paragraph" w:styleId="ListContinue4">
    <w:name w:val="List Continue 4"/>
    <w:basedOn w:val="List4"/>
    <w:rsid w:val="00116535"/>
    <w:pPr>
      <w:ind w:firstLine="0"/>
    </w:pPr>
  </w:style>
  <w:style w:type="paragraph" w:styleId="ListContinue5">
    <w:name w:val="List Continue 5"/>
    <w:basedOn w:val="List5"/>
    <w:rsid w:val="00116535"/>
    <w:pPr>
      <w:ind w:firstLine="0"/>
    </w:pPr>
  </w:style>
  <w:style w:type="paragraph" w:styleId="ListNumber3">
    <w:name w:val="List Number 3"/>
    <w:basedOn w:val="List3"/>
    <w:rsid w:val="00116535"/>
    <w:pPr>
      <w:numPr>
        <w:numId w:val="5"/>
      </w:numPr>
    </w:pPr>
  </w:style>
  <w:style w:type="paragraph" w:styleId="ListNumber4">
    <w:name w:val="List Number 4"/>
    <w:basedOn w:val="List4"/>
    <w:rsid w:val="00116535"/>
    <w:pPr>
      <w:numPr>
        <w:numId w:val="6"/>
      </w:numPr>
    </w:pPr>
  </w:style>
  <w:style w:type="paragraph" w:styleId="ListNumber5">
    <w:name w:val="List Number 5"/>
    <w:basedOn w:val="List5"/>
    <w:rsid w:val="00116535"/>
    <w:pPr>
      <w:numPr>
        <w:numId w:val="7"/>
      </w:numPr>
    </w:pPr>
  </w:style>
  <w:style w:type="paragraph" w:styleId="BlockText">
    <w:name w:val="Block Text"/>
    <w:basedOn w:val="Normal"/>
    <w:rsid w:val="00116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535"/>
    <w:rPr>
      <w:sz w:val="16"/>
      <w:vertAlign w:val="superscript"/>
    </w:rPr>
  </w:style>
  <w:style w:type="character" w:customStyle="1" w:styleId="Symbols">
    <w:name w:val="Symbols"/>
    <w:basedOn w:val="DefaultParagraphFont"/>
    <w:rsid w:val="00116535"/>
    <w:rPr>
      <w:rFonts w:ascii="Symbol" w:hAnsi="Symbol"/>
    </w:rPr>
  </w:style>
  <w:style w:type="character" w:customStyle="1" w:styleId="MenuOptions">
    <w:name w:val="Menu Options"/>
    <w:basedOn w:val="DefaultParagraphFont"/>
    <w:rsid w:val="00116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535"/>
    <w:rPr>
      <w:b/>
    </w:rPr>
  </w:style>
  <w:style w:type="character" w:customStyle="1" w:styleId="Underlined">
    <w:name w:val="Underlined"/>
    <w:basedOn w:val="DefaultParagraphFont"/>
    <w:rsid w:val="00116535"/>
    <w:rPr>
      <w:u w:val="single"/>
    </w:rPr>
  </w:style>
  <w:style w:type="paragraph" w:customStyle="1" w:styleId="TableBodyTextRight">
    <w:name w:val="Table Body Text Right"/>
    <w:basedOn w:val="TableBodyText"/>
    <w:rsid w:val="00116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535"/>
    <w:rPr>
      <w:sz w:val="18"/>
    </w:rPr>
  </w:style>
  <w:style w:type="paragraph" w:customStyle="1" w:styleId="BodySmallRight">
    <w:name w:val="Body Small Right"/>
    <w:basedOn w:val="BodyTextRight"/>
    <w:rsid w:val="00116535"/>
    <w:rPr>
      <w:sz w:val="18"/>
      <w:szCs w:val="18"/>
    </w:rPr>
  </w:style>
  <w:style w:type="paragraph" w:customStyle="1" w:styleId="MarginEdition">
    <w:name w:val="Margin Edition"/>
    <w:basedOn w:val="MarginNote"/>
    <w:rsid w:val="00116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535"/>
    <w:rPr>
      <w:sz w:val="2"/>
      <w:szCs w:val="2"/>
    </w:rPr>
  </w:style>
  <w:style w:type="character" w:customStyle="1" w:styleId="Small">
    <w:name w:val="Small"/>
    <w:basedOn w:val="DefaultParagraphFont"/>
    <w:rsid w:val="00116535"/>
    <w:rPr>
      <w:sz w:val="16"/>
    </w:rPr>
  </w:style>
  <w:style w:type="paragraph" w:customStyle="1" w:styleId="WideTable">
    <w:name w:val="Wide Table"/>
    <w:basedOn w:val="Normal"/>
    <w:rsid w:val="00116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535"/>
  </w:style>
  <w:style w:type="paragraph" w:styleId="Quote">
    <w:name w:val="Quote"/>
    <w:basedOn w:val="Heading1"/>
    <w:link w:val="QuoteChar"/>
    <w:qFormat/>
    <w:rsid w:val="00116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535"/>
    <w:pPr>
      <w:pageBreakBefore/>
    </w:pPr>
  </w:style>
  <w:style w:type="paragraph" w:customStyle="1" w:styleId="Border">
    <w:name w:val="Border"/>
    <w:basedOn w:val="Normal"/>
    <w:qFormat/>
    <w:rsid w:val="00116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535"/>
    <w:rPr>
      <w:u w:val="single"/>
    </w:rPr>
  </w:style>
  <w:style w:type="character" w:customStyle="1" w:styleId="BoldandItalics">
    <w:name w:val="Bold and Italics"/>
    <w:qFormat/>
    <w:rsid w:val="00116535"/>
    <w:rPr>
      <w:b/>
      <w:i/>
      <w:u w:val="none"/>
    </w:rPr>
  </w:style>
  <w:style w:type="paragraph" w:styleId="BalloonText">
    <w:name w:val="Balloon Text"/>
    <w:basedOn w:val="Normal"/>
    <w:link w:val="BalloonTextChar"/>
    <w:rsid w:val="00116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535"/>
    <w:pPr>
      <w:spacing w:before="0" w:after="0"/>
    </w:pPr>
  </w:style>
  <w:style w:type="paragraph" w:customStyle="1" w:styleId="BodyTextBold">
    <w:name w:val="Body Text Bold"/>
    <w:basedOn w:val="BodyText"/>
    <w:qFormat/>
    <w:rsid w:val="00116535"/>
    <w:rPr>
      <w:b/>
    </w:rPr>
  </w:style>
  <w:style w:type="character" w:styleId="Hyperlink">
    <w:name w:val="Hyperlink"/>
    <w:basedOn w:val="DefaultParagraphFont"/>
    <w:uiPriority w:val="99"/>
    <w:unhideWhenUsed/>
    <w:rsid w:val="00014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2777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CPCSPS4007 Commission ancillary swimming pool and spa systems and hand over to client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