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DBE" w:rsidP="00551DBE">
      <w:pPr>
        <w:pStyle w:val="Title"/>
      </w:pPr>
      <w:r>
        <w:fldChar w:fldCharType="begin"/>
      </w:r>
      <w:r>
        <w:instrText xml:space="preserve"> TITLE   \* MERGEFORMAT </w:instrText>
      </w:r>
      <w:r>
        <w:fldChar w:fldCharType="separate"/>
      </w:r>
      <w:r>
        <w:t>CPCSPS4004 Install swimming pool and spa circulation systems and components</w:t>
      </w:r>
      <w:r>
        <w:fldChar w:fldCharType="end"/>
      </w:r>
    </w:p>
    <w:p w:rsidR="00551DBE" w:rsidP="00551DBE">
      <w:pPr>
        <w:pStyle w:val="Version"/>
        <w:sectPr w:rsidSect="00A60D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DCA" w:rsidP="00A60DCA">
      <w:pPr>
        <w:pStyle w:val="SuperHeading"/>
      </w:pPr>
      <w:r w:rsidRPr="00A60DCA">
        <w:t>CPCSPS4004 Install swimming pool and spa circulation systems and components</w:t>
      </w:r>
    </w:p>
    <w:p w:rsidR="00000000" w:rsidRPr="00A60DCA" w:rsidP="00A60DCA">
      <w:pPr>
        <w:pStyle w:val="Heading1"/>
      </w:pPr>
      <w:bookmarkStart w:id="1" w:name="O_1131795"/>
      <w:bookmarkEnd w:id="1"/>
      <w:r w:rsidRPr="00A60DCA">
        <w:t>Modification History</w:t>
      </w:r>
    </w:p>
    <w:tbl>
      <w:tblPr>
        <w:tblW w:w="9304" w:type="dxa"/>
        <w:tblLayout w:type="fixed"/>
        <w:tblCellMar>
          <w:left w:w="62" w:type="dxa"/>
          <w:right w:w="62" w:type="dxa"/>
        </w:tblCellMar>
        <w:tblLook w:val="0000"/>
      </w:tblPr>
      <w:tblGrid>
        <w:gridCol w:w="1326"/>
        <w:gridCol w:w="7978"/>
      </w:tblGrid>
      <w:tr w:rsidTr="00A60DCA">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A60DCA" w:rsidP="00A60DCA">
            <w:pPr>
              <w:pStyle w:val="BodyText"/>
            </w:pPr>
            <w:r w:rsidRPr="00A60DCA">
              <w:t>This version first released with CPC Construction, Plumbing and Services Training Package Release 5.0.</w:t>
            </w:r>
          </w:p>
          <w:p w:rsidR="00000000" w:rsidRPr="00A60DCA" w:rsidP="00A60DCA">
            <w:pPr>
              <w:pStyle w:val="BodyText"/>
            </w:pPr>
            <w:r w:rsidRPr="00A60DCA">
              <w:t>New unit.</w:t>
            </w:r>
          </w:p>
        </w:tc>
      </w:tr>
    </w:tbl>
    <w:p w:rsidR="00000000" w:rsidRPr="00A60DCA" w:rsidP="00A60DCA">
      <w:pPr>
        <w:pStyle w:val="BodyText"/>
      </w:pPr>
    </w:p>
    <w:p w:rsidR="00000000" w:rsidRPr="00A60DCA" w:rsidP="00A60DCA">
      <w:pPr>
        <w:pStyle w:val="AllowPageBreak"/>
      </w:pPr>
    </w:p>
    <w:p w:rsidR="00000000" w:rsidRPr="00A60DCA" w:rsidP="00A60DCA">
      <w:pPr>
        <w:pStyle w:val="Heading1"/>
      </w:pPr>
      <w:bookmarkStart w:id="2" w:name="O_1131801"/>
      <w:bookmarkEnd w:id="2"/>
      <w:r w:rsidRPr="00A60DCA">
        <w:t>Application</w:t>
      </w:r>
    </w:p>
    <w:p w:rsidR="00000000" w:rsidRPr="00A60DCA" w:rsidP="00551DBE">
      <w:pPr>
        <w:pStyle w:val="BodyText"/>
      </w:pPr>
      <w:r w:rsidRPr="00A60DCA">
        <w:t xml:space="preserve">This unit specifies the skills and knowledge required to install pipework to swimming pool and spa circulation systems and components. It includes installing and connecting pool pipework to pumps, filtration and heating systems. </w:t>
      </w:r>
    </w:p>
    <w:p w:rsidR="00000000" w:rsidRPr="00A60DCA" w:rsidP="00551DBE">
      <w:pPr>
        <w:pStyle w:val="BodyText"/>
      </w:pPr>
      <w:r w:rsidRPr="00A60DCA">
        <w:t xml:space="preserve">This </w:t>
      </w:r>
      <w:r w:rsidRPr="00A60DCA">
        <w:t>unit applies to a range of contexts and reflects the role of those who are responsible for the installation process of pipework to above-ground and in-ground:</w:t>
      </w:r>
    </w:p>
    <w:p w:rsidR="00000000" w:rsidRPr="00A60DCA" w:rsidP="00A60DCA">
      <w:pPr>
        <w:pStyle w:val="ListBullet"/>
      </w:pPr>
      <w:r w:rsidRPr="00A60DCA">
        <w:t>private swimming pools</w:t>
      </w:r>
    </w:p>
    <w:p w:rsidR="00000000" w:rsidRPr="00A60DCA" w:rsidP="00A60DCA">
      <w:pPr>
        <w:pStyle w:val="ListBullet"/>
      </w:pPr>
      <w:r w:rsidRPr="00A60DCA">
        <w:t>public swimming pools, including:</w:t>
      </w:r>
    </w:p>
    <w:p w:rsidR="00000000" w:rsidRPr="00A60DCA" w:rsidP="00A60DCA">
      <w:pPr>
        <w:pStyle w:val="ListBullet2"/>
      </w:pPr>
      <w:r w:rsidRPr="00A60DCA">
        <w:t>hydrotherapy and therapeutic exercise pools</w:t>
      </w:r>
    </w:p>
    <w:p w:rsidR="00000000" w:rsidRPr="00A60DCA" w:rsidP="00A60DCA">
      <w:pPr>
        <w:pStyle w:val="ListBullet2"/>
      </w:pPr>
      <w:r w:rsidRPr="00A60DCA">
        <w:t>wading and receiving pools associated with water slides</w:t>
      </w:r>
    </w:p>
    <w:p w:rsidR="00000000" w:rsidRPr="00A60DCA" w:rsidP="00A60DCA">
      <w:pPr>
        <w:pStyle w:val="ListBullet2"/>
      </w:pPr>
      <w:r w:rsidRPr="00A60DCA">
        <w:t>wave pools.</w:t>
      </w:r>
    </w:p>
    <w:p w:rsidR="00000000" w:rsidRPr="00A60DCA" w:rsidP="00551DBE">
      <w:pPr>
        <w:pStyle w:val="BodyText"/>
      </w:pPr>
      <w:r w:rsidRPr="00A60DCA">
        <w:t>This unit is suitable for those using specialised knowledge to complete routine and non-routine tasks, and their own judgement to deal with pred</w:t>
      </w:r>
      <w:r w:rsidRPr="00A60DCA">
        <w:t>ictable and sometimes unpredictable problems.</w:t>
      </w:r>
    </w:p>
    <w:p w:rsidR="00000000" w:rsidRPr="00A60DCA" w:rsidP="00551DBE">
      <w:pPr>
        <w:pStyle w:val="BodyText"/>
      </w:pPr>
      <w:r w:rsidRPr="00A60DCA">
        <w:t>No licensing or certification requirements apply to this unit at the time of publication.</w:t>
      </w:r>
    </w:p>
    <w:p w:rsidR="00000000" w:rsidRPr="00A60DCA" w:rsidP="00A60DCA">
      <w:pPr>
        <w:pStyle w:val="Heading1"/>
      </w:pPr>
      <w:bookmarkStart w:id="3" w:name="O_1131800"/>
      <w:bookmarkEnd w:id="3"/>
      <w:r w:rsidRPr="00A60DCA">
        <w:t>Pre-requisite Unit</w:t>
      </w:r>
    </w:p>
    <w:p w:rsidR="00000000" w:rsidRPr="00A60DCA" w:rsidP="00551DBE">
      <w:pPr>
        <w:pStyle w:val="BodyText"/>
      </w:pPr>
      <w:r w:rsidRPr="00A60DCA">
        <w:t>Nil.</w:t>
      </w:r>
    </w:p>
    <w:p w:rsidR="00000000" w:rsidRPr="00A60DCA" w:rsidP="00A60DCA">
      <w:pPr>
        <w:pStyle w:val="Heading1"/>
      </w:pPr>
      <w:bookmarkStart w:id="4" w:name="O_1131799"/>
      <w:bookmarkEnd w:id="4"/>
      <w:r w:rsidRPr="00A60DCA">
        <w:t>Unit Sector</w:t>
      </w:r>
    </w:p>
    <w:p w:rsidR="00000000" w:rsidRPr="00A60DCA" w:rsidP="00551DBE">
      <w:pPr>
        <w:pStyle w:val="BodyText"/>
      </w:pPr>
      <w:r w:rsidRPr="00A60DCA">
        <w:t>Swimming Pool and Spa Building</w:t>
      </w:r>
    </w:p>
    <w:p w:rsidR="00000000" w:rsidRPr="00A60DCA" w:rsidP="00A60DCA">
      <w:pPr>
        <w:pStyle w:val="Heading1"/>
      </w:pPr>
      <w:bookmarkStart w:id="5" w:name="O_1131798"/>
      <w:bookmarkEnd w:id="5"/>
      <w:r w:rsidRPr="00A60DC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60DC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Performance criteria describe what needs to be done to demonstrate achievement of the element.</w:t>
            </w:r>
          </w:p>
        </w:tc>
      </w:tr>
      <w:tr w:rsidTr="00A60D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w:t>
            </w:r>
          </w:p>
        </w:tc>
        <w:tc>
          <w:tcPr>
            <w:tcW w:w="2357" w:type="dxa"/>
            <w:vMerge w:val="restart"/>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Plan and prepare for the installation of circulation systems and compon</w:t>
            </w:r>
            <w:r w:rsidRPr="00A60DCA">
              <w:t>ents.</w:t>
            </w: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1.1</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Access, read and interpret relevant information from plans, specifications, codes and standards.</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1.2</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Interpret and apply work health and safety and environmental requirements.</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1.3</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Obtain information to identify, locate and protect existing underground services prior to excavation.</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1.4</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Calculate and order pipework, components and materials.</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1.5</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Determine commencement date and schedule delivery of pipework, components and materi</w:t>
            </w:r>
            <w:r w:rsidRPr="00A60DCA">
              <w:t>als.</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1.6</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Determine job priorities and sequence job tasks in consultation with others on site.</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1.7</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Select and check tools and equipment for serviceability.</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1.8</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Select, fit and use personal protective equipment appropriate for the activity.</w:t>
            </w:r>
          </w:p>
        </w:tc>
      </w:tr>
      <w:tr w:rsidTr="00A60D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0DCA">
            <w:pPr>
              <w:pStyle w:val="BodyText"/>
              <w:rPr>
                <w:lang w:val="en-NZ"/>
              </w:rPr>
            </w:pPr>
          </w:p>
        </w:tc>
      </w:tr>
      <w:tr w:rsidTr="00A60D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2</w:t>
            </w:r>
          </w:p>
        </w:tc>
        <w:tc>
          <w:tcPr>
            <w:tcW w:w="2357" w:type="dxa"/>
            <w:vMerge w:val="restart"/>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Install pipework for swimming pools and spas.</w:t>
            </w: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2.1</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 xml:space="preserve">Confirm position of circulation equipment with relevant person. </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2.2</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Excavate trenches for pipework to specified depth and level.</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2.3</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Install pipework and components to specified fall.</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2.4</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Test pipework for leaks and repair as necessary.</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2.5</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Backfill and compact trenches to comply with relevant Australian Standards.</w:t>
            </w:r>
          </w:p>
        </w:tc>
      </w:tr>
      <w:tr w:rsidTr="00A60D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0DCA">
            <w:pPr>
              <w:pStyle w:val="BodyText"/>
              <w:rPr>
                <w:lang w:val="en-NZ"/>
              </w:rPr>
            </w:pPr>
          </w:p>
        </w:tc>
      </w:tr>
      <w:tr w:rsidTr="00A60D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3</w:t>
            </w:r>
          </w:p>
        </w:tc>
        <w:tc>
          <w:tcPr>
            <w:tcW w:w="2357" w:type="dxa"/>
            <w:vMerge w:val="restart"/>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Clean up site.</w:t>
            </w: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3.1</w:t>
            </w:r>
          </w:p>
        </w:tc>
        <w:tc>
          <w:tcPr>
            <w:tcW w:w="5659"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Clear the work area and reuse, recycle or dispose of materials in accordance with workplace and environmental requirements.</w:t>
            </w:r>
          </w:p>
        </w:tc>
      </w:tr>
      <w:tr w:rsidTr="00A60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3.2</w:t>
            </w:r>
          </w:p>
        </w:tc>
        <w:tc>
          <w:tcPr>
            <w:tcW w:w="5659" w:type="dxa"/>
            <w:tcBorders>
              <w:top w:val="nil"/>
              <w:left w:val="nil"/>
              <w:bottom w:val="nil"/>
              <w:right w:val="nil"/>
            </w:tcBorders>
            <w:tcMar>
              <w:top w:w="0" w:type="dxa"/>
              <w:left w:w="62" w:type="dxa"/>
              <w:bottom w:w="0" w:type="dxa"/>
              <w:right w:w="62" w:type="dxa"/>
            </w:tcMar>
          </w:tcPr>
          <w:p w:rsidR="00000000" w:rsidRPr="00A60DCA" w:rsidP="00A60DCA">
            <w:pPr>
              <w:pStyle w:val="BodyText"/>
            </w:pPr>
            <w:r w:rsidRPr="00A60DCA">
              <w:t>Clean tools and equipment, check for serviceability, report any damage or faults and store and secure.</w:t>
            </w:r>
          </w:p>
        </w:tc>
      </w:tr>
    </w:tbl>
    <w:p w:rsidR="00000000" w:rsidRPr="00A60DCA" w:rsidP="00A60DCA">
      <w:pPr>
        <w:pStyle w:val="BodyText"/>
      </w:pPr>
    </w:p>
    <w:p w:rsidR="00000000" w:rsidRPr="00A60DCA" w:rsidP="00A60DCA">
      <w:pPr>
        <w:pStyle w:val="AllowPageBreak"/>
      </w:pPr>
    </w:p>
    <w:p w:rsidR="00000000" w:rsidRPr="00A60DCA" w:rsidP="00A60DCA">
      <w:pPr>
        <w:pStyle w:val="Heading1"/>
      </w:pPr>
      <w:bookmarkStart w:id="6" w:name="O_1131797"/>
      <w:bookmarkEnd w:id="6"/>
      <w:r w:rsidRPr="00A60DCA">
        <w:t>Foundation Skills</w:t>
      </w:r>
    </w:p>
    <w:p w:rsidR="00000000" w:rsidRPr="00A60DCA" w:rsidP="00551DBE">
      <w:pPr>
        <w:pStyle w:val="BodyText"/>
      </w:pPr>
      <w:r w:rsidRPr="00A60DCA">
        <w:t xml:space="preserve">Foundation skills essential to performance are explicit in the performance criteria of this unit of competency. </w:t>
      </w:r>
    </w:p>
    <w:p w:rsidR="00000000" w:rsidRPr="00A60DCA" w:rsidP="00A60DCA">
      <w:pPr>
        <w:pStyle w:val="Heading1"/>
      </w:pPr>
      <w:bookmarkStart w:id="7" w:name="O_1131796"/>
      <w:bookmarkEnd w:id="7"/>
      <w:r w:rsidRPr="00A60DCA">
        <w:t>Unit Mapping Information</w:t>
      </w:r>
    </w:p>
    <w:p w:rsidR="00000000" w:rsidRPr="00A60DCA" w:rsidP="00551DBE">
      <w:pPr>
        <w:pStyle w:val="BodyText"/>
      </w:pPr>
      <w:r w:rsidRPr="00A60DCA">
        <w:t>No equivalent unit.</w:t>
      </w:r>
    </w:p>
    <w:p w:rsidR="00000000" w:rsidRPr="00A60DCA" w:rsidP="00A60DCA">
      <w:pPr>
        <w:pStyle w:val="Heading1"/>
      </w:pPr>
      <w:bookmarkStart w:id="8" w:name="O_1131789"/>
      <w:bookmarkEnd w:id="8"/>
      <w:r w:rsidRPr="00A60DCA">
        <w:t>Links</w:t>
      </w:r>
    </w:p>
    <w:p w:rsidR="00000000" w:rsidRPr="00A60DCA" w:rsidP="00551DBE">
      <w:pPr>
        <w:pStyle w:val="BodyText"/>
      </w:pPr>
      <w:r w:rsidRPr="00A60DCA">
        <w:t>Companion volumes to this training p</w:t>
      </w:r>
      <w:r w:rsidRPr="00A60DCA">
        <w:t xml:space="preserve">ackage are available at the VETNet website - </w:t>
      </w:r>
      <w:r>
        <w:fldChar w:fldCharType="begin"/>
      </w:r>
      <w:r>
        <w:instrText xml:space="preserve"> HYPERLINK "https://vetnet.gov.au/Pages/TrainingDocs.aspx?q=7e15fa6a-68b8-4097-b099-030a5569b1ad" </w:instrText>
      </w:r>
      <w:r>
        <w:fldChar w:fldCharType="separate"/>
      </w:r>
      <w:r w:rsidRPr="001B7C89">
        <w:rPr>
          <w:rStyle w:val="Hyperlink"/>
        </w:rPr>
        <w:t>https://vetnet.gov.au/Pages/TrainingDocs.aspx?q=7e15fa6a-68b8-4097-b099-030a5569b1ad</w:t>
      </w:r>
      <w:r>
        <w:fldChar w:fldCharType="end"/>
      </w:r>
    </w:p>
    <w:p w:rsidR="00000000" w:rsidRPr="00A60DCA" w:rsidP="00551DBE">
      <w:pPr>
        <w:pStyle w:val="BodyText"/>
        <w:sectPr w:rsidSect="00A60DCA">
          <w:headerReference w:type="default" r:id="rId10"/>
          <w:footerReference w:type="default" r:id="rId11"/>
          <w:pgSz w:w="11908" w:h="16833"/>
          <w:pgMar w:top="1702" w:right="1418" w:bottom="1702" w:left="1418" w:header="992" w:footer="992" w:gutter="0"/>
          <w:cols w:space="720"/>
          <w:noEndnote/>
          <w:docGrid w:linePitch="299"/>
        </w:sectPr>
      </w:pPr>
    </w:p>
    <w:p w:rsidR="00000000" w:rsidRPr="00A60DCA" w:rsidP="00A60DCA">
      <w:pPr>
        <w:pStyle w:val="SuperHeading"/>
      </w:pPr>
      <w:r w:rsidRPr="00A60DCA">
        <w:t>Assessment Requirements for CPCSPS4004 Install swimming pool and spa circulatio</w:t>
      </w:r>
      <w:r w:rsidRPr="00A60DCA">
        <w:t>n systems and components</w:t>
      </w:r>
    </w:p>
    <w:p w:rsidR="00000000" w:rsidRPr="00A60DCA" w:rsidP="00A60DCA">
      <w:pPr>
        <w:pStyle w:val="Heading1"/>
      </w:pPr>
      <w:bookmarkStart w:id="9" w:name="O_1131791"/>
      <w:bookmarkEnd w:id="9"/>
      <w:r w:rsidRPr="00A60DCA">
        <w:t>Modification History</w:t>
      </w:r>
    </w:p>
    <w:tbl>
      <w:tblPr>
        <w:tblW w:w="9304" w:type="dxa"/>
        <w:tblLayout w:type="fixed"/>
        <w:tblCellMar>
          <w:left w:w="62" w:type="dxa"/>
          <w:right w:w="62" w:type="dxa"/>
        </w:tblCellMar>
        <w:tblLook w:val="0000"/>
      </w:tblPr>
      <w:tblGrid>
        <w:gridCol w:w="1326"/>
        <w:gridCol w:w="7978"/>
      </w:tblGrid>
      <w:tr w:rsidTr="00A60DCA">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A60DCA">
            <w:pPr>
              <w:pStyle w:val="BodyText"/>
              <w:rPr>
                <w:lang w:val="en-NZ"/>
              </w:rPr>
            </w:pPr>
            <w:r w:rsidRPr="00A60DCA">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A60DCA" w:rsidP="00A60DCA">
            <w:pPr>
              <w:pStyle w:val="BodyText"/>
            </w:pPr>
            <w:r w:rsidRPr="00A60DCA">
              <w:t>This version first released with CPC Construction, Plumbing and Services Training Package Release 5.0.</w:t>
            </w:r>
          </w:p>
          <w:p w:rsidR="00000000" w:rsidRPr="00A60DCA" w:rsidP="00A60DCA">
            <w:pPr>
              <w:pStyle w:val="BodyText"/>
            </w:pPr>
            <w:r w:rsidRPr="00A60DCA">
              <w:t>New unit.</w:t>
            </w:r>
          </w:p>
        </w:tc>
      </w:tr>
    </w:tbl>
    <w:p w:rsidR="00000000" w:rsidRPr="00A60DCA" w:rsidP="00A60DCA">
      <w:pPr>
        <w:pStyle w:val="BodyText"/>
      </w:pPr>
    </w:p>
    <w:p w:rsidR="00000000" w:rsidRPr="00A60DCA" w:rsidP="00A60DCA">
      <w:pPr>
        <w:pStyle w:val="AllowPageBreak"/>
      </w:pPr>
    </w:p>
    <w:p w:rsidR="00000000" w:rsidRPr="00A60DCA" w:rsidP="00A60DCA">
      <w:pPr>
        <w:pStyle w:val="Heading1"/>
      </w:pPr>
      <w:bookmarkStart w:id="10" w:name="O_1131794"/>
      <w:bookmarkEnd w:id="10"/>
      <w:r w:rsidRPr="00A60DCA">
        <w:t>Performance Evidence</w:t>
      </w:r>
    </w:p>
    <w:p w:rsidR="00000000" w:rsidRPr="00A60DCA" w:rsidP="00551DBE">
      <w:pPr>
        <w:pStyle w:val="BodyText"/>
      </w:pPr>
      <w:r w:rsidRPr="00A60DCA">
        <w:t>To demonstrate competency, a candidate must meet the performance criteria of this unit by installing pipework and components for a circulation system covering one of the following:</w:t>
      </w:r>
    </w:p>
    <w:p w:rsidR="00000000" w:rsidRPr="00A60DCA" w:rsidP="00A60DCA">
      <w:pPr>
        <w:pStyle w:val="ListBullet"/>
      </w:pPr>
      <w:r w:rsidRPr="00A60DCA">
        <w:t>one swimming pool</w:t>
      </w:r>
    </w:p>
    <w:p w:rsidR="00000000" w:rsidRPr="00A60DCA" w:rsidP="00A60DCA">
      <w:pPr>
        <w:pStyle w:val="ListBullet"/>
      </w:pPr>
      <w:r w:rsidRPr="00A60DCA">
        <w:t>one spa</w:t>
      </w:r>
    </w:p>
    <w:p w:rsidR="00000000" w:rsidRPr="00A60DCA" w:rsidP="00A60DCA">
      <w:pPr>
        <w:pStyle w:val="ListBullet"/>
      </w:pPr>
      <w:r w:rsidRPr="00A60DCA">
        <w:t>one swimming pool and spa.</w:t>
      </w:r>
    </w:p>
    <w:p w:rsidR="00000000" w:rsidRPr="00A60DCA" w:rsidP="00551DBE">
      <w:pPr>
        <w:pStyle w:val="BodyText"/>
      </w:pPr>
      <w:r w:rsidRPr="00A60DCA">
        <w:t>Installation must inc</w:t>
      </w:r>
      <w:r w:rsidRPr="00A60DCA">
        <w:t>lude a pool pump and a filtration system.</w:t>
      </w:r>
    </w:p>
    <w:p w:rsidR="00000000" w:rsidRPr="00A60DCA" w:rsidP="00A60DCA">
      <w:pPr>
        <w:pStyle w:val="Heading1"/>
      </w:pPr>
      <w:bookmarkStart w:id="11" w:name="O_1131793"/>
      <w:bookmarkEnd w:id="11"/>
      <w:r w:rsidRPr="00A60DCA">
        <w:t>Knowledge Evidence</w:t>
      </w:r>
    </w:p>
    <w:p w:rsidR="00000000" w:rsidRPr="00A60DCA" w:rsidP="00551DBE">
      <w:pPr>
        <w:pStyle w:val="BodyText"/>
      </w:pPr>
      <w:r w:rsidRPr="00A60DCA">
        <w:t>To be competent in this unit, a candidate must demonstrate knowledge of:</w:t>
      </w:r>
    </w:p>
    <w:p w:rsidR="00000000" w:rsidRPr="00A60DCA" w:rsidP="00A60DCA">
      <w:pPr>
        <w:pStyle w:val="ListBullet"/>
      </w:pPr>
      <w:r w:rsidRPr="00A60DCA">
        <w:t>regulations, standards and codes relevant to installation of circulation systems for swimming pools an</w:t>
      </w:r>
      <w:r w:rsidRPr="00A60DCA">
        <w:t xml:space="preserve">d spas </w:t>
      </w:r>
    </w:p>
    <w:p w:rsidR="00000000" w:rsidRPr="00A60DCA" w:rsidP="00A60DCA">
      <w:pPr>
        <w:pStyle w:val="ListBullet"/>
      </w:pPr>
      <w:r w:rsidRPr="00A60DCA">
        <w:t>relevant sections of the National Construction Code (NCC)</w:t>
      </w:r>
    </w:p>
    <w:p w:rsidR="00000000" w:rsidRPr="00A60DCA" w:rsidP="00A60DCA">
      <w:pPr>
        <w:pStyle w:val="ListBullet"/>
      </w:pPr>
      <w:r w:rsidRPr="00A60DCA">
        <w:t xml:space="preserve">features of swimming pool and spa project plans and specifications </w:t>
      </w:r>
    </w:p>
    <w:p w:rsidR="00000000" w:rsidRPr="00A60DCA" w:rsidP="00A60DCA">
      <w:pPr>
        <w:pStyle w:val="ListBullet"/>
      </w:pPr>
      <w:r w:rsidRPr="00A60DCA">
        <w:t>manufacturer instructions for circulation systems and components</w:t>
      </w:r>
    </w:p>
    <w:p w:rsidR="00000000" w:rsidRPr="00A60DCA" w:rsidP="00A60DCA">
      <w:pPr>
        <w:pStyle w:val="ListBullet"/>
      </w:pPr>
      <w:r w:rsidRPr="00A60DCA">
        <w:t>properties, applications and limitations of swimming pool and spa materials, products and components for circulation systems</w:t>
      </w:r>
    </w:p>
    <w:p w:rsidR="00000000" w:rsidRPr="00A60DCA" w:rsidP="00A60DCA">
      <w:pPr>
        <w:pStyle w:val="ListBullet"/>
      </w:pPr>
      <w:r w:rsidRPr="00A60DCA">
        <w:t>processes, procedures and techniques for:</w:t>
      </w:r>
    </w:p>
    <w:p w:rsidR="00000000" w:rsidRPr="00A60DCA" w:rsidP="00A60DCA">
      <w:pPr>
        <w:pStyle w:val="ListBullet2"/>
      </w:pPr>
      <w:r w:rsidRPr="00A60DCA">
        <w:t xml:space="preserve">construction of in-ground pools and spas </w:t>
      </w:r>
    </w:p>
    <w:p w:rsidR="00000000" w:rsidRPr="00A60DCA" w:rsidP="00A60DCA">
      <w:pPr>
        <w:pStyle w:val="ListBullet2"/>
      </w:pPr>
      <w:r w:rsidRPr="00A60DCA">
        <w:t>installation of above-ground pools and spas</w:t>
      </w:r>
    </w:p>
    <w:p w:rsidR="00000000" w:rsidRPr="00A60DCA" w:rsidP="00A60DCA">
      <w:pPr>
        <w:pStyle w:val="ListBullet2"/>
      </w:pPr>
      <w:r w:rsidRPr="00A60DCA">
        <w:t>in</w:t>
      </w:r>
      <w:r w:rsidRPr="00A60DCA">
        <w:t xml:space="preserve">stallation and operation of swimming pool and spa circulation equipment </w:t>
      </w:r>
    </w:p>
    <w:p w:rsidR="00000000" w:rsidRPr="00A60DCA" w:rsidP="00A60DCA">
      <w:pPr>
        <w:pStyle w:val="ListBullet2"/>
      </w:pPr>
      <w:r w:rsidRPr="00A60DCA">
        <w:t>connecting filtration, circulation, heating and lighting systems</w:t>
      </w:r>
    </w:p>
    <w:p w:rsidR="00000000" w:rsidRPr="00A60DCA" w:rsidP="00A60DCA">
      <w:pPr>
        <w:pStyle w:val="ListBullet"/>
      </w:pPr>
      <w:r w:rsidRPr="00A60DCA">
        <w:t>licensing and competency requirements for installing swimming pool and spa ancillary equipment</w:t>
      </w:r>
    </w:p>
    <w:p w:rsidR="00000000" w:rsidRPr="00A60DCA" w:rsidP="00A60DCA">
      <w:pPr>
        <w:pStyle w:val="ListBullet"/>
      </w:pPr>
      <w:r w:rsidRPr="00A60DCA">
        <w:t>operational and functi</w:t>
      </w:r>
      <w:r w:rsidRPr="00A60DCA">
        <w:t xml:space="preserve">onal features of tools and equipment </w:t>
      </w:r>
    </w:p>
    <w:p w:rsidR="00000000" w:rsidRPr="00A60DCA" w:rsidP="00A60DCA">
      <w:pPr>
        <w:pStyle w:val="ListBullet"/>
      </w:pPr>
      <w:r w:rsidRPr="00A60DCA">
        <w:t>relevant sections of workplace safety requirements</w:t>
      </w:r>
    </w:p>
    <w:p w:rsidR="00000000" w:rsidRPr="00A60DCA" w:rsidP="00A60DCA">
      <w:pPr>
        <w:pStyle w:val="ListBullet"/>
      </w:pPr>
      <w:r w:rsidRPr="00A60DCA">
        <w:t>workplace safety:</w:t>
      </w:r>
    </w:p>
    <w:p w:rsidR="00000000" w:rsidRPr="00A60DCA" w:rsidP="00A60DCA">
      <w:pPr>
        <w:pStyle w:val="ListBullet2"/>
      </w:pPr>
      <w:r w:rsidRPr="00A60DCA">
        <w:t>hierarchy of control</w:t>
      </w:r>
    </w:p>
    <w:p w:rsidR="00000000" w:rsidRPr="00A60DCA" w:rsidP="00A60DCA">
      <w:pPr>
        <w:pStyle w:val="ListBullet2"/>
      </w:pPr>
      <w:r w:rsidRPr="00A60DCA">
        <w:t>hazardous manual tasks</w:t>
      </w:r>
    </w:p>
    <w:p w:rsidR="00000000" w:rsidRPr="00A60DCA" w:rsidP="00A60DCA">
      <w:pPr>
        <w:pStyle w:val="ListBullet2"/>
      </w:pPr>
      <w:r w:rsidRPr="00A60DCA">
        <w:t>falls from heights</w:t>
      </w:r>
    </w:p>
    <w:p w:rsidR="00000000" w:rsidRPr="00A60DCA" w:rsidP="00A60DCA">
      <w:pPr>
        <w:pStyle w:val="ListBullet2"/>
      </w:pPr>
      <w:r w:rsidRPr="00A60DCA">
        <w:t>temporary safety barriers and fences around pools</w:t>
      </w:r>
    </w:p>
    <w:p w:rsidR="00000000" w:rsidRPr="00A60DCA" w:rsidP="00A60DCA">
      <w:pPr>
        <w:pStyle w:val="ListBullet"/>
      </w:pPr>
      <w:r w:rsidRPr="00A60DCA">
        <w:t>workplace and environmental requirements relating to waste disposal and clean-up.</w:t>
      </w:r>
    </w:p>
    <w:p w:rsidR="00000000" w:rsidRPr="00A60DCA" w:rsidP="00A60DCA">
      <w:pPr>
        <w:pStyle w:val="AllowPageBreak"/>
      </w:pPr>
    </w:p>
    <w:p w:rsidR="00000000" w:rsidRPr="00A60DCA" w:rsidP="00A60DCA">
      <w:pPr>
        <w:pStyle w:val="Heading1"/>
      </w:pPr>
      <w:bookmarkStart w:id="12" w:name="O_1131792"/>
      <w:bookmarkEnd w:id="12"/>
      <w:r w:rsidRPr="00A60DCA">
        <w:t>Assessment Conditions</w:t>
      </w:r>
    </w:p>
    <w:p w:rsidR="00000000" w:rsidRPr="00A60DCA" w:rsidP="00551DBE">
      <w:pPr>
        <w:pStyle w:val="BodyText"/>
      </w:pPr>
      <w:r w:rsidRPr="00A60DCA">
        <w:t xml:space="preserve">Assessors must meet the requirements for assessors contained in the Standards for Registered Training Organisations. </w:t>
      </w:r>
    </w:p>
    <w:p w:rsidR="00000000" w:rsidRPr="00A60DCA" w:rsidP="00551DBE">
      <w:pPr>
        <w:pStyle w:val="BodyText"/>
      </w:pPr>
      <w:r w:rsidRPr="00A60DCA">
        <w:t>Assessment must</w:t>
      </w:r>
      <w:r w:rsidRPr="00A60DCA">
        <w:t xml:space="preserve"> be conducted in the workplace or in a simulated workplace environment.</w:t>
      </w:r>
    </w:p>
    <w:p w:rsidR="00000000" w:rsidRPr="00A60DCA" w:rsidP="00551DBE">
      <w:pPr>
        <w:pStyle w:val="BodyText"/>
      </w:pPr>
      <w:r w:rsidRPr="00A60DCA">
        <w:t>Candidates must have access to:</w:t>
      </w:r>
    </w:p>
    <w:p w:rsidR="00000000" w:rsidRPr="00A60DCA" w:rsidP="00A60DCA">
      <w:pPr>
        <w:pStyle w:val="ListBullet"/>
      </w:pPr>
      <w:r w:rsidRPr="00A60DCA">
        <w:t>regulations, standards and codes relevant to swimming pools and spas</w:t>
      </w:r>
    </w:p>
    <w:p w:rsidR="00000000" w:rsidRPr="00A60DCA" w:rsidP="00A60DCA">
      <w:pPr>
        <w:pStyle w:val="ListBullet"/>
      </w:pPr>
      <w:r w:rsidRPr="00A60DCA">
        <w:t xml:space="preserve">relevant sections of the NCC </w:t>
      </w:r>
    </w:p>
    <w:p w:rsidR="00000000" w:rsidRPr="00A60DCA" w:rsidP="00A60DCA">
      <w:pPr>
        <w:pStyle w:val="ListBullet"/>
      </w:pPr>
      <w:r w:rsidRPr="00A60DCA">
        <w:t>project plans, specifications and manufacturer instr</w:t>
      </w:r>
      <w:r w:rsidRPr="00A60DCA">
        <w:t>uctions</w:t>
      </w:r>
    </w:p>
    <w:p w:rsidR="00000000" w:rsidRPr="00A60DCA" w:rsidP="00A60DCA">
      <w:pPr>
        <w:pStyle w:val="ListBullet"/>
      </w:pPr>
      <w:r w:rsidRPr="00A60DCA">
        <w:t>workplace safety and environmental requirements.</w:t>
      </w:r>
    </w:p>
    <w:p w:rsidR="00000000" w:rsidRPr="00A60DCA" w:rsidP="00A60DCA">
      <w:pPr>
        <w:pStyle w:val="AllowPageBreak"/>
      </w:pPr>
    </w:p>
    <w:p w:rsidR="00000000" w:rsidRPr="00A60DCA" w:rsidP="00A60DCA">
      <w:pPr>
        <w:pStyle w:val="Heading1"/>
      </w:pPr>
      <w:bookmarkStart w:id="13" w:name="O_1131790"/>
      <w:bookmarkEnd w:id="13"/>
      <w:r w:rsidRPr="00A60DCA">
        <w:t>Links</w:t>
      </w:r>
    </w:p>
    <w:p w:rsidR="00000000" w:rsidRPr="00A60DCA" w:rsidP="00551DBE">
      <w:pPr>
        <w:pStyle w:val="BodyText"/>
      </w:pPr>
      <w:r w:rsidRPr="00A60DC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B7C89">
        <w:rPr>
          <w:rStyle w:val="Hyperlink"/>
        </w:rPr>
        <w:t>https://vetnet.gov.au/Pages/TrainingDocs.aspx?q=7e15fa6a-68b8-4097-b099-030a5569b1ad</w:t>
      </w:r>
      <w:r>
        <w:fldChar w:fldCharType="end"/>
      </w:r>
    </w:p>
    <w:p w:rsidR="00000000" w:rsidRPr="00A60DCA" w:rsidP="00A60DCA"/>
    <w:sectPr w:rsidSect="00A60D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CA" w:rsidRPr="00551DBE" w:rsidP="00551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BE" w:rsidP="00A60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1DBE" w:rsidP="00A60D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51DBE" w:rsidP="00A60D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CA" w:rsidP="00A60DCA">
    <w:pPr>
      <w:pStyle w:val="Footer"/>
      <w:framePr w:wrap="around"/>
    </w:pPr>
    <w:r>
      <w:fldChar w:fldCharType="begin"/>
    </w:r>
    <w:r>
      <w:instrText xml:space="preserve"> DOCPROPERTY  Subject  \* MERGEFORMAT </w:instrText>
    </w:r>
    <w:r>
      <w:fldChar w:fldCharType="separate"/>
    </w:r>
    <w:r w:rsidR="00551DBE">
      <w:t>Approved</w:t>
    </w:r>
    <w:r w:rsidR="00551DBE">
      <w:fldChar w:fldCharType="end"/>
    </w:r>
    <w:r>
      <w:tab/>
      <w:t xml:space="preserve">Page </w:t>
    </w:r>
    <w:r>
      <w:fldChar w:fldCharType="begin"/>
    </w:r>
    <w:r>
      <w:instrText xml:space="preserve"> PAGE  \* Arabic  \* MERGEFORMAT </w:instrText>
    </w:r>
    <w:r>
      <w:fldChar w:fldCharType="separate"/>
    </w:r>
    <w:r w:rsidR="00551D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DBE">
      <w:rPr>
        <w:noProof/>
      </w:rPr>
      <w:t>4</w:t>
    </w:r>
    <w:r>
      <w:rPr>
        <w:noProof/>
      </w:rPr>
      <w:fldChar w:fldCharType="end"/>
    </w:r>
  </w:p>
  <w:p w:rsidR="00A60DCA" w:rsidP="00A60DCA">
    <w:pPr>
      <w:pStyle w:val="Footer"/>
      <w:framePr w:wrap="around"/>
    </w:pPr>
    <w:r>
      <w:t xml:space="preserve">© Commonwealth of Australia, </w:t>
    </w:r>
    <w:r>
      <w:fldChar w:fldCharType="begin"/>
    </w:r>
    <w:r>
      <w:instrText xml:space="preserve"> DATE  \@ "yyyy"  \* MERGEFORMAT </w:instrText>
    </w:r>
    <w:r>
      <w:fldChar w:fldCharType="separate"/>
    </w:r>
    <w:r w:rsidR="00551DBE">
      <w:rPr>
        <w:noProof/>
      </w:rPr>
      <w:t>2025</w:t>
    </w:r>
    <w:r>
      <w:fldChar w:fldCharType="end"/>
    </w:r>
    <w:r>
      <w:tab/>
    </w:r>
    <w:r>
      <w:fldChar w:fldCharType="begin"/>
    </w:r>
    <w:r>
      <w:instrText xml:space="preserve"> DOCPROPERTY  Author  \* MERGEFORMAT </w:instrText>
    </w:r>
    <w:r>
      <w:fldChar w:fldCharType="separate"/>
    </w:r>
    <w:r w:rsidR="00551DBE">
      <w:t>BuildSkills Australia</w:t>
    </w:r>
    <w:r w:rsidR="00551DBE">
      <w:fldChar w:fldCharType="end"/>
    </w:r>
  </w:p>
  <w:p w:rsidR="00A60DCA" w:rsidP="00A60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DCA" w:rsidRPr="00551DBE" w:rsidP="00551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BE" w:rsidRPr="002D2AF8" w:rsidP="00A60DCA">
    <w:pPr>
      <w:pStyle w:val="Header"/>
      <w:framePr w:wrap="around"/>
    </w:pPr>
    <w:r>
      <w:fldChar w:fldCharType="begin"/>
    </w:r>
    <w:r>
      <w:instrText xml:space="preserve"> TITLE   \* MERGEFORMAT </w:instrText>
    </w:r>
    <w:r>
      <w:fldChar w:fldCharType="separate"/>
    </w:r>
    <w:r>
      <w:t>CPCSPS4004 Install swimming pool and spa circulation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DBE" w:rsidP="00A60D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CA" w:rsidRPr="002D2AF8" w:rsidP="00A60DCA">
    <w:pPr>
      <w:pStyle w:val="Header"/>
      <w:framePr w:wrap="around"/>
    </w:pPr>
    <w:r>
      <w:fldChar w:fldCharType="begin"/>
    </w:r>
    <w:r>
      <w:instrText xml:space="preserve"> TITLE   \* MERGEFORMAT </w:instrText>
    </w:r>
    <w:r>
      <w:fldChar w:fldCharType="separate"/>
    </w:r>
    <w:r w:rsidR="00551DBE">
      <w:t>CPCSPS4004 Install swimming pool and spa circulation systems and components</w:t>
    </w:r>
    <w:r w:rsidR="00551DBE">
      <w:fldChar w:fldCharType="end"/>
    </w:r>
    <w:r>
      <w:tab/>
      <w:t xml:space="preserve">Date this document was generated: </w:t>
    </w:r>
    <w:r>
      <w:fldChar w:fldCharType="begin"/>
    </w:r>
    <w:r>
      <w:instrText xml:space="preserve"> CREATEDATE  \@ "d MMMM yyyy"  \* MERGEFORMAT </w:instrText>
    </w:r>
    <w:r>
      <w:fldChar w:fldCharType="separate"/>
    </w:r>
    <w:r w:rsidR="00551DBE">
      <w:rPr>
        <w:noProof/>
      </w:rPr>
      <w:t>2 March 2025</w:t>
    </w:r>
    <w:r>
      <w:fldChar w:fldCharType="end"/>
    </w:r>
  </w:p>
  <w:p w:rsidR="00A60DCA" w:rsidP="00A60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45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5E2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80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DCA"/>
    <w:pPr>
      <w:spacing w:before="360" w:after="60"/>
      <w:outlineLvl w:val="0"/>
    </w:pPr>
    <w:rPr>
      <w:sz w:val="32"/>
    </w:rPr>
  </w:style>
  <w:style w:type="paragraph" w:styleId="Heading2">
    <w:name w:val="heading 2"/>
    <w:basedOn w:val="HeadingBase"/>
    <w:next w:val="BodyText"/>
    <w:link w:val="Heading2Char"/>
    <w:qFormat/>
    <w:rsid w:val="00A60DCA"/>
    <w:pPr>
      <w:keepLines/>
      <w:spacing w:before="240" w:after="120"/>
      <w:outlineLvl w:val="1"/>
    </w:pPr>
    <w:rPr>
      <w:sz w:val="28"/>
      <w:szCs w:val="40"/>
    </w:rPr>
  </w:style>
  <w:style w:type="paragraph" w:styleId="Heading3">
    <w:name w:val="heading 3"/>
    <w:basedOn w:val="HeadingBase"/>
    <w:next w:val="BodyText"/>
    <w:link w:val="Heading3Char"/>
    <w:qFormat/>
    <w:rsid w:val="00A60DCA"/>
    <w:pPr>
      <w:spacing w:before="180" w:after="120"/>
      <w:outlineLvl w:val="2"/>
    </w:pPr>
    <w:rPr>
      <w:spacing w:val="-10"/>
      <w:kern w:val="32"/>
    </w:rPr>
  </w:style>
  <w:style w:type="paragraph" w:styleId="Heading4">
    <w:name w:val="heading 4"/>
    <w:basedOn w:val="HeadingBase"/>
    <w:next w:val="BodyText"/>
    <w:link w:val="Heading4Char"/>
    <w:qFormat/>
    <w:rsid w:val="00A60DCA"/>
    <w:pPr>
      <w:spacing w:before="160" w:after="120"/>
      <w:outlineLvl w:val="3"/>
    </w:pPr>
    <w:rPr>
      <w:sz w:val="22"/>
    </w:rPr>
  </w:style>
  <w:style w:type="paragraph" w:styleId="Heading5">
    <w:name w:val="heading 5"/>
    <w:basedOn w:val="HeadingBase"/>
    <w:next w:val="Normal"/>
    <w:link w:val="Heading5Char"/>
    <w:qFormat/>
    <w:rsid w:val="00A60DCA"/>
    <w:pPr>
      <w:spacing w:before="80"/>
      <w:outlineLvl w:val="4"/>
    </w:pPr>
    <w:rPr>
      <w:color w:val="918585"/>
      <w:sz w:val="20"/>
    </w:rPr>
  </w:style>
  <w:style w:type="paragraph" w:styleId="Heading6">
    <w:name w:val="heading 6"/>
    <w:basedOn w:val="HeadingBase"/>
    <w:next w:val="Normal"/>
    <w:link w:val="Heading6Char"/>
    <w:qFormat/>
    <w:rsid w:val="00A60DCA"/>
    <w:pPr>
      <w:spacing w:before="60"/>
      <w:outlineLvl w:val="5"/>
    </w:pPr>
    <w:rPr>
      <w:color w:val="918585"/>
      <w:sz w:val="20"/>
    </w:rPr>
  </w:style>
  <w:style w:type="paragraph" w:styleId="Heading7">
    <w:name w:val="heading 7"/>
    <w:basedOn w:val="Normal"/>
    <w:next w:val="Normal"/>
    <w:link w:val="Heading7Char"/>
    <w:qFormat/>
    <w:rsid w:val="00A60DCA"/>
    <w:pPr>
      <w:ind w:left="720"/>
      <w:outlineLvl w:val="6"/>
    </w:pPr>
    <w:rPr>
      <w:i/>
    </w:rPr>
  </w:style>
  <w:style w:type="paragraph" w:styleId="Heading8">
    <w:name w:val="heading 8"/>
    <w:basedOn w:val="Normal"/>
    <w:next w:val="Normal"/>
    <w:link w:val="Heading8Char"/>
    <w:qFormat/>
    <w:rsid w:val="00A60DCA"/>
    <w:pPr>
      <w:ind w:left="720"/>
      <w:outlineLvl w:val="7"/>
    </w:pPr>
    <w:rPr>
      <w:i/>
    </w:rPr>
  </w:style>
  <w:style w:type="paragraph" w:styleId="Heading9">
    <w:name w:val="heading 9"/>
    <w:basedOn w:val="Normal"/>
    <w:next w:val="Normal"/>
    <w:link w:val="Heading9Char"/>
    <w:qFormat/>
    <w:rsid w:val="00A60DCA"/>
    <w:pPr>
      <w:ind w:left="720"/>
      <w:outlineLvl w:val="8"/>
    </w:pPr>
    <w:rPr>
      <w:i/>
    </w:rPr>
  </w:style>
  <w:style w:type="character" w:default="1" w:styleId="DefaultParagraphFont">
    <w:name w:val="Default Paragraph Font"/>
    <w:uiPriority w:val="1"/>
    <w:unhideWhenUsed/>
    <w:rsid w:val="00A60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DCA"/>
  </w:style>
  <w:style w:type="character" w:customStyle="1" w:styleId="Heading1Char">
    <w:name w:val="Heading 1 Char"/>
    <w:basedOn w:val="DefaultParagraphFont"/>
    <w:link w:val="Heading1"/>
    <w:rsid w:val="00A60DCA"/>
    <w:rPr>
      <w:rFonts w:ascii="Times New Roman" w:eastAsia="Times New Roman" w:hAnsi="Times New Roman" w:cs="Times New Roman"/>
      <w:b/>
      <w:sz w:val="32"/>
      <w:szCs w:val="20"/>
      <w:lang w:eastAsia="en-US"/>
    </w:rPr>
  </w:style>
  <w:style w:type="paragraph" w:styleId="BodyText">
    <w:name w:val="Body Text"/>
    <w:basedOn w:val="Normal"/>
    <w:link w:val="BodyTextChar"/>
    <w:rsid w:val="00A60D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DCA"/>
    <w:rPr>
      <w:rFonts w:ascii="Times New Roman" w:eastAsia="Times New Roman" w:hAnsi="Times New Roman" w:cs="Times New Roman"/>
      <w:sz w:val="24"/>
      <w:lang w:eastAsia="en-US"/>
    </w:rPr>
  </w:style>
  <w:style w:type="paragraph" w:styleId="ListBullet">
    <w:name w:val="List Bullet"/>
    <w:basedOn w:val="List"/>
    <w:rsid w:val="00A60DCA"/>
    <w:pPr>
      <w:numPr>
        <w:numId w:val="12"/>
      </w:numPr>
      <w:tabs>
        <w:tab w:val="clear" w:pos="340"/>
      </w:tabs>
      <w:spacing w:before="40" w:after="40"/>
    </w:pPr>
  </w:style>
  <w:style w:type="paragraph" w:styleId="ListBullet2">
    <w:name w:val="List Bullet 2"/>
    <w:basedOn w:val="List2"/>
    <w:rsid w:val="00A60DCA"/>
    <w:pPr>
      <w:numPr>
        <w:numId w:val="13"/>
      </w:numPr>
      <w:tabs>
        <w:tab w:val="clear" w:pos="680"/>
      </w:tabs>
    </w:pPr>
  </w:style>
  <w:style w:type="paragraph" w:customStyle="1" w:styleId="SuperHeading">
    <w:name w:val="SuperHeading"/>
    <w:basedOn w:val="Normal"/>
    <w:rsid w:val="00A60DCA"/>
    <w:pPr>
      <w:spacing w:before="240" w:after="120"/>
      <w:outlineLvl w:val="0"/>
    </w:pPr>
    <w:rPr>
      <w:rFonts w:ascii="Times New Roman" w:hAnsi="Times New Roman"/>
      <w:b/>
      <w:sz w:val="32"/>
    </w:rPr>
  </w:style>
  <w:style w:type="paragraph" w:customStyle="1" w:styleId="AllowPageBreak">
    <w:name w:val="AllowPageBreak"/>
    <w:rsid w:val="00A60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DCA"/>
    <w:rPr>
      <w:rFonts w:ascii="Courier New" w:eastAsia="Times New Roman" w:hAnsi="Courier New" w:cs="Times New Roman"/>
      <w:i/>
      <w:szCs w:val="20"/>
      <w:lang w:eastAsia="en-US"/>
    </w:rPr>
  </w:style>
  <w:style w:type="paragraph" w:customStyle="1" w:styleId="HeadingBase">
    <w:name w:val="Heading Base"/>
    <w:rsid w:val="00A60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DCA"/>
    <w:pPr>
      <w:tabs>
        <w:tab w:val="right" w:leader="dot" w:pos="9072"/>
      </w:tabs>
      <w:ind w:left="567"/>
    </w:pPr>
    <w:rPr>
      <w:szCs w:val="22"/>
    </w:rPr>
  </w:style>
  <w:style w:type="paragraph" w:customStyle="1" w:styleId="TOCBase">
    <w:name w:val="TOC Base"/>
    <w:rsid w:val="00A60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DCA"/>
    <w:pPr>
      <w:tabs>
        <w:tab w:val="right" w:leader="dot" w:pos="9072"/>
      </w:tabs>
      <w:spacing w:before="40" w:after="40"/>
      <w:ind w:left="284"/>
    </w:pPr>
    <w:rPr>
      <w:rFonts w:ascii="Times New Roman" w:hAnsi="Times New Roman"/>
    </w:rPr>
  </w:style>
  <w:style w:type="paragraph" w:styleId="TOC1">
    <w:name w:val="toc 1"/>
    <w:basedOn w:val="TOCBase"/>
    <w:next w:val="Normal"/>
    <w:rsid w:val="00A60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DCA"/>
    <w:rPr>
      <w:rFonts w:ascii="Times New Roman" w:eastAsia="Times New Roman" w:hAnsi="Times New Roman" w:cs="Times New Roman"/>
      <w:sz w:val="16"/>
      <w:lang w:eastAsia="en-US"/>
    </w:rPr>
  </w:style>
  <w:style w:type="paragraph" w:styleId="Title">
    <w:name w:val="Title"/>
    <w:basedOn w:val="HeadingBase"/>
    <w:link w:val="TitleChar"/>
    <w:qFormat/>
    <w:rsid w:val="00A60DCA"/>
    <w:pPr>
      <w:spacing w:before="5040"/>
      <w:jc w:val="center"/>
    </w:pPr>
    <w:rPr>
      <w:sz w:val="48"/>
      <w:szCs w:val="72"/>
      <w:lang w:val="en-US"/>
    </w:rPr>
  </w:style>
  <w:style w:type="character" w:customStyle="1" w:styleId="TitleChar">
    <w:name w:val="Title Char"/>
    <w:basedOn w:val="DefaultParagraphFont"/>
    <w:link w:val="Title"/>
    <w:rsid w:val="00A60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DCA"/>
    <w:pPr>
      <w:tabs>
        <w:tab w:val="left" w:pos="3600"/>
        <w:tab w:val="left" w:pos="3958"/>
      </w:tabs>
    </w:pPr>
  </w:style>
  <w:style w:type="paragraph" w:styleId="List">
    <w:name w:val="List"/>
    <w:basedOn w:val="BodyText"/>
    <w:next w:val="BodyText"/>
    <w:rsid w:val="00A60DCA"/>
    <w:pPr>
      <w:tabs>
        <w:tab w:val="left" w:pos="340"/>
      </w:tabs>
      <w:spacing w:before="60" w:after="60"/>
      <w:ind w:left="340" w:hanging="340"/>
    </w:pPr>
  </w:style>
  <w:style w:type="paragraph" w:customStyle="1" w:styleId="Note">
    <w:name w:val="Note"/>
    <w:basedOn w:val="BodyText"/>
    <w:rsid w:val="00A60D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0DCA"/>
    <w:rPr>
      <w:b/>
      <w:spacing w:val="0"/>
    </w:rPr>
  </w:style>
  <w:style w:type="paragraph" w:customStyle="1" w:styleId="SuperTitle">
    <w:name w:val="SuperTitle"/>
    <w:basedOn w:val="Title"/>
    <w:rsid w:val="00A60DCA"/>
    <w:pPr>
      <w:framePr w:wrap="auto" w:hAnchor="text" w:y="6049"/>
    </w:pPr>
    <w:rPr>
      <w:color w:val="000000"/>
      <w:sz w:val="40"/>
    </w:rPr>
  </w:style>
  <w:style w:type="paragraph" w:customStyle="1" w:styleId="TOCTitle">
    <w:name w:val="TOCTitle"/>
    <w:basedOn w:val="Heading1"/>
    <w:rsid w:val="00A60DCA"/>
    <w:pPr>
      <w:spacing w:after="240"/>
      <w:jc w:val="center"/>
      <w:outlineLvl w:val="9"/>
    </w:pPr>
    <w:rPr>
      <w:caps/>
    </w:rPr>
  </w:style>
  <w:style w:type="paragraph" w:customStyle="1" w:styleId="Version">
    <w:name w:val="Version"/>
    <w:rsid w:val="00A60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DCA"/>
    <w:pPr>
      <w:keepNext w:val="0"/>
      <w:tabs>
        <w:tab w:val="right" w:pos="4176"/>
      </w:tabs>
      <w:ind w:left="198" w:hanging="198"/>
    </w:pPr>
    <w:rPr>
      <w:rFonts w:ascii="Garamond" w:hAnsi="Garamond"/>
    </w:rPr>
  </w:style>
  <w:style w:type="paragraph" w:styleId="IndexHeading">
    <w:name w:val="index heading"/>
    <w:basedOn w:val="Normal"/>
    <w:next w:val="Index1"/>
    <w:semiHidden/>
    <w:rsid w:val="00A60DCA"/>
    <w:pPr>
      <w:spacing w:before="120" w:after="120"/>
    </w:pPr>
    <w:rPr>
      <w:rFonts w:ascii="Arial" w:hAnsi="Arial"/>
      <w:b/>
      <w:color w:val="918585"/>
      <w:sz w:val="24"/>
    </w:rPr>
  </w:style>
  <w:style w:type="paragraph" w:styleId="Header">
    <w:name w:val="header"/>
    <w:basedOn w:val="Normal"/>
    <w:link w:val="HeaderChar"/>
    <w:rsid w:val="00A60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DCA"/>
    <w:rPr>
      <w:rFonts w:ascii="Times New Roman" w:eastAsia="Times New Roman" w:hAnsi="Times New Roman" w:cs="Times New Roman"/>
      <w:sz w:val="16"/>
      <w:szCs w:val="20"/>
      <w:lang w:val="en-GB" w:eastAsia="en-US"/>
    </w:rPr>
  </w:style>
  <w:style w:type="paragraph" w:customStyle="1" w:styleId="Chapter">
    <w:name w:val="Chapter"/>
    <w:basedOn w:val="Normal"/>
    <w:rsid w:val="00A60DCA"/>
    <w:pPr>
      <w:spacing w:before="240"/>
    </w:pPr>
    <w:rPr>
      <w:rFonts w:ascii="Times New Roman" w:hAnsi="Times New Roman"/>
      <w:smallCaps/>
      <w:spacing w:val="80"/>
      <w:sz w:val="28"/>
    </w:rPr>
  </w:style>
  <w:style w:type="paragraph" w:customStyle="1" w:styleId="InChapter">
    <w:name w:val="InChapter"/>
    <w:basedOn w:val="Heading3"/>
    <w:rsid w:val="00A60DCA"/>
    <w:pPr>
      <w:spacing w:after="240"/>
      <w:outlineLvl w:val="9"/>
    </w:pPr>
    <w:rPr>
      <w:noProof/>
    </w:rPr>
  </w:style>
  <w:style w:type="paragraph" w:styleId="Index2">
    <w:name w:val="index 2"/>
    <w:basedOn w:val="Normal"/>
    <w:next w:val="Normal"/>
    <w:semiHidden/>
    <w:rsid w:val="00A60DCA"/>
    <w:pPr>
      <w:tabs>
        <w:tab w:val="right" w:pos="4176"/>
      </w:tabs>
      <w:ind w:left="568" w:hanging="284"/>
    </w:pPr>
    <w:rPr>
      <w:rFonts w:ascii="Garamond" w:hAnsi="Garamond"/>
    </w:rPr>
  </w:style>
  <w:style w:type="paragraph" w:customStyle="1" w:styleId="Byline">
    <w:name w:val="Byline"/>
    <w:rsid w:val="00A60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DCA"/>
    <w:pPr>
      <w:tabs>
        <w:tab w:val="clear" w:pos="3600"/>
        <w:tab w:val="clear" w:pos="3958"/>
      </w:tabs>
      <w:jc w:val="right"/>
    </w:pPr>
  </w:style>
  <w:style w:type="character" w:styleId="Emphasis">
    <w:name w:val="Emphasis"/>
    <w:basedOn w:val="DefaultParagraphFont"/>
    <w:qFormat/>
    <w:rsid w:val="00A60DCA"/>
    <w:rPr>
      <w:i/>
    </w:rPr>
  </w:style>
  <w:style w:type="paragraph" w:styleId="Caption">
    <w:name w:val="caption"/>
    <w:basedOn w:val="BodyText"/>
    <w:next w:val="Normal"/>
    <w:qFormat/>
    <w:rsid w:val="00A60DCA"/>
    <w:pPr>
      <w:framePr w:w="2268" w:hSpace="181" w:vSpace="181" w:wrap="around" w:vAnchor="text" w:hAnchor="page" w:x="1135" w:y="285" w:anchorLock="1"/>
    </w:pPr>
    <w:rPr>
      <w:i/>
    </w:rPr>
  </w:style>
  <w:style w:type="paragraph" w:customStyle="1" w:styleId="MiniTOCTitle">
    <w:name w:val="MiniTOCTitle"/>
    <w:basedOn w:val="Heading4"/>
    <w:rsid w:val="00A60DCA"/>
    <w:pPr>
      <w:spacing w:before="240"/>
      <w:outlineLvl w:val="9"/>
    </w:pPr>
    <w:rPr>
      <w:noProof/>
      <w:sz w:val="24"/>
    </w:rPr>
  </w:style>
  <w:style w:type="paragraph" w:customStyle="1" w:styleId="MiniTOCItem">
    <w:name w:val="MiniTOCItem"/>
    <w:basedOn w:val="ListBullet"/>
    <w:rsid w:val="00A60DCA"/>
    <w:pPr>
      <w:numPr>
        <w:numId w:val="0"/>
      </w:numPr>
      <w:tabs>
        <w:tab w:val="right" w:leader="dot" w:pos="6521"/>
      </w:tabs>
      <w:spacing w:before="0" w:after="0"/>
    </w:pPr>
  </w:style>
  <w:style w:type="paragraph" w:customStyle="1" w:styleId="TOFTitle">
    <w:name w:val="TOFTitle"/>
    <w:basedOn w:val="TOCTitle"/>
    <w:rsid w:val="00A60DCA"/>
  </w:style>
  <w:style w:type="paragraph" w:styleId="TableofFigures">
    <w:name w:val="table of figures"/>
    <w:basedOn w:val="Normal"/>
    <w:next w:val="Normal"/>
    <w:semiHidden/>
    <w:rsid w:val="00A60DCA"/>
    <w:pPr>
      <w:tabs>
        <w:tab w:val="right" w:leader="dot" w:pos="9072"/>
      </w:tabs>
      <w:ind w:left="970" w:hanging="403"/>
    </w:pPr>
    <w:rPr>
      <w:rFonts w:ascii="Times New Roman" w:hAnsi="Times New Roman"/>
      <w:b/>
    </w:rPr>
  </w:style>
  <w:style w:type="paragraph" w:styleId="ListNumber">
    <w:name w:val="List Number"/>
    <w:basedOn w:val="List"/>
    <w:rsid w:val="00A60DCA"/>
    <w:pPr>
      <w:numPr>
        <w:numId w:val="15"/>
      </w:numPr>
      <w:tabs>
        <w:tab w:val="clear" w:pos="340"/>
      </w:tabs>
    </w:pPr>
  </w:style>
  <w:style w:type="character" w:customStyle="1" w:styleId="WingdingSymbols">
    <w:name w:val="Wingding Symbols"/>
    <w:rsid w:val="00A60DCA"/>
    <w:rPr>
      <w:rFonts w:ascii="Wingdings" w:hAnsi="Wingdings"/>
    </w:rPr>
  </w:style>
  <w:style w:type="paragraph" w:customStyle="1" w:styleId="TableHeading">
    <w:name w:val="Table Heading"/>
    <w:basedOn w:val="HeadingBase"/>
    <w:rsid w:val="00A60DCA"/>
    <w:pPr>
      <w:keepLines/>
      <w:pBdr>
        <w:bottom w:val="single" w:sz="6" w:space="1" w:color="918585"/>
      </w:pBdr>
      <w:spacing w:before="240"/>
    </w:pPr>
  </w:style>
  <w:style w:type="character" w:customStyle="1" w:styleId="HotSpot">
    <w:name w:val="HotSpot"/>
    <w:rsid w:val="00A60DCA"/>
    <w:rPr>
      <w:color w:val="0033CC"/>
      <w:u w:val="none"/>
    </w:rPr>
  </w:style>
  <w:style w:type="paragraph" w:customStyle="1" w:styleId="BodyTextRight">
    <w:name w:val="Body Text Right"/>
    <w:basedOn w:val="BodyText"/>
    <w:rsid w:val="00A60DCA"/>
    <w:pPr>
      <w:spacing w:before="0" w:after="0"/>
      <w:jc w:val="right"/>
    </w:pPr>
  </w:style>
  <w:style w:type="paragraph" w:styleId="Index3">
    <w:name w:val="index 3"/>
    <w:basedOn w:val="ListNumber2"/>
    <w:next w:val="Normal"/>
    <w:semiHidden/>
    <w:rsid w:val="00A60DCA"/>
    <w:pPr>
      <w:numPr>
        <w:numId w:val="0"/>
      </w:numPr>
      <w:tabs>
        <w:tab w:val="right" w:leader="dot" w:pos="4176"/>
      </w:tabs>
    </w:pPr>
  </w:style>
  <w:style w:type="paragraph" w:styleId="ListNumber2">
    <w:name w:val="List Number 2"/>
    <w:basedOn w:val="List2"/>
    <w:rsid w:val="00A60DCA"/>
    <w:pPr>
      <w:numPr>
        <w:numId w:val="10"/>
      </w:numPr>
      <w:tabs>
        <w:tab w:val="clear" w:pos="1060"/>
      </w:tabs>
    </w:pPr>
  </w:style>
  <w:style w:type="paragraph" w:customStyle="1" w:styleId="MarginNote">
    <w:name w:val="Margin Note"/>
    <w:basedOn w:val="BodyText"/>
    <w:rsid w:val="00A60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DCA"/>
    <w:rPr>
      <w:sz w:val="32"/>
    </w:rPr>
  </w:style>
  <w:style w:type="paragraph" w:customStyle="1" w:styleId="HeadingProcedure">
    <w:name w:val="Heading Procedure"/>
    <w:basedOn w:val="HeadingBase"/>
    <w:next w:val="Normal"/>
    <w:rsid w:val="00A60DCA"/>
    <w:pPr>
      <w:tabs>
        <w:tab w:val="left" w:pos="0"/>
      </w:tabs>
      <w:spacing w:before="120" w:after="60"/>
    </w:pPr>
    <w:rPr>
      <w:i/>
      <w:color w:val="918585"/>
      <w:sz w:val="22"/>
    </w:rPr>
  </w:style>
  <w:style w:type="paragraph" w:customStyle="1" w:styleId="TableBodyText">
    <w:name w:val="Table Body Text"/>
    <w:basedOn w:val="BodyText"/>
    <w:rsid w:val="00A60DCA"/>
    <w:pPr>
      <w:spacing w:before="60" w:after="60"/>
    </w:pPr>
  </w:style>
  <w:style w:type="paragraph" w:styleId="ListContinue">
    <w:name w:val="List Continue"/>
    <w:basedOn w:val="List"/>
    <w:rsid w:val="00A60DCA"/>
    <w:pPr>
      <w:ind w:firstLine="0"/>
    </w:pPr>
  </w:style>
  <w:style w:type="paragraph" w:customStyle="1" w:styleId="ListNote">
    <w:name w:val="List Note"/>
    <w:basedOn w:val="List"/>
    <w:rsid w:val="00A60DCA"/>
    <w:pPr>
      <w:pBdr>
        <w:top w:val="single" w:sz="6" w:space="2" w:color="918585"/>
        <w:bottom w:val="single" w:sz="6" w:space="2" w:color="918585"/>
      </w:pBdr>
      <w:tabs>
        <w:tab w:val="left" w:pos="1021"/>
      </w:tabs>
      <w:ind w:firstLine="0"/>
    </w:pPr>
  </w:style>
  <w:style w:type="paragraph" w:customStyle="1" w:styleId="Warning">
    <w:name w:val="Warning"/>
    <w:basedOn w:val="BodyText"/>
    <w:rsid w:val="00A60DCA"/>
    <w:pPr>
      <w:shd w:val="clear" w:color="auto" w:fill="D9D9D9"/>
      <w:tabs>
        <w:tab w:val="left" w:pos="992"/>
      </w:tabs>
      <w:ind w:left="119" w:right="119"/>
    </w:pPr>
    <w:rPr>
      <w:sz w:val="20"/>
    </w:rPr>
  </w:style>
  <w:style w:type="paragraph" w:customStyle="1" w:styleId="MarginIcons">
    <w:name w:val="Margin Icons"/>
    <w:basedOn w:val="BodyText"/>
    <w:rsid w:val="00A60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DCA"/>
    <w:rPr>
      <w:rFonts w:ascii="Courier New" w:hAnsi="Courier New"/>
    </w:rPr>
  </w:style>
  <w:style w:type="paragraph" w:customStyle="1" w:styleId="NoteBullet">
    <w:name w:val="Note Bullet"/>
    <w:basedOn w:val="Note"/>
    <w:rsid w:val="00A60DCA"/>
    <w:pPr>
      <w:tabs>
        <w:tab w:val="clear" w:pos="680"/>
      </w:tabs>
      <w:spacing w:before="60" w:after="60"/>
    </w:pPr>
  </w:style>
  <w:style w:type="paragraph" w:customStyle="1" w:styleId="SubHeading2">
    <w:name w:val="SubHeading2"/>
    <w:basedOn w:val="HeadingBase"/>
    <w:rsid w:val="00A60DCA"/>
    <w:pPr>
      <w:spacing w:before="240" w:after="60"/>
    </w:pPr>
    <w:rPr>
      <w:sz w:val="20"/>
    </w:rPr>
  </w:style>
  <w:style w:type="paragraph" w:customStyle="1" w:styleId="SubHeading1">
    <w:name w:val="SubHeading1"/>
    <w:basedOn w:val="HeadingBase"/>
    <w:rsid w:val="00A60DCA"/>
    <w:pPr>
      <w:spacing w:before="240" w:after="60"/>
    </w:pPr>
    <w:rPr>
      <w:color w:val="918585"/>
      <w:sz w:val="22"/>
    </w:rPr>
  </w:style>
  <w:style w:type="paragraph" w:customStyle="1" w:styleId="SideHeading">
    <w:name w:val="Side Heading"/>
    <w:basedOn w:val="HeadingBase"/>
    <w:rsid w:val="00A60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DCA"/>
    <w:pPr>
      <w:tabs>
        <w:tab w:val="num" w:pos="360"/>
      </w:tabs>
    </w:pPr>
  </w:style>
  <w:style w:type="paragraph" w:styleId="PlainText">
    <w:name w:val="Plain Text"/>
    <w:basedOn w:val="Normal"/>
    <w:link w:val="PlainTextChar"/>
    <w:rsid w:val="00A60DCA"/>
    <w:rPr>
      <w:sz w:val="20"/>
    </w:rPr>
  </w:style>
  <w:style w:type="character" w:customStyle="1" w:styleId="PlainTextChar">
    <w:name w:val="Plain Text Char"/>
    <w:basedOn w:val="DefaultParagraphFont"/>
    <w:link w:val="PlainText"/>
    <w:rsid w:val="00A60DCA"/>
    <w:rPr>
      <w:rFonts w:ascii="Courier New" w:eastAsia="Times New Roman" w:hAnsi="Courier New" w:cs="Times New Roman"/>
      <w:sz w:val="20"/>
      <w:szCs w:val="20"/>
      <w:lang w:eastAsia="en-US"/>
    </w:rPr>
  </w:style>
  <w:style w:type="character" w:customStyle="1" w:styleId="MenuOption">
    <w:name w:val="Menu Option"/>
    <w:basedOn w:val="DefaultParagraphFont"/>
    <w:rsid w:val="00A60DCA"/>
    <w:rPr>
      <w:b/>
      <w:smallCaps/>
    </w:rPr>
  </w:style>
  <w:style w:type="paragraph" w:customStyle="1" w:styleId="TableListNumber">
    <w:name w:val="Table List Number"/>
    <w:basedOn w:val="ListNumber"/>
    <w:rsid w:val="00A60DCA"/>
    <w:pPr>
      <w:numPr>
        <w:numId w:val="0"/>
      </w:numPr>
    </w:pPr>
  </w:style>
  <w:style w:type="paragraph" w:styleId="TOC4">
    <w:name w:val="toc 4"/>
    <w:basedOn w:val="TOCBase"/>
    <w:next w:val="Normal"/>
    <w:semiHidden/>
    <w:rsid w:val="00A60DCA"/>
    <w:pPr>
      <w:tabs>
        <w:tab w:val="right" w:leader="dot" w:pos="9071"/>
      </w:tabs>
      <w:ind w:left="1701"/>
    </w:pPr>
  </w:style>
  <w:style w:type="paragraph" w:customStyle="1" w:styleId="ListAlpha">
    <w:name w:val="List Alpha"/>
    <w:basedOn w:val="List"/>
    <w:rsid w:val="00A60DCA"/>
    <w:pPr>
      <w:numPr>
        <w:numId w:val="9"/>
      </w:numPr>
    </w:pPr>
  </w:style>
  <w:style w:type="paragraph" w:customStyle="1" w:styleId="ListAlpha2">
    <w:name w:val="List Alpha 2"/>
    <w:basedOn w:val="List2"/>
    <w:rsid w:val="00A60DCA"/>
    <w:pPr>
      <w:numPr>
        <w:numId w:val="8"/>
      </w:numPr>
    </w:pPr>
  </w:style>
  <w:style w:type="paragraph" w:styleId="List2">
    <w:name w:val="List 2"/>
    <w:basedOn w:val="BodyText"/>
    <w:rsid w:val="00A60DCA"/>
    <w:pPr>
      <w:tabs>
        <w:tab w:val="left" w:pos="680"/>
      </w:tabs>
      <w:spacing w:before="60" w:after="60"/>
      <w:ind w:left="680" w:hanging="340"/>
    </w:pPr>
  </w:style>
  <w:style w:type="paragraph" w:styleId="List3">
    <w:name w:val="List 3"/>
    <w:basedOn w:val="BodyText"/>
    <w:rsid w:val="00A60DCA"/>
    <w:pPr>
      <w:tabs>
        <w:tab w:val="left" w:pos="1021"/>
      </w:tabs>
      <w:spacing w:before="60" w:after="60"/>
      <w:ind w:left="1020" w:hanging="340"/>
    </w:pPr>
  </w:style>
  <w:style w:type="paragraph" w:styleId="List4">
    <w:name w:val="List 4"/>
    <w:basedOn w:val="BodyText"/>
    <w:rsid w:val="00A60DCA"/>
    <w:pPr>
      <w:tabs>
        <w:tab w:val="left" w:pos="1361"/>
      </w:tabs>
      <w:spacing w:before="60" w:after="60"/>
      <w:ind w:left="1361" w:hanging="340"/>
    </w:pPr>
  </w:style>
  <w:style w:type="paragraph" w:styleId="List5">
    <w:name w:val="List 5"/>
    <w:basedOn w:val="BodyText"/>
    <w:rsid w:val="00A60DCA"/>
    <w:pPr>
      <w:tabs>
        <w:tab w:val="left" w:pos="1701"/>
      </w:tabs>
      <w:spacing w:before="60" w:after="60"/>
      <w:ind w:left="1701" w:hanging="340"/>
    </w:pPr>
  </w:style>
  <w:style w:type="paragraph" w:styleId="ListBullet3">
    <w:name w:val="List Bullet 3"/>
    <w:basedOn w:val="List3"/>
    <w:rsid w:val="00A60DCA"/>
    <w:pPr>
      <w:numPr>
        <w:numId w:val="14"/>
      </w:numPr>
      <w:tabs>
        <w:tab w:val="clear" w:pos="1021"/>
      </w:tabs>
      <w:ind w:left="1037" w:hanging="357"/>
    </w:pPr>
  </w:style>
  <w:style w:type="paragraph" w:styleId="ListBullet4">
    <w:name w:val="List Bullet 4"/>
    <w:basedOn w:val="List4"/>
    <w:rsid w:val="00A60DCA"/>
    <w:pPr>
      <w:numPr>
        <w:numId w:val="3"/>
      </w:numPr>
      <w:tabs>
        <w:tab w:val="clear" w:pos="1361"/>
      </w:tabs>
    </w:pPr>
  </w:style>
  <w:style w:type="paragraph" w:styleId="ListBullet5">
    <w:name w:val="List Bullet 5"/>
    <w:basedOn w:val="List5"/>
    <w:rsid w:val="00A60DCA"/>
    <w:pPr>
      <w:numPr>
        <w:numId w:val="4"/>
      </w:numPr>
    </w:pPr>
  </w:style>
  <w:style w:type="paragraph" w:styleId="ListContinue2">
    <w:name w:val="List Continue 2"/>
    <w:basedOn w:val="List2"/>
    <w:rsid w:val="00A60DCA"/>
    <w:pPr>
      <w:ind w:firstLine="0"/>
    </w:pPr>
  </w:style>
  <w:style w:type="paragraph" w:styleId="ListContinue3">
    <w:name w:val="List Continue 3"/>
    <w:basedOn w:val="List3"/>
    <w:rsid w:val="00A60DCA"/>
    <w:pPr>
      <w:ind w:left="1021" w:firstLine="0"/>
    </w:pPr>
  </w:style>
  <w:style w:type="paragraph" w:styleId="ListContinue4">
    <w:name w:val="List Continue 4"/>
    <w:basedOn w:val="List4"/>
    <w:rsid w:val="00A60DCA"/>
    <w:pPr>
      <w:ind w:firstLine="0"/>
    </w:pPr>
  </w:style>
  <w:style w:type="paragraph" w:styleId="ListContinue5">
    <w:name w:val="List Continue 5"/>
    <w:basedOn w:val="List5"/>
    <w:rsid w:val="00A60DCA"/>
    <w:pPr>
      <w:ind w:firstLine="0"/>
    </w:pPr>
  </w:style>
  <w:style w:type="paragraph" w:styleId="ListNumber3">
    <w:name w:val="List Number 3"/>
    <w:basedOn w:val="List3"/>
    <w:rsid w:val="00A60DCA"/>
    <w:pPr>
      <w:numPr>
        <w:numId w:val="5"/>
      </w:numPr>
    </w:pPr>
  </w:style>
  <w:style w:type="paragraph" w:styleId="ListNumber4">
    <w:name w:val="List Number 4"/>
    <w:basedOn w:val="List4"/>
    <w:rsid w:val="00A60DCA"/>
    <w:pPr>
      <w:numPr>
        <w:numId w:val="6"/>
      </w:numPr>
    </w:pPr>
  </w:style>
  <w:style w:type="paragraph" w:styleId="ListNumber5">
    <w:name w:val="List Number 5"/>
    <w:basedOn w:val="List5"/>
    <w:rsid w:val="00A60DCA"/>
    <w:pPr>
      <w:numPr>
        <w:numId w:val="7"/>
      </w:numPr>
    </w:pPr>
  </w:style>
  <w:style w:type="paragraph" w:styleId="BlockText">
    <w:name w:val="Block Text"/>
    <w:basedOn w:val="Normal"/>
    <w:rsid w:val="00A60DCA"/>
    <w:pPr>
      <w:spacing w:after="120"/>
      <w:ind w:left="1440" w:right="1440"/>
    </w:pPr>
  </w:style>
  <w:style w:type="character" w:customStyle="1" w:styleId="Subscript">
    <w:name w:val="Subscript"/>
    <w:basedOn w:val="DefaultParagraphFont"/>
    <w:rsid w:val="00A60DCA"/>
    <w:rPr>
      <w:sz w:val="16"/>
      <w:vertAlign w:val="subscript"/>
    </w:rPr>
  </w:style>
  <w:style w:type="character" w:customStyle="1" w:styleId="Superscript">
    <w:name w:val="Superscript"/>
    <w:basedOn w:val="DefaultParagraphFont"/>
    <w:rsid w:val="00A60DCA"/>
    <w:rPr>
      <w:sz w:val="16"/>
      <w:vertAlign w:val="superscript"/>
    </w:rPr>
  </w:style>
  <w:style w:type="character" w:customStyle="1" w:styleId="Symbols">
    <w:name w:val="Symbols"/>
    <w:basedOn w:val="DefaultParagraphFont"/>
    <w:rsid w:val="00A60DCA"/>
    <w:rPr>
      <w:rFonts w:ascii="Symbol" w:hAnsi="Symbol"/>
    </w:rPr>
  </w:style>
  <w:style w:type="character" w:customStyle="1" w:styleId="MenuOptions">
    <w:name w:val="Menu Options"/>
    <w:basedOn w:val="DefaultParagraphFont"/>
    <w:rsid w:val="00A60DCA"/>
    <w:rPr>
      <w:rFonts w:ascii="Arial Narrow" w:hAnsi="Arial Narrow"/>
      <w:smallCaps/>
    </w:rPr>
  </w:style>
  <w:style w:type="character" w:customStyle="1" w:styleId="Buttons">
    <w:name w:val="Buttons"/>
    <w:basedOn w:val="DefaultParagraphFont"/>
    <w:rsid w:val="00A60DCA"/>
    <w:rPr>
      <w:b/>
    </w:rPr>
  </w:style>
  <w:style w:type="character" w:customStyle="1" w:styleId="Underlined">
    <w:name w:val="Underlined"/>
    <w:basedOn w:val="DefaultParagraphFont"/>
    <w:rsid w:val="00A60DCA"/>
    <w:rPr>
      <w:u w:val="single"/>
    </w:rPr>
  </w:style>
  <w:style w:type="paragraph" w:customStyle="1" w:styleId="TableBodyTextRight">
    <w:name w:val="Table Body Text Right"/>
    <w:basedOn w:val="TableBodyText"/>
    <w:rsid w:val="00A60DCA"/>
    <w:pPr>
      <w:widowControl w:val="0"/>
      <w:autoSpaceDE w:val="0"/>
      <w:autoSpaceDN w:val="0"/>
      <w:adjustRightInd w:val="0"/>
      <w:jc w:val="right"/>
    </w:pPr>
    <w:rPr>
      <w:rFonts w:cs="Arial"/>
      <w:szCs w:val="18"/>
    </w:rPr>
  </w:style>
  <w:style w:type="paragraph" w:customStyle="1" w:styleId="CopyrightText">
    <w:name w:val="Copyright Text"/>
    <w:basedOn w:val="BodyText"/>
    <w:rsid w:val="00A60DCA"/>
    <w:rPr>
      <w:sz w:val="18"/>
    </w:rPr>
  </w:style>
  <w:style w:type="paragraph" w:customStyle="1" w:styleId="BodySmallRight">
    <w:name w:val="Body Small Right"/>
    <w:basedOn w:val="BodyTextRight"/>
    <w:rsid w:val="00A60DCA"/>
    <w:rPr>
      <w:sz w:val="18"/>
      <w:szCs w:val="18"/>
    </w:rPr>
  </w:style>
  <w:style w:type="paragraph" w:customStyle="1" w:styleId="MarginEdition">
    <w:name w:val="Margin Edition"/>
    <w:basedOn w:val="MarginNote"/>
    <w:rsid w:val="00A60DCA"/>
    <w:pPr>
      <w:spacing w:before="0" w:after="0"/>
    </w:pPr>
    <w:rPr>
      <w:rFonts w:ascii="Times New Roman" w:hAnsi="Times New Roman"/>
      <w:color w:val="999999"/>
    </w:rPr>
  </w:style>
  <w:style w:type="paragraph" w:customStyle="1" w:styleId="Spacer">
    <w:name w:val="Spacer"/>
    <w:basedOn w:val="Normal"/>
    <w:rsid w:val="00A60DCA"/>
    <w:rPr>
      <w:sz w:val="2"/>
      <w:szCs w:val="2"/>
    </w:rPr>
  </w:style>
  <w:style w:type="character" w:customStyle="1" w:styleId="Small">
    <w:name w:val="Small"/>
    <w:basedOn w:val="DefaultParagraphFont"/>
    <w:rsid w:val="00A60DCA"/>
    <w:rPr>
      <w:sz w:val="16"/>
    </w:rPr>
  </w:style>
  <w:style w:type="paragraph" w:customStyle="1" w:styleId="WideTable">
    <w:name w:val="Wide Table"/>
    <w:basedOn w:val="Normal"/>
    <w:rsid w:val="00A60DCA"/>
    <w:pPr>
      <w:ind w:left="-1418"/>
    </w:pPr>
    <w:rPr>
      <w:sz w:val="2"/>
      <w:szCs w:val="2"/>
    </w:rPr>
  </w:style>
  <w:style w:type="character" w:styleId="PageNumber">
    <w:name w:val="page number"/>
    <w:basedOn w:val="DefaultParagraphFont"/>
    <w:rsid w:val="00A60DCA"/>
  </w:style>
  <w:style w:type="paragraph" w:styleId="Quote">
    <w:name w:val="Quote"/>
    <w:basedOn w:val="Heading1"/>
    <w:link w:val="QuoteChar"/>
    <w:qFormat/>
    <w:rsid w:val="00A60DCA"/>
    <w:rPr>
      <w:b w:val="0"/>
      <w:sz w:val="72"/>
      <w:szCs w:val="72"/>
      <w:lang w:val="en-NZ"/>
    </w:rPr>
  </w:style>
  <w:style w:type="character" w:customStyle="1" w:styleId="QuoteChar">
    <w:name w:val="Quote Char"/>
    <w:basedOn w:val="DefaultParagraphFont"/>
    <w:link w:val="Quote"/>
    <w:rsid w:val="00A60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DCA"/>
    <w:pPr>
      <w:pageBreakBefore/>
    </w:pPr>
  </w:style>
  <w:style w:type="paragraph" w:customStyle="1" w:styleId="Border">
    <w:name w:val="Border"/>
    <w:basedOn w:val="Normal"/>
    <w:qFormat/>
    <w:rsid w:val="00A60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DCA"/>
    <w:rPr>
      <w:b/>
      <w:bCs/>
      <w:i/>
      <w:iCs/>
      <w:color w:val="auto"/>
    </w:rPr>
  </w:style>
  <w:style w:type="paragraph" w:styleId="IntenseQuote">
    <w:name w:val="Intense Quote"/>
    <w:basedOn w:val="Normal"/>
    <w:next w:val="Normal"/>
    <w:link w:val="IntenseQuoteChar"/>
    <w:uiPriority w:val="30"/>
    <w:qFormat/>
    <w:rsid w:val="00A60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DCA"/>
    <w:rPr>
      <w:smallCaps/>
      <w:color w:val="auto"/>
      <w:u w:val="single"/>
    </w:rPr>
  </w:style>
  <w:style w:type="character" w:styleId="IntenseReference">
    <w:name w:val="Intense Reference"/>
    <w:basedOn w:val="DefaultParagraphFont"/>
    <w:uiPriority w:val="32"/>
    <w:qFormat/>
    <w:rsid w:val="00A60DCA"/>
    <w:rPr>
      <w:b/>
      <w:bCs/>
      <w:smallCaps/>
      <w:color w:val="auto"/>
      <w:spacing w:val="5"/>
      <w:u w:val="single"/>
    </w:rPr>
  </w:style>
  <w:style w:type="paragraph" w:customStyle="1" w:styleId="2ColumnHeading">
    <w:name w:val="2Column Heading"/>
    <w:basedOn w:val="BodyText"/>
    <w:qFormat/>
    <w:rsid w:val="00A60DCA"/>
    <w:pPr>
      <w:spacing w:after="60"/>
      <w:ind w:left="-2268"/>
    </w:pPr>
    <w:rPr>
      <w:b/>
    </w:rPr>
  </w:style>
  <w:style w:type="paragraph" w:customStyle="1" w:styleId="Heading1TOC">
    <w:name w:val="Heading1 TOC"/>
    <w:basedOn w:val="Normal"/>
    <w:qFormat/>
    <w:rsid w:val="00A60DCA"/>
    <w:pPr>
      <w:spacing w:before="240" w:after="120"/>
    </w:pPr>
    <w:rPr>
      <w:rFonts w:ascii="Times New Roman" w:hAnsi="Times New Roman"/>
      <w:b/>
      <w:sz w:val="32"/>
    </w:rPr>
  </w:style>
  <w:style w:type="paragraph" w:customStyle="1" w:styleId="Heading2TOC">
    <w:name w:val="Heading2 TOC"/>
    <w:basedOn w:val="Normal"/>
    <w:qFormat/>
    <w:rsid w:val="00A60DCA"/>
    <w:pPr>
      <w:spacing w:before="240" w:after="60"/>
    </w:pPr>
    <w:rPr>
      <w:rFonts w:ascii="Times New Roman" w:hAnsi="Times New Roman"/>
      <w:b/>
      <w:sz w:val="28"/>
    </w:rPr>
  </w:style>
  <w:style w:type="character" w:customStyle="1" w:styleId="Underline">
    <w:name w:val="Underline"/>
    <w:basedOn w:val="DefaultParagraphFont"/>
    <w:qFormat/>
    <w:rsid w:val="00A60DCA"/>
    <w:rPr>
      <w:u w:val="single"/>
    </w:rPr>
  </w:style>
  <w:style w:type="character" w:customStyle="1" w:styleId="BoldandItalics">
    <w:name w:val="Bold and Italics"/>
    <w:qFormat/>
    <w:rsid w:val="00A60DCA"/>
    <w:rPr>
      <w:b/>
      <w:i/>
      <w:u w:val="none"/>
    </w:rPr>
  </w:style>
  <w:style w:type="paragraph" w:styleId="BalloonText">
    <w:name w:val="Balloon Text"/>
    <w:basedOn w:val="Normal"/>
    <w:link w:val="BalloonTextChar"/>
    <w:rsid w:val="00A60DCA"/>
    <w:rPr>
      <w:rFonts w:ascii="Tahoma" w:hAnsi="Tahoma" w:cs="Tahoma"/>
      <w:sz w:val="16"/>
      <w:szCs w:val="16"/>
    </w:rPr>
  </w:style>
  <w:style w:type="character" w:customStyle="1" w:styleId="BalloonTextChar">
    <w:name w:val="Balloon Text Char"/>
    <w:basedOn w:val="DefaultParagraphFont"/>
    <w:link w:val="BalloonText"/>
    <w:rsid w:val="00A60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D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DCA"/>
    <w:rPr>
      <w:b/>
      <w:color w:val="660033"/>
      <w:spacing w:val="0"/>
    </w:rPr>
  </w:style>
  <w:style w:type="paragraph" w:customStyle="1" w:styleId="Nameditemlist">
    <w:name w:val="Named item list"/>
    <w:basedOn w:val="BodyText"/>
    <w:qFormat/>
    <w:rsid w:val="00A60DCA"/>
    <w:pPr>
      <w:tabs>
        <w:tab w:val="left" w:pos="2835"/>
      </w:tabs>
      <w:ind w:left="2835" w:hanging="2835"/>
    </w:pPr>
  </w:style>
  <w:style w:type="paragraph" w:customStyle="1" w:styleId="BodyTextnopadding">
    <w:name w:val="Body Text no padding"/>
    <w:basedOn w:val="BodyText"/>
    <w:qFormat/>
    <w:rsid w:val="00A60DCA"/>
    <w:pPr>
      <w:spacing w:before="0" w:after="0"/>
    </w:pPr>
  </w:style>
  <w:style w:type="paragraph" w:customStyle="1" w:styleId="BodyTextBold">
    <w:name w:val="Body Text Bold"/>
    <w:basedOn w:val="BodyText"/>
    <w:qFormat/>
    <w:rsid w:val="00A60DCA"/>
    <w:rPr>
      <w:b/>
    </w:rPr>
  </w:style>
  <w:style w:type="character" w:styleId="Hyperlink">
    <w:name w:val="Hyperlink"/>
    <w:basedOn w:val="DefaultParagraphFont"/>
    <w:uiPriority w:val="99"/>
    <w:unhideWhenUsed/>
    <w:rsid w:val="00551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796</Words>
  <Characters>5065</Characters>
  <Application>Microsoft Office Word</Application>
  <DocSecurity>0</DocSecurity>
  <Lines>202</Lines>
  <Paragraphs>130</Paragraphs>
  <ScaleCrop>false</ScaleCrop>
  <Company>Author-it Software Corporation Ltd.</Company>
  <LinksUpToDate>false</LinksUpToDate>
  <CharactersWithSpaces>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CPCSPS4004 Install swimming pool and spa circulation systems and components</dc:title>
  <dc:subject>Approved</dc:subject>
  <dc:creator>BuildSkills Australia</dc:creator>
  <cp:keywords>Release: 1</cp:keywords>
  <dc:description>Review Date: 12 April 2008</dc:description>
  <cp:lastModifiedBy>HSD_TPCMSd.prod</cp:lastModifiedBy>
  <cp:revision>3</cp:revision>
  <dcterms:created xsi:type="dcterms:W3CDTF">2025-03-01T15:11:00Z</dcterms:created>
  <dcterms:modified xsi:type="dcterms:W3CDTF">2025-03-01T15:12:00Z</dcterms:modified>
</cp:coreProperties>
</file>