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D69" w:rsidP="00581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CPCSHP3009 Demolish shopfronts and bulkheads</w:t>
      </w:r>
      <w:r>
        <w:fldChar w:fldCharType="end"/>
      </w:r>
    </w:p>
    <w:p w:rsidR="00581D69" w:rsidP="00581D69">
      <w:pPr>
        <w:pStyle w:val="Version"/>
        <w:sectPr w:rsidSect="005E6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E629F" w:rsidP="005E629F">
      <w:pPr>
        <w:pStyle w:val="SuperHeading"/>
      </w:pPr>
      <w:r w:rsidRPr="005E629F">
        <w:t>Assessment Requirements for CPCSHP3009 Demolish shopfronts and bulkheads</w:t>
      </w:r>
    </w:p>
    <w:p w:rsidR="00000000" w:rsidRPr="005E629F" w:rsidP="005E629F">
      <w:pPr>
        <w:pStyle w:val="Heading1"/>
      </w:pPr>
      <w:bookmarkStart w:id="1" w:name="O_1290577"/>
      <w:bookmarkEnd w:id="1"/>
      <w:r w:rsidRPr="005E62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E6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9F">
            <w:pPr>
              <w:pStyle w:val="BodyText"/>
              <w:rPr>
                <w:lang w:val="en-NZ"/>
              </w:rPr>
            </w:pPr>
            <w:r w:rsidRPr="005E629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9F">
            <w:pPr>
              <w:pStyle w:val="BodyText"/>
              <w:rPr>
                <w:lang w:val="en-NZ"/>
              </w:rPr>
            </w:pPr>
            <w:r w:rsidRPr="005E629F">
              <w:t>Updated reference to general construction induction training program.</w:t>
            </w:r>
          </w:p>
        </w:tc>
      </w:tr>
      <w:tr w:rsidTr="005E6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9F">
            <w:pPr>
              <w:pStyle w:val="BodyText"/>
              <w:rPr>
                <w:lang w:val="en-NZ"/>
              </w:rPr>
            </w:pPr>
            <w:r w:rsidRPr="005E629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9F" w:rsidP="005E629F">
            <w:pPr>
              <w:pStyle w:val="BodyText"/>
            </w:pPr>
            <w:r w:rsidRPr="005E629F">
              <w:t>This version first released with CP</w:t>
            </w:r>
            <w:r w:rsidRPr="005E629F">
              <w:t>C Construction, Plumbing and Services Training Package Release 5.1.</w:t>
            </w:r>
          </w:p>
          <w:p w:rsidR="00000000" w:rsidP="005E629F">
            <w:pPr>
              <w:pStyle w:val="BodyText"/>
              <w:rPr>
                <w:lang w:val="en-NZ"/>
              </w:rPr>
            </w:pPr>
            <w:r w:rsidRPr="005E629F">
              <w:t xml:space="preserve">Performance Criteria numbering rectified and Modification History rectified. </w:t>
            </w:r>
          </w:p>
        </w:tc>
      </w:tr>
      <w:tr w:rsidTr="005E6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9F">
            <w:pPr>
              <w:pStyle w:val="BodyText"/>
              <w:rPr>
                <w:lang w:val="en-NZ"/>
              </w:rPr>
            </w:pPr>
            <w:r w:rsidRPr="005E629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9F" w:rsidP="005E629F">
            <w:pPr>
              <w:pStyle w:val="BodyText"/>
            </w:pPr>
            <w:r w:rsidRPr="005E629F">
              <w:t>This version first released with CPC Construction, Plumbing and Services Training Package Release 5</w:t>
            </w:r>
            <w:r w:rsidRPr="005E629F">
              <w:t>.0</w:t>
            </w:r>
          </w:p>
          <w:p w:rsidR="00000000" w:rsidRPr="005E629F" w:rsidP="005E629F">
            <w:pPr>
              <w:pStyle w:val="BodyText"/>
            </w:pPr>
            <w:r w:rsidRPr="005E629F">
              <w:t>Supersedes and is equivalent to CPCCSH3009 Demolish shopfronts and bulkheads.</w:t>
            </w:r>
          </w:p>
        </w:tc>
      </w:tr>
    </w:tbl>
    <w:p w:rsidR="00000000" w:rsidRPr="005E629F" w:rsidP="005E629F">
      <w:pPr>
        <w:pStyle w:val="BodyText"/>
      </w:pPr>
    </w:p>
    <w:p w:rsidR="00000000" w:rsidRPr="005E629F" w:rsidP="005E629F">
      <w:pPr>
        <w:pStyle w:val="AllowPageBreak"/>
      </w:pPr>
    </w:p>
    <w:p w:rsidR="00000000" w:rsidRPr="005E629F" w:rsidP="005E629F">
      <w:pPr>
        <w:pStyle w:val="Heading1"/>
      </w:pPr>
      <w:bookmarkStart w:id="2" w:name="O_1290576"/>
      <w:bookmarkEnd w:id="2"/>
      <w:r w:rsidRPr="005E629F">
        <w:t>Performance Evidence</w:t>
      </w:r>
    </w:p>
    <w:p w:rsidR="00000000" w:rsidRPr="005E629F" w:rsidP="00581D69">
      <w:pPr>
        <w:pStyle w:val="BodyText"/>
      </w:pPr>
      <w:r w:rsidRPr="005E629F">
        <w:t>To demonstrate competency, a candidate must meet the performance criteria of this unit by dismantling and demolishing a shopfront and</w:t>
      </w:r>
      <w:r w:rsidRPr="005E629F">
        <w:t xml:space="preserve"> internal cabinet.</w:t>
      </w:r>
    </w:p>
    <w:p w:rsidR="00000000" w:rsidRPr="005E629F" w:rsidP="00581D69">
      <w:pPr>
        <w:pStyle w:val="BodyText"/>
      </w:pPr>
      <w:r w:rsidRPr="005E629F">
        <w:t>In doing this, the candidate must:</w:t>
      </w:r>
    </w:p>
    <w:p w:rsidR="00000000" w:rsidRPr="005E629F" w:rsidP="005E629F">
      <w:pPr>
        <w:pStyle w:val="ListBullet"/>
      </w:pPr>
      <w:r w:rsidRPr="005E629F">
        <w:t>dismantle and demolish a shopfront of a minimum of 3.6 metres high and 3.6 metres wide, including a bulkhead, glazing, door closure and joinery</w:t>
      </w:r>
    </w:p>
    <w:p w:rsidR="00000000" w:rsidRPr="005E629F" w:rsidP="005E629F">
      <w:pPr>
        <w:pStyle w:val="ListBullet"/>
      </w:pPr>
      <w:r w:rsidRPr="005E629F">
        <w:t>dismantle one internal cabinet or fixture of a minimum of 3.6 metres high and 2.4 metres wide, which is attached to the building structure</w:t>
      </w:r>
    </w:p>
    <w:p w:rsidR="00000000" w:rsidRPr="005E629F" w:rsidP="005E629F">
      <w:pPr>
        <w:pStyle w:val="ListBullet"/>
      </w:pPr>
      <w:r w:rsidRPr="005E629F">
        <w:t>protect surrounding structure, floor covering, existing furniture and fixtures from damage</w:t>
      </w:r>
    </w:p>
    <w:p w:rsidR="00000000" w:rsidRPr="005E629F" w:rsidP="005E629F">
      <w:pPr>
        <w:pStyle w:val="ListBullet"/>
      </w:pPr>
      <w:r w:rsidRPr="005E629F">
        <w:t>plan and schedule the demo</w:t>
      </w:r>
      <w:r w:rsidRPr="005E629F">
        <w:t>lition work to maintain continuity of business operations.</w:t>
      </w:r>
    </w:p>
    <w:p w:rsidR="00000000" w:rsidRPr="005E629F" w:rsidP="005E629F">
      <w:pPr>
        <w:pStyle w:val="AllowPageBreak"/>
      </w:pPr>
    </w:p>
    <w:p w:rsidR="00000000" w:rsidRPr="005E629F" w:rsidP="005E629F">
      <w:pPr>
        <w:pStyle w:val="Heading1"/>
      </w:pPr>
      <w:bookmarkStart w:id="3" w:name="O_1290575"/>
      <w:bookmarkEnd w:id="3"/>
      <w:r w:rsidRPr="005E629F">
        <w:t>Knowledge Evidence</w:t>
      </w:r>
    </w:p>
    <w:p w:rsidR="00000000" w:rsidRPr="005E629F" w:rsidP="00581D69">
      <w:pPr>
        <w:pStyle w:val="BodyText"/>
      </w:pPr>
      <w:r w:rsidRPr="005E629F">
        <w:t>To be competent in this unit, a candidate must demonstrate knowledge of:</w:t>
      </w:r>
    </w:p>
    <w:p w:rsidR="00000000" w:rsidRPr="005E629F" w:rsidP="005E629F">
      <w:pPr>
        <w:pStyle w:val="ListBullet"/>
      </w:pPr>
      <w:r w:rsidRPr="005E629F">
        <w:t>shopfitting regulations, codes and standards relating to shopfront and bulkhead demol</w:t>
      </w:r>
      <w:r w:rsidRPr="005E629F">
        <w:t>ition</w:t>
      </w:r>
    </w:p>
    <w:p w:rsidR="00000000" w:rsidRPr="005E629F" w:rsidP="005E629F">
      <w:pPr>
        <w:pStyle w:val="ListBullet"/>
      </w:pPr>
      <w:r w:rsidRPr="005E629F">
        <w:t>organisation’s quality assurance requirements relating to demolition of shopfronts and bulkheads</w:t>
      </w:r>
    </w:p>
    <w:p w:rsidR="00000000" w:rsidRPr="005E629F" w:rsidP="005E629F">
      <w:pPr>
        <w:pStyle w:val="ListBullet"/>
      </w:pPr>
      <w:r w:rsidRPr="005E629F">
        <w:t>sustainable shopfitting practices</w:t>
      </w:r>
    </w:p>
    <w:p w:rsidR="00000000" w:rsidRPr="005E629F" w:rsidP="005E629F">
      <w:pPr>
        <w:pStyle w:val="ListBullet"/>
      </w:pPr>
      <w:r w:rsidRPr="005E629F">
        <w:t>construction and demolition terminology used in shopfitting</w:t>
      </w:r>
    </w:p>
    <w:p w:rsidR="00000000" w:rsidRPr="005E629F" w:rsidP="005E629F">
      <w:pPr>
        <w:pStyle w:val="ListBullet"/>
      </w:pPr>
      <w:r w:rsidRPr="005E629F">
        <w:t>content of and terms, symbols and conventions used in worki</w:t>
      </w:r>
      <w:r w:rsidRPr="005E629F">
        <w:t>ng drawings and specifications</w:t>
      </w:r>
    </w:p>
    <w:p w:rsidR="00000000" w:rsidRPr="005E629F" w:rsidP="005E629F">
      <w:pPr>
        <w:pStyle w:val="ListBullet"/>
      </w:pPr>
      <w:r w:rsidRPr="005E629F">
        <w:t>characteristics, applications and limitations of materials used in shopfitting components:</w:t>
      </w:r>
    </w:p>
    <w:p w:rsidR="00000000" w:rsidRPr="005E629F" w:rsidP="005E629F">
      <w:pPr>
        <w:pStyle w:val="ListBullet2"/>
      </w:pPr>
      <w:r w:rsidRPr="005E629F">
        <w:t>acrylic</w:t>
      </w:r>
    </w:p>
    <w:p w:rsidR="00000000" w:rsidRPr="005E629F" w:rsidP="005E629F">
      <w:pPr>
        <w:pStyle w:val="ListBullet2"/>
      </w:pPr>
      <w:r w:rsidRPr="005E629F">
        <w:t>glass</w:t>
      </w:r>
    </w:p>
    <w:p w:rsidR="00000000" w:rsidRPr="005E629F" w:rsidP="005E629F">
      <w:pPr>
        <w:pStyle w:val="ListBullet2"/>
      </w:pPr>
      <w:r w:rsidRPr="005E629F">
        <w:t>laminates</w:t>
      </w:r>
    </w:p>
    <w:p w:rsidR="00000000" w:rsidRPr="005E629F" w:rsidP="005E629F">
      <w:pPr>
        <w:pStyle w:val="ListBullet2"/>
      </w:pPr>
      <w:r w:rsidRPr="005E629F">
        <w:t>manufactured board</w:t>
      </w:r>
    </w:p>
    <w:p w:rsidR="00000000" w:rsidRPr="005E629F" w:rsidP="005E629F">
      <w:pPr>
        <w:pStyle w:val="ListBullet2"/>
      </w:pPr>
      <w:r w:rsidRPr="005E629F">
        <w:t>solid timber</w:t>
      </w:r>
    </w:p>
    <w:p w:rsidR="00000000" w:rsidRPr="005E629F" w:rsidP="005E629F">
      <w:pPr>
        <w:pStyle w:val="ListBullet"/>
      </w:pPr>
      <w:r w:rsidRPr="005E629F">
        <w:t>procedures and techniques relevant to demolishing shopfronts:</w:t>
      </w:r>
    </w:p>
    <w:p w:rsidR="00000000" w:rsidRPr="005E629F" w:rsidP="005E629F">
      <w:pPr>
        <w:pStyle w:val="ListBullet2"/>
      </w:pPr>
      <w:r w:rsidRPr="005E629F">
        <w:t>calculating volumes of material for removal</w:t>
      </w:r>
    </w:p>
    <w:p w:rsidR="00000000" w:rsidRPr="005E629F" w:rsidP="005E629F">
      <w:pPr>
        <w:pStyle w:val="ListBullet2"/>
      </w:pPr>
      <w:r w:rsidRPr="005E629F">
        <w:t>non-load-bearing external walls</w:t>
      </w:r>
    </w:p>
    <w:p w:rsidR="00000000" w:rsidRPr="005E629F" w:rsidP="005E629F">
      <w:pPr>
        <w:pStyle w:val="ListBullet2"/>
      </w:pPr>
      <w:r w:rsidRPr="005E629F">
        <w:t>suspended ceilings</w:t>
      </w:r>
    </w:p>
    <w:p w:rsidR="00000000" w:rsidRPr="005E629F" w:rsidP="005E629F">
      <w:pPr>
        <w:pStyle w:val="ListBullet2"/>
      </w:pPr>
      <w:r w:rsidRPr="005E629F">
        <w:t>shopfronts and glazed sections</w:t>
      </w:r>
    </w:p>
    <w:p w:rsidR="00000000" w:rsidRPr="005E629F" w:rsidP="005E629F">
      <w:pPr>
        <w:pStyle w:val="ListBullet2"/>
      </w:pPr>
      <w:r w:rsidRPr="005E629F">
        <w:t>joinery and fixtures</w:t>
      </w:r>
    </w:p>
    <w:p w:rsidR="00000000" w:rsidRPr="005E629F" w:rsidP="005E629F">
      <w:pPr>
        <w:pStyle w:val="ListBullet2"/>
      </w:pPr>
      <w:r w:rsidRPr="005E629F">
        <w:t xml:space="preserve">high-level bulkheads </w:t>
      </w:r>
    </w:p>
    <w:p w:rsidR="00000000" w:rsidRPr="005E629F" w:rsidP="005E629F">
      <w:pPr>
        <w:pStyle w:val="ListBullet2"/>
      </w:pPr>
      <w:r w:rsidRPr="005E629F">
        <w:t>maintaining operation of existing services</w:t>
      </w:r>
    </w:p>
    <w:p w:rsidR="00000000" w:rsidRPr="005E629F" w:rsidP="005E629F">
      <w:pPr>
        <w:pStyle w:val="ListBullet"/>
      </w:pPr>
      <w:r w:rsidRPr="005E629F">
        <w:t>workplace safety:</w:t>
      </w:r>
    </w:p>
    <w:p w:rsidR="00000000" w:rsidRPr="005E629F" w:rsidP="005E629F">
      <w:pPr>
        <w:pStyle w:val="ListBullet2"/>
      </w:pPr>
      <w:r w:rsidRPr="005E629F">
        <w:t>job safety and environmental analysis (JSEA)</w:t>
      </w:r>
    </w:p>
    <w:p w:rsidR="00000000" w:rsidRPr="005E629F" w:rsidP="005E629F">
      <w:pPr>
        <w:pStyle w:val="ListBullet2"/>
      </w:pPr>
      <w:r w:rsidRPr="005E629F">
        <w:t>safe work method statements (SWMSs)</w:t>
      </w:r>
    </w:p>
    <w:p w:rsidR="00000000" w:rsidRPr="005E629F" w:rsidP="005E629F">
      <w:pPr>
        <w:pStyle w:val="ListBullet2"/>
      </w:pPr>
      <w:r w:rsidRPr="005E629F">
        <w:t>hierarchy of control</w:t>
      </w:r>
    </w:p>
    <w:p w:rsidR="00000000" w:rsidRPr="005E629F" w:rsidP="005E629F">
      <w:pPr>
        <w:pStyle w:val="ListBullet2"/>
      </w:pPr>
      <w:r w:rsidRPr="005E629F">
        <w:t>how to identify potential hazards</w:t>
      </w:r>
    </w:p>
    <w:p w:rsidR="00000000" w:rsidRPr="005E629F" w:rsidP="005E629F">
      <w:pPr>
        <w:pStyle w:val="ListBullet2"/>
      </w:pPr>
      <w:r w:rsidRPr="005E629F">
        <w:t>safety data sheets (SDSs)</w:t>
      </w:r>
    </w:p>
    <w:p w:rsidR="00000000" w:rsidRPr="005E629F" w:rsidP="005E629F">
      <w:pPr>
        <w:pStyle w:val="ListBullet2"/>
      </w:pPr>
      <w:r w:rsidRPr="005E629F">
        <w:t>hazardous manual tasks</w:t>
      </w:r>
    </w:p>
    <w:p w:rsidR="00000000" w:rsidRPr="005E629F" w:rsidP="005E629F">
      <w:pPr>
        <w:pStyle w:val="ListBullet2"/>
      </w:pPr>
      <w:r w:rsidRPr="005E629F">
        <w:t>exposure to excessive noise</w:t>
      </w:r>
    </w:p>
    <w:p w:rsidR="00000000" w:rsidRPr="005E629F" w:rsidP="005E629F">
      <w:pPr>
        <w:pStyle w:val="ListBullet2"/>
      </w:pPr>
      <w:r w:rsidRPr="005E629F">
        <w:t>removal of asbestos</w:t>
      </w:r>
    </w:p>
    <w:p w:rsidR="00000000" w:rsidRPr="005E629F" w:rsidP="005E629F">
      <w:pPr>
        <w:pStyle w:val="ListBullet2"/>
      </w:pPr>
      <w:r w:rsidRPr="005E629F">
        <w:t>exposure to dust</w:t>
      </w:r>
    </w:p>
    <w:p w:rsidR="00000000" w:rsidRPr="005E629F" w:rsidP="005E629F">
      <w:pPr>
        <w:pStyle w:val="ListBullet2"/>
      </w:pPr>
      <w:r w:rsidRPr="005E629F">
        <w:t>hazard</w:t>
      </w:r>
      <w:r w:rsidRPr="005E629F">
        <w:t>ous substances:</w:t>
      </w:r>
    </w:p>
    <w:p w:rsidR="00000000" w:rsidRPr="005E629F" w:rsidP="005E629F">
      <w:pPr>
        <w:pStyle w:val="ListBullet3"/>
      </w:pPr>
      <w:r w:rsidRPr="005E629F">
        <w:t>lead</w:t>
      </w:r>
    </w:p>
    <w:p w:rsidR="00000000" w:rsidRPr="005E629F" w:rsidP="005E629F">
      <w:pPr>
        <w:pStyle w:val="ListBullet3"/>
      </w:pPr>
      <w:r w:rsidRPr="005E629F">
        <w:t>fibreglass</w:t>
      </w:r>
    </w:p>
    <w:p w:rsidR="00000000" w:rsidRPr="005E629F" w:rsidP="005E629F">
      <w:pPr>
        <w:pStyle w:val="ListBullet2"/>
      </w:pPr>
      <w:r w:rsidRPr="005E629F">
        <w:t>working at heights</w:t>
      </w:r>
    </w:p>
    <w:p w:rsidR="00000000" w:rsidRPr="005E629F" w:rsidP="005E629F">
      <w:pPr>
        <w:pStyle w:val="ListBullet2"/>
      </w:pPr>
      <w:r w:rsidRPr="005E629F">
        <w:t>falling objects</w:t>
      </w:r>
    </w:p>
    <w:p w:rsidR="00000000" w:rsidRPr="005E629F" w:rsidP="005E629F">
      <w:pPr>
        <w:pStyle w:val="ListBullet2"/>
      </w:pPr>
      <w:r w:rsidRPr="005E629F">
        <w:t>vibration</w:t>
      </w:r>
    </w:p>
    <w:p w:rsidR="00000000" w:rsidRPr="005E629F" w:rsidP="005E629F">
      <w:pPr>
        <w:pStyle w:val="ListBullet2"/>
      </w:pPr>
      <w:r w:rsidRPr="005E629F">
        <w:t>electrical safety</w:t>
      </w:r>
    </w:p>
    <w:p w:rsidR="00000000" w:rsidRPr="005E629F" w:rsidP="005E629F">
      <w:pPr>
        <w:pStyle w:val="ListBullet2"/>
      </w:pPr>
      <w:r w:rsidRPr="005E629F">
        <w:t>emergency procedures (evacuation, location and use of firefighting equipment, first aid)</w:t>
      </w:r>
    </w:p>
    <w:p w:rsidR="00000000" w:rsidRPr="005E629F" w:rsidP="005E629F">
      <w:pPr>
        <w:pStyle w:val="ListBullet2"/>
      </w:pPr>
      <w:r w:rsidRPr="005E629F">
        <w:t>safety of public, visitors and others in the workplace</w:t>
      </w:r>
    </w:p>
    <w:p w:rsidR="00000000" w:rsidRPr="005E629F" w:rsidP="005E629F">
      <w:pPr>
        <w:pStyle w:val="ListBullet"/>
      </w:pPr>
      <w:r w:rsidRPr="005E629F">
        <w:t>functional and operational features of tools and equipment:</w:t>
      </w:r>
    </w:p>
    <w:p w:rsidR="00000000" w:rsidRPr="005E629F" w:rsidP="005E629F">
      <w:pPr>
        <w:pStyle w:val="ListBullet2"/>
      </w:pPr>
      <w:r w:rsidRPr="005E629F">
        <w:t>air compressors and pneumatic tools</w:t>
      </w:r>
    </w:p>
    <w:p w:rsidR="00000000" w:rsidRPr="005E629F" w:rsidP="005E629F">
      <w:pPr>
        <w:pStyle w:val="ListBullet2"/>
      </w:pPr>
      <w:r w:rsidRPr="005E629F">
        <w:t>angle grinders</w:t>
      </w:r>
    </w:p>
    <w:p w:rsidR="00000000" w:rsidRPr="005E629F" w:rsidP="005E629F">
      <w:pPr>
        <w:pStyle w:val="ListBullet2"/>
      </w:pPr>
      <w:r w:rsidRPr="005E629F">
        <w:t>elevated work platforms (EWPs)</w:t>
      </w:r>
    </w:p>
    <w:p w:rsidR="00000000" w:rsidRPr="005E629F" w:rsidP="005E629F">
      <w:pPr>
        <w:pStyle w:val="ListBullet2"/>
      </w:pPr>
      <w:r w:rsidRPr="005E629F">
        <w:t>scaffolding</w:t>
      </w:r>
    </w:p>
    <w:p w:rsidR="00000000" w:rsidRPr="005E629F" w:rsidP="005E629F">
      <w:pPr>
        <w:pStyle w:val="ListBullet2"/>
      </w:pPr>
      <w:r w:rsidRPr="005E629F">
        <w:t>power saws</w:t>
      </w:r>
    </w:p>
    <w:p w:rsidR="00000000" w:rsidRPr="005E629F" w:rsidP="005E629F">
      <w:pPr>
        <w:pStyle w:val="ListBullet2"/>
      </w:pPr>
      <w:r w:rsidRPr="005E629F">
        <w:t>power drills.</w:t>
      </w:r>
    </w:p>
    <w:p w:rsidR="00000000" w:rsidRPr="005E629F" w:rsidP="005E629F">
      <w:pPr>
        <w:pStyle w:val="AllowPageBreak"/>
      </w:pPr>
    </w:p>
    <w:p w:rsidR="00000000" w:rsidRPr="005E629F" w:rsidP="005E629F">
      <w:pPr>
        <w:pStyle w:val="Heading1"/>
      </w:pPr>
      <w:bookmarkStart w:id="4" w:name="O_1290574"/>
      <w:bookmarkEnd w:id="4"/>
      <w:r w:rsidRPr="005E629F">
        <w:t>Assessment Conditions</w:t>
      </w:r>
    </w:p>
    <w:p w:rsidR="00000000" w:rsidRPr="005E629F" w:rsidP="00581D69">
      <w:pPr>
        <w:pStyle w:val="BodyText"/>
      </w:pPr>
      <w:r w:rsidRPr="005E629F">
        <w:t>Assessors must meet the requirement</w:t>
      </w:r>
      <w:r w:rsidRPr="005E629F">
        <w:t xml:space="preserve">s for assessors contained in the Standards for Registered Training Organisations. </w:t>
      </w:r>
    </w:p>
    <w:p w:rsidR="00000000" w:rsidRPr="005E629F" w:rsidP="00581D69">
      <w:pPr>
        <w:pStyle w:val="BodyText"/>
      </w:pPr>
      <w:r w:rsidRPr="005E629F">
        <w:t>Assessment must be conducted in the workplace or a simulated workplace using realistic conditions, materials, activities, responsibilities, procedures, safety requirements a</w:t>
      </w:r>
      <w:r w:rsidRPr="005E629F">
        <w:t>nd environmental considerations.</w:t>
      </w:r>
    </w:p>
    <w:p w:rsidR="00000000" w:rsidRPr="005E629F" w:rsidP="00581D69">
      <w:pPr>
        <w:pStyle w:val="BodyText"/>
      </w:pPr>
      <w:r w:rsidRPr="005E629F">
        <w:t>Candidates must have access to:</w:t>
      </w:r>
    </w:p>
    <w:p w:rsidR="00000000" w:rsidRPr="005E629F" w:rsidP="005E629F">
      <w:pPr>
        <w:pStyle w:val="ListBullet"/>
      </w:pPr>
      <w:r w:rsidRPr="005E629F">
        <w:t>relevant shopfitting regulations, codes and Australian Standards</w:t>
      </w:r>
    </w:p>
    <w:p w:rsidR="00000000" w:rsidRPr="005E629F" w:rsidP="005E629F">
      <w:pPr>
        <w:pStyle w:val="ListBullet"/>
      </w:pPr>
      <w:r w:rsidRPr="005E629F">
        <w:t xml:space="preserve">current workplace procedures, workplace safety and environmental documentation relating to demolition </w:t>
      </w:r>
    </w:p>
    <w:p w:rsidR="00000000" w:rsidRPr="005E629F" w:rsidP="005E629F">
      <w:pPr>
        <w:pStyle w:val="ListBullet"/>
      </w:pPr>
      <w:r w:rsidRPr="005E629F">
        <w:t xml:space="preserve">shopfitting drawings and specifications, organisational policies, procedures and equipment to undertake the performance criteria and assessment requirements </w:t>
      </w:r>
    </w:p>
    <w:p w:rsidR="00000000" w:rsidRPr="005E629F" w:rsidP="005E629F">
      <w:pPr>
        <w:pStyle w:val="ListBullet"/>
      </w:pPr>
      <w:r w:rsidRPr="005E629F">
        <w:t>digital technology, devices and software to communicate with others and to develop and save docume</w:t>
      </w:r>
      <w:r w:rsidRPr="005E629F">
        <w:t>nts electronically.</w:t>
      </w:r>
    </w:p>
    <w:p w:rsidR="00000000" w:rsidRPr="005E629F" w:rsidP="005E629F">
      <w:pPr>
        <w:pStyle w:val="AllowPageBreak"/>
      </w:pPr>
    </w:p>
    <w:p w:rsidR="00000000" w:rsidRPr="005E629F" w:rsidP="005E629F">
      <w:pPr>
        <w:pStyle w:val="Heading1"/>
      </w:pPr>
      <w:bookmarkStart w:id="5" w:name="O_1290587"/>
      <w:bookmarkEnd w:id="5"/>
      <w:r w:rsidRPr="005E629F">
        <w:t>Links</w:t>
      </w:r>
    </w:p>
    <w:p w:rsidR="00000000" w:rsidRPr="005E629F" w:rsidP="00581D69">
      <w:pPr>
        <w:pStyle w:val="BodyText"/>
      </w:pPr>
      <w:r w:rsidRPr="005E62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A0EF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E629F" w:rsidP="005E629F"/>
    <w:sectPr w:rsidSect="005E62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9F" w:rsidRPr="00581D69" w:rsidP="00581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69" w:rsidP="005E6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D69" w:rsidP="005E6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1D69" w:rsidP="005E6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29F" w:rsidRPr="00581D69" w:rsidP="00581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69" w:rsidRPr="002D2AF8" w:rsidP="005E6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CPCSHP3009 Demolish shopfronts and bulkheads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81D69" w:rsidP="005E6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21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420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8D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29F"/>
  </w:style>
  <w:style w:type="character" w:customStyle="1" w:styleId="Heading1Char">
    <w:name w:val="Heading 1 Char"/>
    <w:basedOn w:val="DefaultParagraphFont"/>
    <w:link w:val="Heading1"/>
    <w:rsid w:val="005E6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2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2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62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6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29F"/>
    <w:rPr>
      <w:b/>
      <w:spacing w:val="0"/>
    </w:rPr>
  </w:style>
  <w:style w:type="paragraph" w:customStyle="1" w:styleId="SuperTitle">
    <w:name w:val="SuperTitle"/>
    <w:basedOn w:val="Title"/>
    <w:rsid w:val="005E6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29F"/>
    <w:rPr>
      <w:i/>
    </w:rPr>
  </w:style>
  <w:style w:type="paragraph" w:styleId="Caption">
    <w:name w:val="caption"/>
    <w:basedOn w:val="BodyText"/>
    <w:next w:val="Normal"/>
    <w:qFormat/>
    <w:rsid w:val="005E6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29F"/>
  </w:style>
  <w:style w:type="paragraph" w:styleId="TableofFigures">
    <w:name w:val="table of figures"/>
    <w:basedOn w:val="Normal"/>
    <w:next w:val="Normal"/>
    <w:semiHidden/>
    <w:rsid w:val="005E6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2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629F"/>
    <w:rPr>
      <w:rFonts w:ascii="Wingdings" w:hAnsi="Wingdings"/>
    </w:rPr>
  </w:style>
  <w:style w:type="paragraph" w:customStyle="1" w:styleId="TableHeading">
    <w:name w:val="Table Heading"/>
    <w:basedOn w:val="HeadingBase"/>
    <w:rsid w:val="005E6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29F"/>
    <w:rPr>
      <w:color w:val="0033CC"/>
      <w:u w:val="none"/>
    </w:rPr>
  </w:style>
  <w:style w:type="paragraph" w:customStyle="1" w:styleId="BodyTextRight">
    <w:name w:val="Body Text Right"/>
    <w:basedOn w:val="BodyText"/>
    <w:rsid w:val="005E6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2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29F"/>
    <w:rPr>
      <w:sz w:val="32"/>
    </w:rPr>
  </w:style>
  <w:style w:type="paragraph" w:customStyle="1" w:styleId="HeadingProcedure">
    <w:name w:val="Heading Procedure"/>
    <w:basedOn w:val="HeadingBase"/>
    <w:next w:val="Normal"/>
    <w:rsid w:val="005E6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29F"/>
    <w:pPr>
      <w:spacing w:before="60" w:after="60"/>
    </w:pPr>
  </w:style>
  <w:style w:type="paragraph" w:styleId="ListContinue">
    <w:name w:val="List Continue"/>
    <w:basedOn w:val="List"/>
    <w:rsid w:val="005E629F"/>
    <w:pPr>
      <w:ind w:firstLine="0"/>
    </w:pPr>
  </w:style>
  <w:style w:type="paragraph" w:customStyle="1" w:styleId="ListNote">
    <w:name w:val="List Note"/>
    <w:basedOn w:val="List"/>
    <w:rsid w:val="005E6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29F"/>
    <w:rPr>
      <w:rFonts w:ascii="Courier New" w:hAnsi="Courier New"/>
    </w:rPr>
  </w:style>
  <w:style w:type="paragraph" w:customStyle="1" w:styleId="NoteBullet">
    <w:name w:val="Note Bullet"/>
    <w:basedOn w:val="Note"/>
    <w:rsid w:val="005E6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2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6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29F"/>
    <w:rPr>
      <w:b/>
      <w:smallCaps/>
    </w:rPr>
  </w:style>
  <w:style w:type="paragraph" w:customStyle="1" w:styleId="TableListNumber">
    <w:name w:val="Table List Number"/>
    <w:basedOn w:val="ListNumber"/>
    <w:rsid w:val="005E6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29F"/>
    <w:pPr>
      <w:numPr>
        <w:numId w:val="10"/>
      </w:numPr>
    </w:pPr>
  </w:style>
  <w:style w:type="paragraph" w:customStyle="1" w:styleId="ListAlpha2">
    <w:name w:val="List Alpha 2"/>
    <w:basedOn w:val="List2"/>
    <w:rsid w:val="005E629F"/>
    <w:pPr>
      <w:numPr>
        <w:numId w:val="9"/>
      </w:numPr>
    </w:pPr>
  </w:style>
  <w:style w:type="paragraph" w:styleId="List2">
    <w:name w:val="List 2"/>
    <w:basedOn w:val="BodyText"/>
    <w:rsid w:val="005E6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2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62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629F"/>
    <w:pPr>
      <w:numPr>
        <w:numId w:val="5"/>
      </w:numPr>
    </w:pPr>
  </w:style>
  <w:style w:type="paragraph" w:styleId="ListContinue2">
    <w:name w:val="List Continue 2"/>
    <w:basedOn w:val="List2"/>
    <w:rsid w:val="005E629F"/>
    <w:pPr>
      <w:ind w:firstLine="0"/>
    </w:pPr>
  </w:style>
  <w:style w:type="paragraph" w:styleId="ListContinue3">
    <w:name w:val="List Continue 3"/>
    <w:basedOn w:val="List3"/>
    <w:rsid w:val="005E629F"/>
    <w:pPr>
      <w:ind w:left="1021" w:firstLine="0"/>
    </w:pPr>
  </w:style>
  <w:style w:type="paragraph" w:styleId="ListContinue4">
    <w:name w:val="List Continue 4"/>
    <w:basedOn w:val="List4"/>
    <w:rsid w:val="005E629F"/>
    <w:pPr>
      <w:ind w:firstLine="0"/>
    </w:pPr>
  </w:style>
  <w:style w:type="paragraph" w:styleId="ListContinue5">
    <w:name w:val="List Continue 5"/>
    <w:basedOn w:val="List5"/>
    <w:rsid w:val="005E629F"/>
    <w:pPr>
      <w:ind w:firstLine="0"/>
    </w:pPr>
  </w:style>
  <w:style w:type="paragraph" w:styleId="ListNumber3">
    <w:name w:val="List Number 3"/>
    <w:basedOn w:val="List3"/>
    <w:rsid w:val="005E629F"/>
    <w:pPr>
      <w:numPr>
        <w:numId w:val="6"/>
      </w:numPr>
    </w:pPr>
  </w:style>
  <w:style w:type="paragraph" w:styleId="ListNumber4">
    <w:name w:val="List Number 4"/>
    <w:basedOn w:val="List4"/>
    <w:rsid w:val="005E629F"/>
    <w:pPr>
      <w:numPr>
        <w:numId w:val="7"/>
      </w:numPr>
    </w:pPr>
  </w:style>
  <w:style w:type="paragraph" w:styleId="ListNumber5">
    <w:name w:val="List Number 5"/>
    <w:basedOn w:val="List5"/>
    <w:rsid w:val="005E629F"/>
    <w:pPr>
      <w:numPr>
        <w:numId w:val="8"/>
      </w:numPr>
    </w:pPr>
  </w:style>
  <w:style w:type="paragraph" w:styleId="BlockText">
    <w:name w:val="Block Text"/>
    <w:basedOn w:val="Normal"/>
    <w:rsid w:val="005E6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29F"/>
    <w:rPr>
      <w:sz w:val="16"/>
      <w:vertAlign w:val="superscript"/>
    </w:rPr>
  </w:style>
  <w:style w:type="character" w:customStyle="1" w:styleId="Symbols">
    <w:name w:val="Symbols"/>
    <w:basedOn w:val="DefaultParagraphFont"/>
    <w:rsid w:val="005E629F"/>
    <w:rPr>
      <w:rFonts w:ascii="Symbol" w:hAnsi="Symbol"/>
    </w:rPr>
  </w:style>
  <w:style w:type="character" w:customStyle="1" w:styleId="MenuOptions">
    <w:name w:val="Menu Options"/>
    <w:basedOn w:val="DefaultParagraphFont"/>
    <w:rsid w:val="005E6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29F"/>
    <w:rPr>
      <w:b/>
    </w:rPr>
  </w:style>
  <w:style w:type="character" w:customStyle="1" w:styleId="Underlined">
    <w:name w:val="Underlined"/>
    <w:basedOn w:val="DefaultParagraphFont"/>
    <w:rsid w:val="005E629F"/>
    <w:rPr>
      <w:u w:val="single"/>
    </w:rPr>
  </w:style>
  <w:style w:type="paragraph" w:customStyle="1" w:styleId="TableBodyTextRight">
    <w:name w:val="Table Body Text Right"/>
    <w:basedOn w:val="TableBodyText"/>
    <w:rsid w:val="005E6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29F"/>
    <w:rPr>
      <w:sz w:val="18"/>
    </w:rPr>
  </w:style>
  <w:style w:type="paragraph" w:customStyle="1" w:styleId="BodySmallRight">
    <w:name w:val="Body Small Right"/>
    <w:basedOn w:val="BodyTextRight"/>
    <w:rsid w:val="005E629F"/>
    <w:rPr>
      <w:sz w:val="18"/>
      <w:szCs w:val="18"/>
    </w:rPr>
  </w:style>
  <w:style w:type="paragraph" w:customStyle="1" w:styleId="MarginEdition">
    <w:name w:val="Margin Edition"/>
    <w:basedOn w:val="MarginNote"/>
    <w:rsid w:val="005E6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29F"/>
    <w:rPr>
      <w:sz w:val="2"/>
      <w:szCs w:val="2"/>
    </w:rPr>
  </w:style>
  <w:style w:type="character" w:customStyle="1" w:styleId="Small">
    <w:name w:val="Small"/>
    <w:basedOn w:val="DefaultParagraphFont"/>
    <w:rsid w:val="005E629F"/>
    <w:rPr>
      <w:sz w:val="16"/>
    </w:rPr>
  </w:style>
  <w:style w:type="paragraph" w:customStyle="1" w:styleId="WideTable">
    <w:name w:val="Wide Table"/>
    <w:basedOn w:val="Normal"/>
    <w:rsid w:val="005E6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29F"/>
  </w:style>
  <w:style w:type="paragraph" w:styleId="Quote">
    <w:name w:val="Quote"/>
    <w:basedOn w:val="Heading1"/>
    <w:link w:val="QuoteChar"/>
    <w:qFormat/>
    <w:rsid w:val="005E6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29F"/>
    <w:pPr>
      <w:pageBreakBefore/>
    </w:pPr>
  </w:style>
  <w:style w:type="paragraph" w:customStyle="1" w:styleId="Border">
    <w:name w:val="Border"/>
    <w:basedOn w:val="Normal"/>
    <w:qFormat/>
    <w:rsid w:val="005E6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29F"/>
    <w:rPr>
      <w:u w:val="single"/>
    </w:rPr>
  </w:style>
  <w:style w:type="character" w:customStyle="1" w:styleId="BoldandItalics">
    <w:name w:val="Bold and Italics"/>
    <w:qFormat/>
    <w:rsid w:val="005E629F"/>
    <w:rPr>
      <w:b/>
      <w:i/>
      <w:u w:val="none"/>
    </w:rPr>
  </w:style>
  <w:style w:type="paragraph" w:styleId="BalloonText">
    <w:name w:val="Balloon Text"/>
    <w:basedOn w:val="Normal"/>
    <w:link w:val="BalloonTextChar"/>
    <w:rsid w:val="005E6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29F"/>
    <w:pPr>
      <w:spacing w:before="0" w:after="0"/>
    </w:pPr>
  </w:style>
  <w:style w:type="paragraph" w:customStyle="1" w:styleId="BodyTextBold">
    <w:name w:val="Body Text Bold"/>
    <w:basedOn w:val="BodyText"/>
    <w:qFormat/>
    <w:rsid w:val="005E629F"/>
    <w:rPr>
      <w:b/>
    </w:rPr>
  </w:style>
  <w:style w:type="character" w:styleId="Hyperlink">
    <w:name w:val="Hyperlink"/>
    <w:basedOn w:val="DefaultParagraphFont"/>
    <w:uiPriority w:val="99"/>
    <w:unhideWhenUsed/>
    <w:rsid w:val="00581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3546</Characters>
  <Application>Microsoft Office Word</Application>
  <DocSecurity>0</DocSecurity>
  <Lines>107</Lines>
  <Paragraphs>88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CPCSHP3009 Demolish shopfronts and bulkheads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