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F0D" w:rsidP="006C4F0D">
      <w:pPr>
        <w:pStyle w:val="Title"/>
      </w:pPr>
      <w:r>
        <w:fldChar w:fldCharType="begin"/>
      </w:r>
      <w:r>
        <w:instrText xml:space="preserve"> TITLE   \* MERGEFORMAT </w:instrText>
      </w:r>
      <w:r>
        <w:fldChar w:fldCharType="separate"/>
      </w:r>
      <w:r>
        <w:t>CPCSFS8002 Analyse, design and evaluate complex special hazard fire systems</w:t>
      </w:r>
      <w:r>
        <w:fldChar w:fldCharType="end"/>
      </w:r>
    </w:p>
    <w:p w:rsidR="006C4F0D" w:rsidP="006C4F0D">
      <w:pPr>
        <w:pStyle w:val="Version"/>
        <w:sectPr w:rsidSect="00AE4C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C0B" w:rsidP="00AE4C0B">
      <w:pPr>
        <w:pStyle w:val="SuperHeading"/>
      </w:pPr>
      <w:r w:rsidRPr="00AE4C0B">
        <w:t>CPCSFS8002 Analyse, design and evaluate complex special hazard fire systems</w:t>
      </w:r>
    </w:p>
    <w:p w:rsidR="00000000" w:rsidRPr="00AE4C0B" w:rsidP="00AE4C0B">
      <w:pPr>
        <w:pStyle w:val="Heading1"/>
      </w:pPr>
      <w:bookmarkStart w:id="1" w:name="O_666964"/>
      <w:bookmarkEnd w:id="1"/>
      <w:r w:rsidRPr="00AE4C0B">
        <w:t>Modification History</w:t>
      </w:r>
    </w:p>
    <w:p w:rsidR="00000000" w:rsidRPr="00AE4C0B" w:rsidP="006C4F0D">
      <w:pPr>
        <w:pStyle w:val="BodyText"/>
      </w:pPr>
      <w:r w:rsidRPr="00AE4C0B">
        <w:t xml:space="preserve">Release 1. </w:t>
      </w:r>
    </w:p>
    <w:p w:rsidR="00000000" w:rsidRPr="00AE4C0B" w:rsidP="006C4F0D">
      <w:pPr>
        <w:pStyle w:val="BodyText"/>
      </w:pPr>
      <w:r w:rsidRPr="00AE4C0B">
        <w:t>This version first released with CPC Construction, Plumbing and Services Training Package Version 1.</w:t>
      </w:r>
    </w:p>
    <w:p w:rsidR="00000000" w:rsidRPr="00AE4C0B" w:rsidP="006C4F0D">
      <w:pPr>
        <w:pStyle w:val="BodyText"/>
      </w:pPr>
      <w:r w:rsidRPr="00AE4C0B">
        <w:t>Replaces superseded equivalent CPCSFS7002A Analyse, design and evaluate complex special hazard fire systems.</w:t>
      </w:r>
    </w:p>
    <w:p w:rsidR="00000000" w:rsidRPr="00AE4C0B" w:rsidP="00AE4C0B">
      <w:pPr>
        <w:pStyle w:val="Heading1"/>
      </w:pPr>
      <w:bookmarkStart w:id="2" w:name="O_666972"/>
      <w:bookmarkEnd w:id="2"/>
      <w:r w:rsidRPr="00AE4C0B">
        <w:t>Application</w:t>
      </w:r>
    </w:p>
    <w:p w:rsidR="00000000" w:rsidRPr="00AE4C0B" w:rsidP="006C4F0D">
      <w:pPr>
        <w:pStyle w:val="BodyText"/>
      </w:pPr>
      <w:r w:rsidRPr="00AE4C0B">
        <w:t>This unit of competency specifies the outcomes required to analyse options for the design of special hazard fire syste</w:t>
      </w:r>
      <w:r w:rsidRPr="00AE4C0B">
        <w:t>ms, design their components, and evaluate the designs prior to client sign-off.</w:t>
      </w:r>
    </w:p>
    <w:p w:rsidR="00000000" w:rsidRPr="00AE4C0B" w:rsidP="006C4F0D">
      <w:pPr>
        <w:pStyle w:val="BodyText"/>
      </w:pPr>
      <w:r w:rsidRPr="00AE4C0B">
        <w:t>Special hazard fire systems are not referenced in the National Construction Code. They include gaseous, foam and water spray solutions that offer protection for life safety an</w:t>
      </w:r>
      <w:r w:rsidRPr="00AE4C0B">
        <w:t xml:space="preserve">d to facilities and equipment vital to business operation and success. </w:t>
      </w:r>
    </w:p>
    <w:p w:rsidR="00000000" w:rsidRPr="00AE4C0B" w:rsidP="006C4F0D">
      <w:pPr>
        <w:pStyle w:val="BodyText"/>
      </w:pPr>
      <w:r w:rsidRPr="00AE4C0B">
        <w:t>The development of a fire systems design project is subject to significant complexities due to the typical requirement to integrate multiple fire detection and suppression systems.</w:t>
      </w:r>
    </w:p>
    <w:p w:rsidR="00000000" w:rsidRPr="00AE4C0B" w:rsidP="006C4F0D">
      <w:pPr>
        <w:pStyle w:val="BodyText"/>
      </w:pPr>
      <w:r w:rsidRPr="00AE4C0B">
        <w:t>T</w:t>
      </w:r>
      <w:r w:rsidRPr="00AE4C0B">
        <w:t>his unit of competency supports senior fire systems designers who design effective and efficient special hazard fire detection and suppression systems.</w:t>
      </w:r>
    </w:p>
    <w:p w:rsidR="00000000" w:rsidRPr="00AE4C0B" w:rsidP="006C4F0D">
      <w:pPr>
        <w:pStyle w:val="BodyText"/>
      </w:pPr>
      <w:r w:rsidRPr="00AE4C0B">
        <w:t>No licensing, legislative, accreditation, regulatory or certification requirements apply to this unit a</w:t>
      </w:r>
      <w:r w:rsidRPr="00AE4C0B">
        <w:t>t the time of endorsement.</w:t>
      </w:r>
    </w:p>
    <w:p w:rsidR="00000000" w:rsidRPr="00AE4C0B" w:rsidP="00AE4C0B">
      <w:pPr>
        <w:pStyle w:val="Heading1"/>
      </w:pPr>
      <w:bookmarkStart w:id="3" w:name="O_666971"/>
      <w:bookmarkEnd w:id="3"/>
      <w:r w:rsidRPr="00AE4C0B">
        <w:t>Pre-requisite Unit</w:t>
      </w:r>
    </w:p>
    <w:p w:rsidR="00000000" w:rsidRPr="00AE4C0B" w:rsidP="006C4F0D">
      <w:pPr>
        <w:pStyle w:val="BodyText"/>
      </w:pPr>
      <w:r w:rsidRPr="00AE4C0B">
        <w:t>Nil</w:t>
      </w:r>
    </w:p>
    <w:p w:rsidR="00000000" w:rsidRPr="00AE4C0B" w:rsidP="00AE4C0B">
      <w:pPr>
        <w:pStyle w:val="Heading1"/>
      </w:pPr>
      <w:bookmarkStart w:id="4" w:name="O_666970"/>
      <w:bookmarkEnd w:id="4"/>
      <w:r w:rsidRPr="00AE4C0B">
        <w:t>Competency Field</w:t>
      </w:r>
    </w:p>
    <w:p w:rsidR="00000000" w:rsidRPr="00AE4C0B" w:rsidP="006C4F0D">
      <w:pPr>
        <w:pStyle w:val="BodyText"/>
      </w:pPr>
      <w:r w:rsidRPr="00AE4C0B">
        <w:t>Fire system design</w:t>
      </w:r>
    </w:p>
    <w:p w:rsidR="00000000" w:rsidRPr="00AE4C0B" w:rsidP="00AE4C0B">
      <w:pPr>
        <w:pStyle w:val="Heading1"/>
      </w:pPr>
      <w:bookmarkStart w:id="5" w:name="O_666969"/>
      <w:bookmarkEnd w:id="5"/>
      <w:r w:rsidRPr="00AE4C0B">
        <w:t>Unit Sector</w:t>
      </w:r>
    </w:p>
    <w:p w:rsidR="00000000" w:rsidRPr="00AE4C0B" w:rsidP="006C4F0D">
      <w:pPr>
        <w:pStyle w:val="BodyText"/>
      </w:pPr>
      <w:r w:rsidRPr="00AE4C0B">
        <w:t>Plumbing and services</w:t>
      </w:r>
    </w:p>
    <w:p w:rsidR="00000000" w:rsidRPr="00AE4C0B" w:rsidP="00AE4C0B">
      <w:pPr>
        <w:pStyle w:val="Heading1"/>
      </w:pPr>
      <w:bookmarkStart w:id="6" w:name="O_666968"/>
      <w:bookmarkEnd w:id="6"/>
      <w:r w:rsidRPr="00AE4C0B">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AE4C0B">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Performance criteria describe the performance needed to demonstrate achievement of the element. Where bold italicised text is used, further information is detailed in the range of conditions.</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1.</w:t>
            </w:r>
          </w:p>
        </w:tc>
        <w:tc>
          <w:tcPr>
            <w:tcW w:w="1974" w:type="dxa"/>
            <w:vMerge w:val="restart"/>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Select appropria</w:t>
            </w:r>
            <w:r w:rsidRPr="00AE4C0B">
              <w:t>te special hazard fire suppression solutions</w:t>
            </w: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1.1.</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 xml:space="preserve">Research is conducted to determine appropriate </w:t>
            </w:r>
            <w:r w:rsidRPr="00AE4C0B">
              <w:rPr>
                <w:rStyle w:val="BoldandItalics"/>
              </w:rPr>
              <w:t xml:space="preserve">fire suppression solutions </w:t>
            </w:r>
            <w:r w:rsidRPr="00AE4C0B">
              <w:t xml:space="preserve">that address building or facility’s </w:t>
            </w:r>
            <w:r w:rsidRPr="00AE4C0B">
              <w:rPr>
                <w:rStyle w:val="BoldandItalics"/>
              </w:rPr>
              <w:t>risk profile</w:t>
            </w:r>
            <w:r w:rsidRPr="00AE4C0B">
              <w:t xml:space="preserve"> and </w:t>
            </w:r>
            <w:r w:rsidRPr="00AE4C0B">
              <w:rPr>
                <w:rStyle w:val="BoldandItalics"/>
              </w:rPr>
              <w:t>special hazard standards</w:t>
            </w:r>
            <w:r w:rsidRPr="00AE4C0B">
              <w:t xml:space="preserve"> that have been identified for use.</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1.2.</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Cost-benefi</w:t>
            </w:r>
            <w:r w:rsidRPr="00AE4C0B">
              <w:t>t and efficiency analyses of the range of fire suppression systems are conducted.</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1.3.</w:t>
            </w:r>
          </w:p>
        </w:tc>
        <w:tc>
          <w:tcPr>
            <w:tcW w:w="5641"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t>Recommendations for selection of preferred solutions are reported to appropriate personnel.</w:t>
            </w:r>
          </w:p>
        </w:tc>
      </w:tr>
    </w:tbl>
    <w:p w:rsidR="00000000" w:rsidRPr="00AE4C0B" w:rsidP="00AE4C0B">
      <w:pPr>
        <w:pStyle w:val="BodyText"/>
      </w:pPr>
    </w:p>
    <w:tbl>
      <w:tblPr>
        <w:tblW w:w="0" w:type="auto"/>
        <w:tblLayout w:type="fixed"/>
        <w:tblCellMar>
          <w:left w:w="62" w:type="dxa"/>
          <w:right w:w="62" w:type="dxa"/>
        </w:tblCellMar>
        <w:tblLook w:val="0000"/>
      </w:tblPr>
      <w:tblGrid>
        <w:gridCol w:w="683"/>
        <w:gridCol w:w="1973"/>
        <w:gridCol w:w="775"/>
        <w:gridCol w:w="5641"/>
      </w:tblGrid>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2.</w:t>
            </w:r>
          </w:p>
        </w:tc>
        <w:tc>
          <w:tcPr>
            <w:tcW w:w="1973" w:type="dxa"/>
            <w:vMerge w:val="restart"/>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Sel</w:t>
            </w:r>
            <w:r w:rsidRPr="00AE4C0B">
              <w:t>ect appropriate special hazard fire detection and occupant warning solutions.</w:t>
            </w: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2.1.</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 xml:space="preserve">Research is conducted to determine appropriate </w:t>
            </w:r>
            <w:r w:rsidRPr="00AE4C0B">
              <w:rPr>
                <w:rStyle w:val="BoldandItalics"/>
              </w:rPr>
              <w:t xml:space="preserve">fire detection and occupant warning solutions </w:t>
            </w:r>
            <w:r w:rsidRPr="00AE4C0B">
              <w:t>that address building or facility’s risk profile, ambient conditions and the sel</w:t>
            </w:r>
            <w:r w:rsidRPr="00AE4C0B">
              <w:t>ected fire suppression solution.</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2.2.</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Cost-benefit and efficiency analyses of the range of fire detection and occupant warning systems are conducted.</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2.3.</w:t>
            </w:r>
          </w:p>
        </w:tc>
        <w:tc>
          <w:tcPr>
            <w:tcW w:w="5641"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t>Recommendations for selection of preferred solutions are made to appropriate personnel.</w:t>
            </w:r>
          </w:p>
        </w:tc>
      </w:tr>
    </w:tbl>
    <w:p w:rsidR="00000000" w:rsidRPr="00AE4C0B" w:rsidP="00AE4C0B">
      <w:pPr>
        <w:pStyle w:val="BodyText"/>
      </w:pPr>
    </w:p>
    <w:tbl>
      <w:tblPr>
        <w:tblW w:w="0" w:type="auto"/>
        <w:tblLayout w:type="fixed"/>
        <w:tblCellMar>
          <w:left w:w="62" w:type="dxa"/>
          <w:right w:w="62" w:type="dxa"/>
        </w:tblCellMar>
        <w:tblLook w:val="0000"/>
      </w:tblPr>
      <w:tblGrid>
        <w:gridCol w:w="683"/>
        <w:gridCol w:w="1973"/>
        <w:gridCol w:w="775"/>
        <w:gridCol w:w="5641"/>
      </w:tblGrid>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3.</w:t>
            </w:r>
          </w:p>
        </w:tc>
        <w:tc>
          <w:tcPr>
            <w:tcW w:w="1973" w:type="dxa"/>
            <w:vMerge w:val="restart"/>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Set up special hazard fire systems design drawing.</w:t>
            </w: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3.1.</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 xml:space="preserve">Relevant project drawings and documentation are requested, received, </w:t>
            </w:r>
            <w:r w:rsidRPr="00AE4C0B">
              <w:rPr>
                <w:rStyle w:val="BoldandItalics"/>
              </w:rPr>
              <w:t xml:space="preserve">named and filed </w:t>
            </w:r>
            <w:r w:rsidRPr="00AE4C0B">
              <w:t xml:space="preserve">according to workplace procedures. </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3.2.</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Drawings are cleaned to leave minimal essential information.</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3.3.</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Layers showing designs of other services are imported into clean architectural or structural drawings.</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3.4.</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 xml:space="preserve">Details from drawings of floor or building adjacent to the areas under design consideration are added if these affect </w:t>
            </w:r>
            <w:r w:rsidRPr="00AE4C0B">
              <w:t xml:space="preserve">the design. </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3.5.</w:t>
            </w:r>
          </w:p>
        </w:tc>
        <w:tc>
          <w:tcPr>
            <w:tcW w:w="5641"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t>Detail</w:t>
            </w:r>
            <w:r w:rsidRPr="00AE4C0B">
              <w:t>ed design drawing is named, filed and backed up according to workplace procedures.</w:t>
            </w:r>
          </w:p>
        </w:tc>
      </w:tr>
    </w:tbl>
    <w:p w:rsidR="00000000" w:rsidRPr="00AE4C0B" w:rsidP="00AE4C0B">
      <w:pPr>
        <w:pStyle w:val="BodyText"/>
      </w:pPr>
    </w:p>
    <w:tbl>
      <w:tblPr>
        <w:tblW w:w="0" w:type="auto"/>
        <w:tblLayout w:type="fixed"/>
        <w:tblCellMar>
          <w:left w:w="62" w:type="dxa"/>
          <w:right w:w="62" w:type="dxa"/>
        </w:tblCellMar>
        <w:tblLook w:val="0000"/>
      </w:tblPr>
      <w:tblGrid>
        <w:gridCol w:w="683"/>
        <w:gridCol w:w="1973"/>
        <w:gridCol w:w="775"/>
        <w:gridCol w:w="5641"/>
      </w:tblGrid>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4.</w:t>
            </w:r>
          </w:p>
        </w:tc>
        <w:tc>
          <w:tcPr>
            <w:tcW w:w="1973" w:type="dxa"/>
            <w:vMerge w:val="restart"/>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Lay out the special hazard fire systems design.</w:t>
            </w: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4.1.</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Site visit is conducted where possible to confirm dimensions and assess installation risks and constraints.</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t>4.2.</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Interactions</w:t>
            </w:r>
            <w:r w:rsidRPr="00AE4C0B">
              <w:t xml:space="preserve"> between various systems are identified and planned.</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4.3.</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Exact locations of sprinklers and other fittings are determined and notated on the drawing according to relevant codes and standards.</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4.4.</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 xml:space="preserve">Most </w:t>
            </w:r>
            <w:r w:rsidRPr="00AE4C0B">
              <w:rPr>
                <w:rStyle w:val="BoldandItalics"/>
              </w:rPr>
              <w:t>efficient and workable layout and l</w:t>
            </w:r>
            <w:r w:rsidRPr="00AE4C0B">
              <w:rPr>
                <w:rStyle w:val="BoldandItalics"/>
              </w:rPr>
              <w:t>ocation</w:t>
            </w:r>
            <w:r w:rsidRPr="00AE4C0B">
              <w:t xml:space="preserve"> of </w:t>
            </w:r>
            <w:r w:rsidRPr="00AE4C0B">
              <w:rPr>
                <w:rStyle w:val="BoldandItalics"/>
              </w:rPr>
              <w:t>system components</w:t>
            </w:r>
            <w:r w:rsidRPr="00AE4C0B">
              <w:t xml:space="preserve"> are determined and notated on the drawing.</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4.5.</w:t>
            </w:r>
          </w:p>
        </w:tc>
        <w:tc>
          <w:tcPr>
            <w:tcW w:w="5641"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t>Dimensions are calculated, checked and notated on the drawing.</w:t>
            </w:r>
          </w:p>
        </w:tc>
      </w:tr>
    </w:tbl>
    <w:p w:rsidR="00000000" w:rsidRPr="00AE4C0B" w:rsidP="00AE4C0B">
      <w:pPr>
        <w:pStyle w:val="BodyText"/>
      </w:pPr>
    </w:p>
    <w:tbl>
      <w:tblPr>
        <w:tblW w:w="0" w:type="auto"/>
        <w:tblLayout w:type="fixed"/>
        <w:tblCellMar>
          <w:left w:w="62" w:type="dxa"/>
          <w:right w:w="62" w:type="dxa"/>
        </w:tblCellMar>
        <w:tblLook w:val="0000"/>
      </w:tblPr>
      <w:tblGrid>
        <w:gridCol w:w="683"/>
        <w:gridCol w:w="1973"/>
        <w:gridCol w:w="775"/>
        <w:gridCol w:w="5641"/>
      </w:tblGrid>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5.</w:t>
            </w:r>
          </w:p>
        </w:tc>
        <w:tc>
          <w:tcPr>
            <w:tcW w:w="1973" w:type="dxa"/>
            <w:vMerge w:val="restart"/>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Calculate the requirements for the special hazard fire system solutions.</w:t>
            </w:r>
          </w:p>
        </w:tc>
        <w:tc>
          <w:tcPr>
            <w:tcW w:w="775"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t>5.1.</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Calculations</w:t>
            </w:r>
            <w:r w:rsidRPr="00AE4C0B">
              <w:t xml:space="preserve"> to identify and confirm required capacity of the special hazard fire systems are undertaken.</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t>5.2.</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Infrastructure</w:t>
            </w:r>
            <w:r w:rsidRPr="00AE4C0B">
              <w:t xml:space="preserve"> to support special hazard fire system solution is identified and quantified.</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5.3.</w:t>
            </w:r>
          </w:p>
        </w:tc>
        <w:tc>
          <w:tcPr>
            <w:tcW w:w="5641"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t>Shortfalls in water pressure are determined and sizes of pumps and tanks required for water spray systems are calculated.</w:t>
            </w:r>
          </w:p>
        </w:tc>
      </w:tr>
    </w:tbl>
    <w:p w:rsidR="00000000" w:rsidRPr="00AE4C0B" w:rsidP="00AE4C0B">
      <w:pPr>
        <w:pStyle w:val="BodyText"/>
      </w:pPr>
    </w:p>
    <w:tbl>
      <w:tblPr>
        <w:tblW w:w="0" w:type="auto"/>
        <w:tblLayout w:type="fixed"/>
        <w:tblCellMar>
          <w:left w:w="62" w:type="dxa"/>
          <w:right w:w="62" w:type="dxa"/>
        </w:tblCellMar>
        <w:tblLook w:val="0000"/>
      </w:tblPr>
      <w:tblGrid>
        <w:gridCol w:w="683"/>
        <w:gridCol w:w="1973"/>
        <w:gridCol w:w="775"/>
        <w:gridCol w:w="5641"/>
      </w:tblGrid>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6.</w:t>
            </w:r>
          </w:p>
        </w:tc>
        <w:tc>
          <w:tcPr>
            <w:tcW w:w="1973" w:type="dxa"/>
            <w:vMerge w:val="restart"/>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Evaluate and implement special hazard fire system solutions.</w:t>
            </w: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6.1.</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 xml:space="preserve">Components of special hazard fire system solution are gathered </w:t>
            </w:r>
            <w:r w:rsidRPr="00AE4C0B">
              <w:t>from relevant expert personnel as required.</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6.2.</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Special hazard system design drawings are evaluated for efficiency and effectiveness.</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6.3.</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 xml:space="preserve">Design drawings are submitted to relevant personnel within scheduled timeframe. </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6.4.</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 xml:space="preserve">Required amendments to design drawings are made or </w:t>
            </w:r>
            <w:r w:rsidRPr="00AE4C0B">
              <w:rPr>
                <w:rStyle w:val="BoldandItalics"/>
              </w:rPr>
              <w:t>negotiated</w:t>
            </w:r>
            <w:r w:rsidRPr="00AE4C0B">
              <w:t xml:space="preserve"> as required. </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6.5.</w:t>
            </w:r>
          </w:p>
        </w:tc>
        <w:tc>
          <w:tcPr>
            <w:tcW w:w="564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Final approved design drawings are processed and distributed according to project and workplace requirements.</w:t>
            </w:r>
          </w:p>
        </w:tc>
      </w:tr>
      <w:tr w:rsidTr="00AE4C0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t>6.6.</w:t>
            </w:r>
          </w:p>
        </w:tc>
        <w:tc>
          <w:tcPr>
            <w:tcW w:w="5641"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rPr>
                <w:rStyle w:val="BoldandItalics"/>
              </w:rPr>
              <w:t xml:space="preserve">Fittings and components </w:t>
            </w:r>
            <w:r w:rsidRPr="00AE4C0B">
              <w:t xml:space="preserve">are selected and ordered. </w:t>
            </w:r>
          </w:p>
        </w:tc>
      </w:tr>
    </w:tbl>
    <w:p w:rsidR="00000000" w:rsidRPr="00AE4C0B" w:rsidP="00AE4C0B">
      <w:pPr>
        <w:pStyle w:val="BodyText"/>
      </w:pPr>
    </w:p>
    <w:p w:rsidR="00000000" w:rsidRPr="00AE4C0B" w:rsidP="00AE4C0B">
      <w:pPr>
        <w:pStyle w:val="AllowPageBreak"/>
      </w:pPr>
    </w:p>
    <w:p w:rsidR="00000000" w:rsidRPr="00AE4C0B" w:rsidP="00AE4C0B">
      <w:pPr>
        <w:pStyle w:val="Heading1"/>
      </w:pPr>
      <w:bookmarkStart w:id="7" w:name="O_666967"/>
      <w:bookmarkEnd w:id="7"/>
      <w:r w:rsidRPr="00AE4C0B">
        <w:t>Foundation Skills</w:t>
      </w:r>
    </w:p>
    <w:tbl>
      <w:tblPr>
        <w:tblW w:w="0" w:type="auto"/>
        <w:tblLayout w:type="fixed"/>
        <w:tblCellMar>
          <w:left w:w="62" w:type="dxa"/>
          <w:right w:w="62" w:type="dxa"/>
        </w:tblCellMar>
        <w:tblLook w:val="0000"/>
      </w:tblPr>
      <w:tblGrid>
        <w:gridCol w:w="2267"/>
        <w:gridCol w:w="6911"/>
      </w:tblGrid>
      <w:tr w:rsidTr="00AE4C0B">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This section describes core skills that are essential to performance and not explicit in the performance criteria. Employment skills essential to performance are explicit in the performance criteria of this unit of compete</w:t>
            </w:r>
            <w:r w:rsidRPr="00AE4C0B">
              <w:t>ncy.</w:t>
            </w:r>
          </w:p>
        </w:tc>
      </w:tr>
      <w:tr w:rsidTr="00AE4C0B">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AE4C0B" w:rsidP="00AE4C0B">
            <w:pPr>
              <w:pStyle w:val="BodyText"/>
            </w:pPr>
            <w:r w:rsidRPr="00AE4C0B">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SpecialBold"/>
              </w:rPr>
              <w:t>Performance feature</w:t>
            </w:r>
          </w:p>
        </w:tc>
      </w:tr>
      <w:tr w:rsidTr="00AE4C0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Learning skills to:</w:t>
            </w:r>
          </w:p>
        </w:tc>
        <w:tc>
          <w:tcPr>
            <w:tcW w:w="6911"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 xml:space="preserve">attempt complex tasks requiring sophisticated conceptualisation and analysis over an extended period and employ lateral thinking and problem solving strategies </w:t>
            </w:r>
          </w:p>
          <w:p w:rsidR="00000000" w:rsidRPr="00AE4C0B" w:rsidP="00AE4C0B">
            <w:pPr>
              <w:pStyle w:val="ListBullet"/>
            </w:pPr>
            <w:r w:rsidRPr="00AE4C0B">
              <w:t xml:space="preserve">select and use a range of ICT tools for fire systems design, file and project management and research </w:t>
            </w:r>
          </w:p>
          <w:p w:rsidR="00000000" w:rsidRPr="00AE4C0B" w:rsidP="00AE4C0B">
            <w:pPr>
              <w:pStyle w:val="ListBullet"/>
            </w:pPr>
            <w:r w:rsidRPr="00AE4C0B">
              <w:t>organise own work, including creating personal systems and checklists for planning, managing and checking work</w:t>
            </w:r>
          </w:p>
          <w:p w:rsidR="00000000" w:rsidRPr="00AE4C0B" w:rsidP="00AE4C0B">
            <w:pPr>
              <w:pStyle w:val="ListBullet"/>
            </w:pPr>
            <w:r w:rsidRPr="00AE4C0B">
              <w:t>manage detailed input to concurrent fire s</w:t>
            </w:r>
            <w:r w:rsidRPr="00AE4C0B">
              <w:t>ystems design projects at different stages of the process and with diverse sets of regulatory requirements.</w:t>
            </w:r>
          </w:p>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Numeracy skills to:</w:t>
            </w:r>
          </w:p>
        </w:tc>
        <w:tc>
          <w:tcPr>
            <w:tcW w:w="6911"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 xml:space="preserve">interpret and apply mathematical principles, equations and calculation methods to </w:t>
            </w:r>
            <w:r w:rsidRPr="00AE4C0B">
              <w:t>special hazard fire systems design, including performing calculations for electrical systems</w:t>
            </w:r>
          </w:p>
          <w:p w:rsidR="00000000" w:rsidRPr="00AE4C0B" w:rsidP="00AE4C0B">
            <w:pPr>
              <w:pStyle w:val="ListBullet"/>
            </w:pPr>
            <w:r w:rsidRPr="00AE4C0B">
              <w:t>read, measure and interpret dimensions, ratios and scales on drawings.</w:t>
            </w:r>
          </w:p>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listen to and communicate clearly with colleagues, fitters, suppliers and contractors</w:t>
            </w:r>
          </w:p>
          <w:p w:rsidR="00000000" w:rsidRPr="00AE4C0B" w:rsidP="00AE4C0B">
            <w:pPr>
              <w:pStyle w:val="ListBullet"/>
            </w:pPr>
            <w:r w:rsidRPr="00AE4C0B">
              <w:t>lead and participate in project meetings and consultations with a range of service contractors.</w:t>
            </w:r>
          </w:p>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Reading skills to:</w:t>
            </w:r>
          </w:p>
        </w:tc>
        <w:tc>
          <w:tcPr>
            <w:tcW w:w="6911"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access, interpret and apply current relevant legisla</w:t>
            </w:r>
            <w:r w:rsidRPr="00AE4C0B">
              <w:t>tion, codes and standards to the design and evaluation of complex special hazard fire systems</w:t>
            </w:r>
          </w:p>
          <w:p w:rsidR="00000000" w:rsidRPr="00AE4C0B" w:rsidP="00AE4C0B">
            <w:pPr>
              <w:pStyle w:val="ListBullet"/>
            </w:pPr>
            <w:r w:rsidRPr="00AE4C0B">
              <w:t>recognise conflicts and errors on drawings supplied by other service contractors.</w:t>
            </w:r>
          </w:p>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Writing skills to:</w:t>
            </w:r>
          </w:p>
        </w:tc>
        <w:tc>
          <w:tcPr>
            <w:tcW w:w="6911"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write to construction and fire safety specialists using te</w:t>
            </w:r>
            <w:r w:rsidRPr="00AE4C0B">
              <w:t>chnical vocabulary about such things as notifications of incompleteness, and conflicts and errors in drawings supplied by other service contractors.</w:t>
            </w:r>
          </w:p>
        </w:tc>
      </w:tr>
    </w:tbl>
    <w:p w:rsidR="00000000" w:rsidRPr="00AE4C0B" w:rsidP="00AE4C0B">
      <w:pPr>
        <w:pStyle w:val="BodyText"/>
      </w:pPr>
    </w:p>
    <w:p w:rsidR="00000000" w:rsidRPr="00AE4C0B" w:rsidP="00AE4C0B">
      <w:pPr>
        <w:pStyle w:val="AllowPageBreak"/>
      </w:pPr>
    </w:p>
    <w:p w:rsidR="00000000" w:rsidRPr="00AE4C0B" w:rsidP="00AE4C0B">
      <w:pPr>
        <w:pStyle w:val="Heading1"/>
      </w:pPr>
      <w:bookmarkStart w:id="8" w:name="O_666966"/>
      <w:bookmarkEnd w:id="8"/>
      <w:r w:rsidRPr="00AE4C0B">
        <w:t>Range of Conditions</w:t>
      </w:r>
    </w:p>
    <w:tbl>
      <w:tblPr>
        <w:tblW w:w="0" w:type="auto"/>
        <w:tblLayout w:type="fixed"/>
        <w:tblCellMar>
          <w:left w:w="62" w:type="dxa"/>
          <w:right w:w="62" w:type="dxa"/>
        </w:tblCellMar>
        <w:tblLook w:val="0000"/>
      </w:tblPr>
      <w:tblGrid>
        <w:gridCol w:w="2268"/>
        <w:gridCol w:w="6910"/>
      </w:tblGrid>
      <w:tr w:rsidTr="00AE4C0B">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t>This section specifies work environments and conditions that may affect performance. Essential operating conditions that may be present (depending on the work situation, needs of the candidate, accessibility of the item, and local industry and regional con</w:t>
            </w:r>
            <w:r w:rsidRPr="00AE4C0B">
              <w:t>texts) are included. Bold italicised wording, if used in the performance criteria, is detailed below.</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Fire suppression solutions</w:t>
            </w:r>
            <w:r w:rsidRPr="00AE4C0B">
              <w:t xml:space="preserve"> must include two of the following:</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chemical systems</w:t>
            </w:r>
          </w:p>
          <w:p w:rsidR="00000000" w:rsidRPr="00AE4C0B" w:rsidP="00AE4C0B">
            <w:pPr>
              <w:pStyle w:val="ListBullet"/>
            </w:pPr>
            <w:r w:rsidRPr="00AE4C0B">
              <w:t xml:space="preserve">detection and warning systems </w:t>
            </w:r>
          </w:p>
          <w:p w:rsidR="00000000" w:rsidRPr="00AE4C0B" w:rsidP="00AE4C0B">
            <w:pPr>
              <w:pStyle w:val="ListBullet"/>
            </w:pPr>
            <w:r w:rsidRPr="00AE4C0B">
              <w:t xml:space="preserve">special hazard foam systems </w:t>
            </w:r>
          </w:p>
          <w:p w:rsidR="00000000" w:rsidRPr="00AE4C0B" w:rsidP="00AE4C0B">
            <w:pPr>
              <w:pStyle w:val="ListBullet"/>
            </w:pPr>
            <w:r w:rsidRPr="00AE4C0B">
              <w:t>special haza</w:t>
            </w:r>
            <w:r w:rsidRPr="00AE4C0B">
              <w:t>rd gaseous agent systems</w:t>
            </w:r>
          </w:p>
          <w:p w:rsidR="00000000" w:rsidP="00AE4C0B">
            <w:pPr>
              <w:pStyle w:val="ListBullet"/>
              <w:rPr>
                <w:lang w:val="en-NZ"/>
              </w:rPr>
            </w:pPr>
            <w:r w:rsidRPr="00AE4C0B">
              <w:t>water-based deluge or pre-action sprinkler systems.</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Risk profile</w:t>
            </w:r>
            <w:r w:rsidRPr="00AE4C0B">
              <w:t xml:space="preserve"> of the building or facility will reflect its use and must include details of:</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users of and visitors to the site and the need to protect them</w:t>
            </w:r>
          </w:p>
          <w:p w:rsidR="00000000" w:rsidRPr="00AE4C0B" w:rsidP="00AE4C0B">
            <w:pPr>
              <w:pStyle w:val="ListBullet"/>
            </w:pPr>
            <w:r w:rsidRPr="00AE4C0B">
              <w:t>value of the equipment, facility or goods stored</w:t>
            </w:r>
          </w:p>
          <w:p w:rsidR="00000000" w:rsidP="00AE4C0B">
            <w:pPr>
              <w:pStyle w:val="ListBullet"/>
              <w:rPr>
                <w:lang w:val="en-NZ"/>
              </w:rPr>
            </w:pPr>
            <w:r w:rsidRPr="00AE4C0B">
              <w:t>susceptibility of the stored goods to water or other forms of damage resulting from the use of different types of system.</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Special hazard standards</w:t>
            </w:r>
            <w:r w:rsidRPr="00AE4C0B">
              <w:t xml:space="preserve"> must include at least one standard from the following li</w:t>
            </w:r>
            <w:r w:rsidRPr="00AE4C0B">
              <w:t>st:</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relevant Australian standards, including:</w:t>
            </w:r>
          </w:p>
          <w:p w:rsidR="00000000" w:rsidRPr="00AE4C0B" w:rsidP="00AE4C0B">
            <w:pPr>
              <w:pStyle w:val="ListBullet2"/>
            </w:pPr>
            <w:r w:rsidRPr="00AE4C0B">
              <w:t>AS ISO 14520.1 Gaseous fire-extinguishing systems - Physical properties and system design - General requirements</w:t>
            </w:r>
          </w:p>
          <w:p w:rsidR="00000000" w:rsidRPr="00AE4C0B" w:rsidP="00AE4C0B">
            <w:pPr>
              <w:pStyle w:val="ListBullet2"/>
            </w:pPr>
            <w:r w:rsidRPr="00AE4C0B">
              <w:t xml:space="preserve">AS4487 Condensed aerosol fire extinguishing systems </w:t>
            </w:r>
            <w:r w:rsidRPr="00AE4C0B">
              <w:rPr>
                <w:rStyle w:val="SpecialBold"/>
              </w:rPr>
              <w:t>-</w:t>
            </w:r>
            <w:r w:rsidRPr="00AE4C0B">
              <w:t xml:space="preserve"> Requirements for system design, installation and commissioning and test methods for components</w:t>
            </w:r>
          </w:p>
          <w:p w:rsidR="00000000" w:rsidRPr="00AE4C0B" w:rsidP="00AE4C0B">
            <w:pPr>
              <w:pStyle w:val="ListBullet"/>
            </w:pPr>
            <w:r w:rsidRPr="00AE4C0B">
              <w:t>United States National Fire Protection Association (NFPA) standards, including:</w:t>
            </w:r>
          </w:p>
          <w:p w:rsidR="00000000" w:rsidRPr="00AE4C0B" w:rsidP="00AE4C0B">
            <w:pPr>
              <w:pStyle w:val="ListBullet2"/>
            </w:pPr>
            <w:r w:rsidRPr="00AE4C0B">
              <w:t>NFPA 2001 Clean Agent Fire Extinguishing Systems</w:t>
            </w:r>
          </w:p>
          <w:p w:rsidR="00000000" w:rsidRPr="00AE4C0B" w:rsidP="00AE4C0B">
            <w:pPr>
              <w:pStyle w:val="ListBullet2"/>
            </w:pPr>
            <w:r w:rsidRPr="00AE4C0B">
              <w:t xml:space="preserve">NFPA 11 Low, Medium and High </w:t>
            </w:r>
            <w:r w:rsidRPr="00AE4C0B">
              <w:t>Expansion Foam Systems</w:t>
            </w:r>
          </w:p>
          <w:p w:rsidR="00000000" w:rsidRPr="00AE4C0B" w:rsidP="00AE4C0B">
            <w:pPr>
              <w:pStyle w:val="ListBullet2"/>
            </w:pPr>
            <w:r w:rsidRPr="00AE4C0B">
              <w:t>NFPA 11A Medium and High Expansion Foam Systems</w:t>
            </w:r>
          </w:p>
          <w:p w:rsidR="00000000" w:rsidRPr="00AE4C0B" w:rsidP="00AE4C0B">
            <w:pPr>
              <w:pStyle w:val="ListBullet2"/>
            </w:pPr>
            <w:r w:rsidRPr="00AE4C0B">
              <w:t>NFPA 13 The Installation of Sprinkler Systems</w:t>
            </w:r>
          </w:p>
          <w:p w:rsidR="00000000" w:rsidP="00AE4C0B">
            <w:pPr>
              <w:pStyle w:val="ListBullet2"/>
              <w:rPr>
                <w:lang w:val="en-NZ"/>
              </w:rPr>
            </w:pPr>
            <w:r w:rsidRPr="00AE4C0B">
              <w:t>NFPA 16 Deluge Foam-Water Sprinkler and Foam-Water Spray Systems.</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Fire detection and occupant warning solutions</w:t>
            </w:r>
            <w:r w:rsidRPr="00AE4C0B">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fire alarms</w:t>
            </w:r>
          </w:p>
          <w:p w:rsidR="00000000" w:rsidRPr="00AE4C0B" w:rsidP="00AE4C0B">
            <w:pPr>
              <w:pStyle w:val="ListBullet"/>
            </w:pPr>
            <w:r w:rsidRPr="00AE4C0B">
              <w:t>fire gas detectors</w:t>
            </w:r>
          </w:p>
          <w:p w:rsidR="00000000" w:rsidRPr="00AE4C0B" w:rsidP="00AE4C0B">
            <w:pPr>
              <w:pStyle w:val="ListBullet"/>
            </w:pPr>
            <w:r w:rsidRPr="00AE4C0B">
              <w:t>flame detectors</w:t>
            </w:r>
          </w:p>
          <w:p w:rsidR="00000000" w:rsidRPr="00AE4C0B" w:rsidP="00AE4C0B">
            <w:pPr>
              <w:pStyle w:val="ListBullet"/>
            </w:pPr>
            <w:r w:rsidRPr="00AE4C0B">
              <w:t>heat-sensing detectors</w:t>
            </w:r>
          </w:p>
          <w:p w:rsidR="00000000" w:rsidP="00AE4C0B">
            <w:pPr>
              <w:pStyle w:val="ListBullet"/>
              <w:rPr>
                <w:lang w:val="en-NZ"/>
              </w:rPr>
            </w:pPr>
            <w:r w:rsidRPr="00AE4C0B">
              <w:t>smoke-sensing detectors.</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File naming</w:t>
            </w:r>
            <w:r w:rsidRPr="00AE4C0B">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 xml:space="preserve">accurate naming and filing of drawings, including formal document control and amendments: </w:t>
            </w:r>
          </w:p>
          <w:p w:rsidR="00000000" w:rsidRPr="00AE4C0B" w:rsidP="00AE4C0B">
            <w:pPr>
              <w:pStyle w:val="ListBullet2"/>
            </w:pPr>
            <w:r w:rsidRPr="00AE4C0B">
              <w:t>history</w:t>
            </w:r>
          </w:p>
          <w:p w:rsidR="00000000" w:rsidRPr="00AE4C0B" w:rsidP="00AE4C0B">
            <w:pPr>
              <w:pStyle w:val="ListBullet2"/>
            </w:pPr>
            <w:r w:rsidRPr="00AE4C0B">
              <w:t>transmittal notices</w:t>
            </w:r>
          </w:p>
          <w:p w:rsidR="00000000" w:rsidP="00AE4C0B">
            <w:pPr>
              <w:pStyle w:val="ListBullet"/>
              <w:rPr>
                <w:lang w:val="en-NZ"/>
              </w:rPr>
            </w:pPr>
            <w:r w:rsidRPr="00AE4C0B">
              <w:t>naming conventions for design drawings and drawing registers.</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ListBulle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Interactions</w:t>
            </w:r>
            <w:r w:rsidRPr="00AE4C0B">
              <w:t xml:space="preserve"> between multiple systems on a complex site must be analysed to: </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ensure most effective selection of systems to protect different assets</w:t>
            </w:r>
          </w:p>
          <w:p w:rsidR="00000000" w:rsidRPr="00AE4C0B" w:rsidP="00AE4C0B">
            <w:pPr>
              <w:pStyle w:val="ListBullet"/>
            </w:pPr>
            <w:r w:rsidRPr="00AE4C0B">
              <w:t>maximise effectiveness of systems</w:t>
            </w:r>
          </w:p>
          <w:p w:rsidR="00000000" w:rsidP="00AE4C0B">
            <w:pPr>
              <w:pStyle w:val="ListBullet"/>
              <w:rPr>
                <w:lang w:val="en-NZ"/>
              </w:rPr>
            </w:pPr>
            <w:r w:rsidRPr="00AE4C0B">
              <w:t>maximise efficiency of installation process.</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Efficient and workable layout and location</w:t>
            </w:r>
            <w:r w:rsidRPr="00AE4C0B">
              <w:t xml:space="preserve"> must consider:</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access constraints</w:t>
            </w:r>
          </w:p>
          <w:p w:rsidR="00000000" w:rsidRPr="00AE4C0B" w:rsidP="00AE4C0B">
            <w:pPr>
              <w:pStyle w:val="ListBullet"/>
            </w:pPr>
            <w:r w:rsidRPr="00AE4C0B">
              <w:t>aesthetic requirements</w:t>
            </w:r>
          </w:p>
          <w:p w:rsidR="00000000" w:rsidRPr="00AE4C0B" w:rsidP="00AE4C0B">
            <w:pPr>
              <w:pStyle w:val="ListBullet"/>
            </w:pPr>
            <w:r w:rsidRPr="00AE4C0B">
              <w:t>conflict with other services</w:t>
            </w:r>
          </w:p>
          <w:p w:rsidR="00000000" w:rsidRPr="00AE4C0B" w:rsidP="00AE4C0B">
            <w:pPr>
              <w:pStyle w:val="ListBullet"/>
            </w:pPr>
            <w:r w:rsidRPr="00AE4C0B">
              <w:t>efficiencies to facilitate work on site</w:t>
            </w:r>
          </w:p>
          <w:p w:rsidR="00000000" w:rsidRPr="00AE4C0B" w:rsidP="00AE4C0B">
            <w:pPr>
              <w:pStyle w:val="ListBullet"/>
            </w:pPr>
            <w:r w:rsidRPr="00AE4C0B">
              <w:t xml:space="preserve">installation problems </w:t>
            </w:r>
          </w:p>
          <w:p w:rsidR="00000000" w:rsidRPr="00AE4C0B" w:rsidP="00AE4C0B">
            <w:pPr>
              <w:pStyle w:val="ListBullet"/>
            </w:pPr>
            <w:r w:rsidRPr="00AE4C0B">
              <w:t xml:space="preserve">penetrations </w:t>
            </w:r>
          </w:p>
          <w:p w:rsidR="00000000" w:rsidRPr="00AE4C0B" w:rsidP="00AE4C0B">
            <w:pPr>
              <w:pStyle w:val="ListBullet"/>
            </w:pPr>
            <w:r w:rsidRPr="00AE4C0B">
              <w:t>reduction of labour costing</w:t>
            </w:r>
          </w:p>
          <w:p w:rsidR="00000000" w:rsidP="00AE4C0B">
            <w:pPr>
              <w:pStyle w:val="ListBullet"/>
              <w:rPr>
                <w:lang w:val="en-NZ"/>
              </w:rPr>
            </w:pPr>
            <w:r w:rsidRPr="00AE4C0B">
              <w:t>work health and safety risks.</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System components</w:t>
            </w:r>
            <w:r w:rsidRPr="00AE4C0B">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brackets</w:t>
            </w:r>
          </w:p>
          <w:p w:rsidR="00000000" w:rsidRPr="00AE4C0B" w:rsidP="00AE4C0B">
            <w:pPr>
              <w:pStyle w:val="ListBullet"/>
            </w:pPr>
            <w:r w:rsidRPr="00AE4C0B">
              <w:t>discharge nozzles</w:t>
            </w:r>
          </w:p>
          <w:p w:rsidR="00000000" w:rsidRPr="00AE4C0B" w:rsidP="00AE4C0B">
            <w:pPr>
              <w:pStyle w:val="ListBullet"/>
            </w:pPr>
            <w:r w:rsidRPr="00AE4C0B">
              <w:t>fire panels</w:t>
            </w:r>
          </w:p>
          <w:p w:rsidR="00000000" w:rsidRPr="00AE4C0B" w:rsidP="00AE4C0B">
            <w:pPr>
              <w:pStyle w:val="ListBullet"/>
            </w:pPr>
            <w:r w:rsidRPr="00AE4C0B">
              <w:t>pipework</w:t>
            </w:r>
          </w:p>
          <w:p w:rsidR="00000000" w:rsidRPr="00AE4C0B" w:rsidP="00AE4C0B">
            <w:pPr>
              <w:pStyle w:val="ListBullet"/>
            </w:pPr>
            <w:r w:rsidRPr="00AE4C0B">
              <w:t>system valves</w:t>
            </w:r>
          </w:p>
          <w:p w:rsidR="00000000" w:rsidP="00AE4C0B">
            <w:pPr>
              <w:pStyle w:val="ListBullet"/>
              <w:rPr>
                <w:lang w:val="en-NZ"/>
              </w:rPr>
            </w:pPr>
            <w:r w:rsidRPr="00AE4C0B">
              <w:t>zone valves.</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Calculation</w:t>
            </w:r>
            <w:r w:rsidRPr="00AE4C0B">
              <w:t>s that relate to the special hazard fire systems must include:</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foam system calculations.</w:t>
            </w:r>
          </w:p>
          <w:p w:rsidR="00000000" w:rsidRPr="00AE4C0B" w:rsidP="00AE4C0B">
            <w:pPr>
              <w:pStyle w:val="ListBullet"/>
            </w:pPr>
            <w:r w:rsidRPr="00AE4C0B">
              <w:t>gaseous system calculations</w:t>
            </w:r>
          </w:p>
          <w:p w:rsidR="00000000" w:rsidRPr="00AE4C0B" w:rsidP="00AE4C0B">
            <w:pPr>
              <w:pStyle w:val="ListBullet"/>
            </w:pPr>
            <w:r w:rsidRPr="00AE4C0B">
              <w:t>hydraulic calculations to assess pressure requirements and confirm pipe sizes</w:t>
            </w:r>
          </w:p>
          <w:p w:rsidR="00000000" w:rsidP="00AE4C0B">
            <w:pPr>
              <w:pStyle w:val="ListBullet"/>
              <w:rPr>
                <w:lang w:val="en-NZ"/>
              </w:rPr>
            </w:pPr>
            <w:r w:rsidRPr="00AE4C0B">
              <w:t>water-spray system calculations.</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Infrastructure</w:t>
            </w:r>
            <w:r w:rsidRPr="00AE4C0B">
              <w:t xml:space="preserve"> for special hazard fire system solutions must include:</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deliver</w:t>
            </w:r>
            <w:r w:rsidRPr="00AE4C0B">
              <w:t xml:space="preserve">y systems for the suppression agent </w:t>
            </w:r>
          </w:p>
          <w:p w:rsidR="00000000" w:rsidRPr="00AE4C0B" w:rsidP="00AE4C0B">
            <w:pPr>
              <w:pStyle w:val="ListBullet"/>
            </w:pPr>
            <w:r w:rsidRPr="00AE4C0B">
              <w:t>pipework</w:t>
            </w:r>
          </w:p>
          <w:p w:rsidR="00000000" w:rsidRPr="00AE4C0B" w:rsidP="00AE4C0B">
            <w:pPr>
              <w:pStyle w:val="ListBullet"/>
            </w:pPr>
            <w:r w:rsidRPr="00AE4C0B">
              <w:t>storage containers</w:t>
            </w:r>
          </w:p>
          <w:p w:rsidR="00000000" w:rsidP="00AE4C0B">
            <w:pPr>
              <w:pStyle w:val="ListBullet"/>
              <w:rPr>
                <w:lang w:val="en-NZ"/>
              </w:rPr>
            </w:pPr>
            <w:r w:rsidRPr="00AE4C0B">
              <w:t>tanks.</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Negotiated</w:t>
            </w:r>
            <w:r w:rsidRPr="00AE4C0B">
              <w:t xml:space="preserve"> change must include one made due to: </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impact on cost-effectiveness</w:t>
            </w:r>
          </w:p>
          <w:p w:rsidR="00000000" w:rsidRPr="00AE4C0B" w:rsidP="00AE4C0B">
            <w:pPr>
              <w:pStyle w:val="ListBullet"/>
            </w:pPr>
            <w:r w:rsidRPr="00AE4C0B">
              <w:t>impact on installation risks and constraints</w:t>
            </w:r>
          </w:p>
          <w:p w:rsidR="00000000" w:rsidP="00AE4C0B">
            <w:pPr>
              <w:pStyle w:val="ListBullet"/>
              <w:rPr>
                <w:lang w:val="en-NZ"/>
              </w:rPr>
            </w:pPr>
            <w:r w:rsidRPr="00AE4C0B">
              <w:t>non-compliance with applicable legislation, codes and standards.</w:t>
            </w: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910"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p>
        </w:tc>
      </w:tr>
      <w:tr w:rsidTr="00AE4C0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4C0B">
            <w:pPr>
              <w:pStyle w:val="BodyText"/>
              <w:rPr>
                <w:lang w:val="en-NZ"/>
              </w:rPr>
            </w:pPr>
            <w:r w:rsidRPr="00AE4C0B">
              <w:rPr>
                <w:rStyle w:val="BoldandItalics"/>
              </w:rPr>
              <w:t>Fittings and components</w:t>
            </w:r>
            <w:r w:rsidRPr="00AE4C0B">
              <w:t xml:space="preserve"> must include:</w:t>
            </w:r>
          </w:p>
        </w:tc>
        <w:tc>
          <w:tcPr>
            <w:tcW w:w="6910" w:type="dxa"/>
            <w:tcBorders>
              <w:top w:val="nil"/>
              <w:left w:val="nil"/>
              <w:bottom w:val="nil"/>
              <w:right w:val="nil"/>
            </w:tcBorders>
            <w:tcMar>
              <w:top w:w="0" w:type="dxa"/>
              <w:left w:w="62" w:type="dxa"/>
              <w:bottom w:w="0" w:type="dxa"/>
              <w:right w:w="62" w:type="dxa"/>
            </w:tcMar>
          </w:tcPr>
          <w:p w:rsidR="00000000" w:rsidRPr="00AE4C0B" w:rsidP="00AE4C0B">
            <w:pPr>
              <w:pStyle w:val="ListBullet"/>
            </w:pPr>
            <w:r w:rsidRPr="00AE4C0B">
              <w:t>control valves</w:t>
            </w:r>
          </w:p>
          <w:p w:rsidR="00000000" w:rsidRPr="00AE4C0B" w:rsidP="00AE4C0B">
            <w:pPr>
              <w:pStyle w:val="ListBullet"/>
            </w:pPr>
            <w:r w:rsidRPr="00AE4C0B">
              <w:t>elbows</w:t>
            </w:r>
          </w:p>
          <w:p w:rsidR="00000000" w:rsidRPr="00AE4C0B" w:rsidP="00AE4C0B">
            <w:pPr>
              <w:pStyle w:val="ListBullet"/>
            </w:pPr>
            <w:r w:rsidRPr="00AE4C0B">
              <w:t>hangers</w:t>
            </w:r>
          </w:p>
          <w:p w:rsidR="00000000" w:rsidRPr="00AE4C0B" w:rsidP="00AE4C0B">
            <w:pPr>
              <w:pStyle w:val="ListBullet"/>
            </w:pPr>
            <w:r w:rsidRPr="00AE4C0B">
              <w:t>pipe fabrication methods and constraints</w:t>
            </w:r>
          </w:p>
          <w:p w:rsidR="00000000" w:rsidRPr="00AE4C0B" w:rsidP="00AE4C0B">
            <w:pPr>
              <w:pStyle w:val="ListBullet"/>
            </w:pPr>
            <w:r w:rsidRPr="00AE4C0B">
              <w:t>pumps</w:t>
            </w:r>
          </w:p>
          <w:p w:rsidR="00000000" w:rsidRPr="00AE4C0B" w:rsidP="00AE4C0B">
            <w:pPr>
              <w:pStyle w:val="ListBullet"/>
            </w:pPr>
            <w:r w:rsidRPr="00AE4C0B">
              <w:t>sprinkler heads</w:t>
            </w:r>
          </w:p>
          <w:p w:rsidR="00000000" w:rsidRPr="00AE4C0B" w:rsidP="00AE4C0B">
            <w:pPr>
              <w:pStyle w:val="ListBullet"/>
            </w:pPr>
            <w:r w:rsidRPr="00AE4C0B">
              <w:t>tanks</w:t>
            </w:r>
          </w:p>
          <w:p w:rsidR="00000000" w:rsidRPr="00AE4C0B" w:rsidP="00AE4C0B">
            <w:pPr>
              <w:pStyle w:val="ListBullet"/>
            </w:pPr>
            <w:r w:rsidRPr="00AE4C0B">
              <w:t>tees.</w:t>
            </w:r>
          </w:p>
        </w:tc>
      </w:tr>
    </w:tbl>
    <w:p w:rsidR="00000000" w:rsidRPr="00AE4C0B" w:rsidP="00AE4C0B">
      <w:pPr>
        <w:pStyle w:val="BodyText"/>
      </w:pPr>
    </w:p>
    <w:p w:rsidR="00000000" w:rsidRPr="00AE4C0B" w:rsidP="00AE4C0B">
      <w:pPr>
        <w:pStyle w:val="AllowPageBreak"/>
      </w:pPr>
    </w:p>
    <w:p w:rsidR="00000000" w:rsidRPr="00AE4C0B" w:rsidP="00AE4C0B">
      <w:pPr>
        <w:pStyle w:val="Heading1"/>
      </w:pPr>
      <w:bookmarkStart w:id="9" w:name="O_666965"/>
      <w:bookmarkEnd w:id="9"/>
      <w:r w:rsidRPr="00AE4C0B">
        <w:t>Unit Mapping Information</w:t>
      </w:r>
    </w:p>
    <w:p w:rsidR="00000000" w:rsidRPr="00AE4C0B" w:rsidP="006C4F0D">
      <w:pPr>
        <w:pStyle w:val="BodyText"/>
      </w:pPr>
      <w:r w:rsidRPr="00AE4C0B">
        <w:t>CPCSFS7002A Analyse, design and evaluate complex special hazard fire systems</w:t>
      </w:r>
    </w:p>
    <w:p w:rsidR="00000000" w:rsidRPr="00AE4C0B" w:rsidP="00AE4C0B">
      <w:pPr>
        <w:pStyle w:val="Heading1"/>
      </w:pPr>
      <w:bookmarkStart w:id="10" w:name="O_666958"/>
      <w:bookmarkEnd w:id="10"/>
      <w:r w:rsidRPr="00AE4C0B">
        <w:t>Links</w:t>
      </w:r>
    </w:p>
    <w:p w:rsidR="00000000" w:rsidRPr="00AE4C0B" w:rsidP="006C4F0D">
      <w:pPr>
        <w:pStyle w:val="BodyText"/>
      </w:pPr>
      <w:r w:rsidRPr="00AE4C0B">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6B6F6F">
        <w:rPr>
          <w:rStyle w:val="Hyperlink"/>
        </w:rPr>
        <w:t>https://vetnet.education.gov.au/Pages/TrainingDocs.aspx?q=7e15fa6a-68b8-4097-b099-030a5569b1ad</w:t>
      </w:r>
      <w:r>
        <w:fldChar w:fldCharType="end"/>
      </w:r>
    </w:p>
    <w:p w:rsidR="00000000" w:rsidRPr="00AE4C0B" w:rsidP="00AE4C0B"/>
    <w:sectPr w:rsidSect="00AE4C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0B" w:rsidRPr="006C4F0D" w:rsidP="006C4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0D" w:rsidP="00AE4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C4F0D" w:rsidP="00AE4C0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6C4F0D" w:rsidP="00AE4C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C0B" w:rsidRPr="006C4F0D" w:rsidP="006C4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F0D" w:rsidRPr="002D2AF8" w:rsidP="00AE4C0B">
    <w:pPr>
      <w:pStyle w:val="Header"/>
      <w:framePr w:wrap="around"/>
    </w:pPr>
    <w:r>
      <w:fldChar w:fldCharType="begin"/>
    </w:r>
    <w:r>
      <w:instrText xml:space="preserve"> TITLE   \* MERGEFORMAT </w:instrText>
    </w:r>
    <w:r>
      <w:fldChar w:fldCharType="separate"/>
    </w:r>
    <w:r>
      <w:t>CPCSFS8002 Analyse, design and evaluate complex special hazard fire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6C4F0D" w:rsidP="00AE4C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E6B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82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64E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C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C0B"/>
    <w:pPr>
      <w:spacing w:before="360" w:after="60"/>
      <w:outlineLvl w:val="0"/>
    </w:pPr>
    <w:rPr>
      <w:sz w:val="32"/>
    </w:rPr>
  </w:style>
  <w:style w:type="paragraph" w:styleId="Heading2">
    <w:name w:val="heading 2"/>
    <w:basedOn w:val="HeadingBase"/>
    <w:next w:val="BodyText"/>
    <w:link w:val="Heading2Char"/>
    <w:qFormat/>
    <w:rsid w:val="00AE4C0B"/>
    <w:pPr>
      <w:keepLines/>
      <w:spacing w:before="240" w:after="120"/>
      <w:outlineLvl w:val="1"/>
    </w:pPr>
    <w:rPr>
      <w:sz w:val="28"/>
      <w:szCs w:val="40"/>
    </w:rPr>
  </w:style>
  <w:style w:type="paragraph" w:styleId="Heading3">
    <w:name w:val="heading 3"/>
    <w:basedOn w:val="HeadingBase"/>
    <w:next w:val="BodyText"/>
    <w:link w:val="Heading3Char"/>
    <w:qFormat/>
    <w:rsid w:val="00AE4C0B"/>
    <w:pPr>
      <w:spacing w:before="180" w:after="120"/>
      <w:outlineLvl w:val="2"/>
    </w:pPr>
    <w:rPr>
      <w:spacing w:val="-10"/>
      <w:kern w:val="32"/>
    </w:rPr>
  </w:style>
  <w:style w:type="paragraph" w:styleId="Heading4">
    <w:name w:val="heading 4"/>
    <w:basedOn w:val="HeadingBase"/>
    <w:next w:val="BodyText"/>
    <w:link w:val="Heading4Char"/>
    <w:qFormat/>
    <w:rsid w:val="00AE4C0B"/>
    <w:pPr>
      <w:spacing w:before="160" w:after="120"/>
      <w:outlineLvl w:val="3"/>
    </w:pPr>
    <w:rPr>
      <w:sz w:val="22"/>
    </w:rPr>
  </w:style>
  <w:style w:type="paragraph" w:styleId="Heading5">
    <w:name w:val="heading 5"/>
    <w:basedOn w:val="HeadingBase"/>
    <w:next w:val="Normal"/>
    <w:link w:val="Heading5Char"/>
    <w:qFormat/>
    <w:rsid w:val="00AE4C0B"/>
    <w:pPr>
      <w:spacing w:before="80"/>
      <w:outlineLvl w:val="4"/>
    </w:pPr>
    <w:rPr>
      <w:color w:val="918585"/>
      <w:sz w:val="20"/>
    </w:rPr>
  </w:style>
  <w:style w:type="paragraph" w:styleId="Heading6">
    <w:name w:val="heading 6"/>
    <w:basedOn w:val="HeadingBase"/>
    <w:next w:val="Normal"/>
    <w:link w:val="Heading6Char"/>
    <w:qFormat/>
    <w:rsid w:val="00AE4C0B"/>
    <w:pPr>
      <w:spacing w:before="60"/>
      <w:outlineLvl w:val="5"/>
    </w:pPr>
    <w:rPr>
      <w:color w:val="918585"/>
      <w:sz w:val="20"/>
    </w:rPr>
  </w:style>
  <w:style w:type="paragraph" w:styleId="Heading7">
    <w:name w:val="heading 7"/>
    <w:basedOn w:val="Normal"/>
    <w:next w:val="Normal"/>
    <w:link w:val="Heading7Char"/>
    <w:qFormat/>
    <w:rsid w:val="00AE4C0B"/>
    <w:pPr>
      <w:ind w:left="720"/>
      <w:outlineLvl w:val="6"/>
    </w:pPr>
    <w:rPr>
      <w:i/>
    </w:rPr>
  </w:style>
  <w:style w:type="paragraph" w:styleId="Heading8">
    <w:name w:val="heading 8"/>
    <w:basedOn w:val="Normal"/>
    <w:next w:val="Normal"/>
    <w:link w:val="Heading8Char"/>
    <w:qFormat/>
    <w:rsid w:val="00AE4C0B"/>
    <w:pPr>
      <w:ind w:left="720"/>
      <w:outlineLvl w:val="7"/>
    </w:pPr>
    <w:rPr>
      <w:i/>
    </w:rPr>
  </w:style>
  <w:style w:type="paragraph" w:styleId="Heading9">
    <w:name w:val="heading 9"/>
    <w:basedOn w:val="Normal"/>
    <w:next w:val="Normal"/>
    <w:link w:val="Heading9Char"/>
    <w:qFormat/>
    <w:rsid w:val="00AE4C0B"/>
    <w:pPr>
      <w:ind w:left="720"/>
      <w:outlineLvl w:val="8"/>
    </w:pPr>
    <w:rPr>
      <w:i/>
    </w:rPr>
  </w:style>
  <w:style w:type="character" w:default="1" w:styleId="DefaultParagraphFont">
    <w:name w:val="Default Paragraph Font"/>
    <w:uiPriority w:val="1"/>
    <w:unhideWhenUsed/>
    <w:rsid w:val="00AE4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C0B"/>
  </w:style>
  <w:style w:type="character" w:customStyle="1" w:styleId="Heading1Char">
    <w:name w:val="Heading 1 Char"/>
    <w:basedOn w:val="DefaultParagraphFont"/>
    <w:link w:val="Heading1"/>
    <w:rsid w:val="00AE4C0B"/>
    <w:rPr>
      <w:rFonts w:ascii="Times New Roman" w:eastAsia="Times New Roman" w:hAnsi="Times New Roman" w:cs="Times New Roman"/>
      <w:b/>
      <w:sz w:val="32"/>
      <w:szCs w:val="20"/>
      <w:lang w:eastAsia="en-US"/>
    </w:rPr>
  </w:style>
  <w:style w:type="paragraph" w:styleId="BodyText">
    <w:name w:val="Body Text"/>
    <w:basedOn w:val="Normal"/>
    <w:link w:val="BodyTextChar"/>
    <w:rsid w:val="00AE4C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C0B"/>
    <w:rPr>
      <w:rFonts w:ascii="Times New Roman" w:eastAsia="Times New Roman" w:hAnsi="Times New Roman" w:cs="Times New Roman"/>
      <w:sz w:val="24"/>
      <w:lang w:eastAsia="en-US"/>
    </w:rPr>
  </w:style>
  <w:style w:type="paragraph" w:styleId="ListBullet">
    <w:name w:val="List Bullet"/>
    <w:basedOn w:val="List"/>
    <w:rsid w:val="00AE4C0B"/>
    <w:pPr>
      <w:numPr>
        <w:numId w:val="13"/>
      </w:numPr>
      <w:tabs>
        <w:tab w:val="clear" w:pos="340"/>
      </w:tabs>
      <w:spacing w:before="40" w:after="40"/>
    </w:pPr>
  </w:style>
  <w:style w:type="character" w:customStyle="1" w:styleId="SpecialBold">
    <w:name w:val="Special Bold"/>
    <w:basedOn w:val="DefaultParagraphFont"/>
    <w:rsid w:val="00AE4C0B"/>
    <w:rPr>
      <w:b/>
      <w:spacing w:val="0"/>
    </w:rPr>
  </w:style>
  <w:style w:type="paragraph" w:styleId="ListBullet2">
    <w:name w:val="List Bullet 2"/>
    <w:basedOn w:val="List2"/>
    <w:rsid w:val="00AE4C0B"/>
    <w:pPr>
      <w:numPr>
        <w:numId w:val="14"/>
      </w:numPr>
      <w:tabs>
        <w:tab w:val="clear" w:pos="680"/>
      </w:tabs>
    </w:pPr>
  </w:style>
  <w:style w:type="paragraph" w:customStyle="1" w:styleId="SuperHeading">
    <w:name w:val="SuperHeading"/>
    <w:basedOn w:val="Normal"/>
    <w:rsid w:val="00AE4C0B"/>
    <w:pPr>
      <w:spacing w:before="240" w:after="120"/>
      <w:outlineLvl w:val="0"/>
    </w:pPr>
    <w:rPr>
      <w:rFonts w:ascii="Times New Roman" w:hAnsi="Times New Roman"/>
      <w:b/>
      <w:sz w:val="32"/>
    </w:rPr>
  </w:style>
  <w:style w:type="paragraph" w:customStyle="1" w:styleId="AllowPageBreak">
    <w:name w:val="AllowPageBreak"/>
    <w:rsid w:val="00AE4C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4C0B"/>
    <w:rPr>
      <w:b/>
      <w:i/>
      <w:u w:val="none"/>
    </w:rPr>
  </w:style>
  <w:style w:type="character" w:customStyle="1" w:styleId="Heading2Char">
    <w:name w:val="Heading 2 Char"/>
    <w:basedOn w:val="DefaultParagraphFont"/>
    <w:link w:val="Heading2"/>
    <w:rsid w:val="00AE4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C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C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C0B"/>
    <w:rPr>
      <w:rFonts w:ascii="Courier New" w:eastAsia="Times New Roman" w:hAnsi="Courier New" w:cs="Times New Roman"/>
      <w:i/>
      <w:szCs w:val="20"/>
      <w:lang w:eastAsia="en-US"/>
    </w:rPr>
  </w:style>
  <w:style w:type="paragraph" w:customStyle="1" w:styleId="HeadingBase">
    <w:name w:val="Heading Base"/>
    <w:rsid w:val="00AE4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C0B"/>
    <w:pPr>
      <w:tabs>
        <w:tab w:val="right" w:leader="dot" w:pos="9072"/>
      </w:tabs>
      <w:ind w:left="567"/>
    </w:pPr>
    <w:rPr>
      <w:szCs w:val="22"/>
    </w:rPr>
  </w:style>
  <w:style w:type="paragraph" w:customStyle="1" w:styleId="TOCBase">
    <w:name w:val="TOC Base"/>
    <w:rsid w:val="00AE4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C0B"/>
    <w:pPr>
      <w:tabs>
        <w:tab w:val="right" w:leader="dot" w:pos="9072"/>
      </w:tabs>
      <w:spacing w:before="40" w:after="40"/>
      <w:ind w:left="284"/>
    </w:pPr>
    <w:rPr>
      <w:rFonts w:ascii="Times New Roman" w:hAnsi="Times New Roman"/>
    </w:rPr>
  </w:style>
  <w:style w:type="paragraph" w:styleId="TOC1">
    <w:name w:val="toc 1"/>
    <w:basedOn w:val="TOCBase"/>
    <w:next w:val="Normal"/>
    <w:rsid w:val="00AE4C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C0B"/>
    <w:rPr>
      <w:rFonts w:ascii="Times New Roman" w:eastAsia="Times New Roman" w:hAnsi="Times New Roman" w:cs="Times New Roman"/>
      <w:sz w:val="16"/>
      <w:lang w:eastAsia="en-US"/>
    </w:rPr>
  </w:style>
  <w:style w:type="paragraph" w:styleId="Title">
    <w:name w:val="Title"/>
    <w:basedOn w:val="HeadingBase"/>
    <w:link w:val="TitleChar"/>
    <w:qFormat/>
    <w:rsid w:val="00AE4C0B"/>
    <w:pPr>
      <w:spacing w:before="5040"/>
      <w:jc w:val="center"/>
    </w:pPr>
    <w:rPr>
      <w:sz w:val="48"/>
      <w:szCs w:val="72"/>
      <w:lang w:val="en-US"/>
    </w:rPr>
  </w:style>
  <w:style w:type="character" w:customStyle="1" w:styleId="TitleChar">
    <w:name w:val="Title Char"/>
    <w:basedOn w:val="DefaultParagraphFont"/>
    <w:link w:val="Title"/>
    <w:rsid w:val="00AE4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C0B"/>
    <w:pPr>
      <w:tabs>
        <w:tab w:val="left" w:pos="3600"/>
        <w:tab w:val="left" w:pos="3958"/>
      </w:tabs>
    </w:pPr>
  </w:style>
  <w:style w:type="paragraph" w:styleId="List">
    <w:name w:val="List"/>
    <w:basedOn w:val="BodyText"/>
    <w:next w:val="BodyText"/>
    <w:rsid w:val="00AE4C0B"/>
    <w:pPr>
      <w:tabs>
        <w:tab w:val="left" w:pos="340"/>
      </w:tabs>
      <w:spacing w:before="60" w:after="60"/>
      <w:ind w:left="340" w:hanging="340"/>
    </w:pPr>
  </w:style>
  <w:style w:type="paragraph" w:customStyle="1" w:styleId="Note">
    <w:name w:val="Note"/>
    <w:basedOn w:val="BodyText"/>
    <w:rsid w:val="00AE4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C0B"/>
    <w:pPr>
      <w:framePr w:wrap="auto" w:hAnchor="text" w:y="6049"/>
    </w:pPr>
    <w:rPr>
      <w:color w:val="000000"/>
      <w:sz w:val="40"/>
    </w:rPr>
  </w:style>
  <w:style w:type="paragraph" w:customStyle="1" w:styleId="TOCTitle">
    <w:name w:val="TOCTitle"/>
    <w:basedOn w:val="Heading1"/>
    <w:rsid w:val="00AE4C0B"/>
    <w:pPr>
      <w:spacing w:after="240"/>
      <w:jc w:val="center"/>
      <w:outlineLvl w:val="9"/>
    </w:pPr>
    <w:rPr>
      <w:caps/>
    </w:rPr>
  </w:style>
  <w:style w:type="paragraph" w:customStyle="1" w:styleId="Version">
    <w:name w:val="Version"/>
    <w:rsid w:val="00AE4C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C0B"/>
    <w:pPr>
      <w:keepNext w:val="0"/>
      <w:tabs>
        <w:tab w:val="right" w:pos="4176"/>
      </w:tabs>
      <w:ind w:left="198" w:hanging="198"/>
    </w:pPr>
    <w:rPr>
      <w:rFonts w:ascii="Garamond" w:hAnsi="Garamond"/>
    </w:rPr>
  </w:style>
  <w:style w:type="paragraph" w:styleId="IndexHeading">
    <w:name w:val="index heading"/>
    <w:basedOn w:val="Normal"/>
    <w:next w:val="Index1"/>
    <w:semiHidden/>
    <w:rsid w:val="00AE4C0B"/>
    <w:pPr>
      <w:spacing w:before="120" w:after="120"/>
    </w:pPr>
    <w:rPr>
      <w:rFonts w:ascii="Arial" w:hAnsi="Arial"/>
      <w:b/>
      <w:color w:val="918585"/>
      <w:sz w:val="24"/>
    </w:rPr>
  </w:style>
  <w:style w:type="paragraph" w:styleId="Header">
    <w:name w:val="header"/>
    <w:basedOn w:val="Normal"/>
    <w:link w:val="HeaderChar"/>
    <w:rsid w:val="00AE4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C0B"/>
    <w:rPr>
      <w:rFonts w:ascii="Times New Roman" w:eastAsia="Times New Roman" w:hAnsi="Times New Roman" w:cs="Times New Roman"/>
      <w:sz w:val="16"/>
      <w:szCs w:val="20"/>
      <w:lang w:val="en-GB" w:eastAsia="en-US"/>
    </w:rPr>
  </w:style>
  <w:style w:type="paragraph" w:customStyle="1" w:styleId="Chapter">
    <w:name w:val="Chapter"/>
    <w:basedOn w:val="Normal"/>
    <w:rsid w:val="00AE4C0B"/>
    <w:pPr>
      <w:spacing w:before="240"/>
    </w:pPr>
    <w:rPr>
      <w:rFonts w:ascii="Times New Roman" w:hAnsi="Times New Roman"/>
      <w:smallCaps/>
      <w:spacing w:val="80"/>
      <w:sz w:val="28"/>
    </w:rPr>
  </w:style>
  <w:style w:type="paragraph" w:customStyle="1" w:styleId="InChapter">
    <w:name w:val="InChapter"/>
    <w:basedOn w:val="Heading3"/>
    <w:rsid w:val="00AE4C0B"/>
    <w:pPr>
      <w:spacing w:after="240"/>
      <w:outlineLvl w:val="9"/>
    </w:pPr>
    <w:rPr>
      <w:noProof/>
    </w:rPr>
  </w:style>
  <w:style w:type="paragraph" w:styleId="Index2">
    <w:name w:val="index 2"/>
    <w:basedOn w:val="Normal"/>
    <w:next w:val="Normal"/>
    <w:semiHidden/>
    <w:rsid w:val="00AE4C0B"/>
    <w:pPr>
      <w:tabs>
        <w:tab w:val="right" w:pos="4176"/>
      </w:tabs>
      <w:ind w:left="568" w:hanging="284"/>
    </w:pPr>
    <w:rPr>
      <w:rFonts w:ascii="Garamond" w:hAnsi="Garamond"/>
    </w:rPr>
  </w:style>
  <w:style w:type="paragraph" w:customStyle="1" w:styleId="Byline">
    <w:name w:val="Byline"/>
    <w:rsid w:val="00AE4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C0B"/>
    <w:pPr>
      <w:tabs>
        <w:tab w:val="clear" w:pos="3600"/>
        <w:tab w:val="clear" w:pos="3958"/>
      </w:tabs>
      <w:jc w:val="right"/>
    </w:pPr>
  </w:style>
  <w:style w:type="character" w:styleId="Emphasis">
    <w:name w:val="Emphasis"/>
    <w:basedOn w:val="DefaultParagraphFont"/>
    <w:qFormat/>
    <w:rsid w:val="00AE4C0B"/>
    <w:rPr>
      <w:i/>
    </w:rPr>
  </w:style>
  <w:style w:type="paragraph" w:styleId="Caption">
    <w:name w:val="caption"/>
    <w:basedOn w:val="BodyText"/>
    <w:next w:val="Normal"/>
    <w:qFormat/>
    <w:rsid w:val="00AE4C0B"/>
    <w:pPr>
      <w:framePr w:w="2268" w:hSpace="181" w:vSpace="181" w:wrap="around" w:vAnchor="text" w:hAnchor="page" w:x="1135" w:y="285" w:anchorLock="1"/>
    </w:pPr>
    <w:rPr>
      <w:i/>
    </w:rPr>
  </w:style>
  <w:style w:type="paragraph" w:customStyle="1" w:styleId="MiniTOCTitle">
    <w:name w:val="MiniTOCTitle"/>
    <w:basedOn w:val="Heading4"/>
    <w:rsid w:val="00AE4C0B"/>
    <w:pPr>
      <w:spacing w:before="240"/>
      <w:outlineLvl w:val="9"/>
    </w:pPr>
    <w:rPr>
      <w:noProof/>
      <w:sz w:val="24"/>
    </w:rPr>
  </w:style>
  <w:style w:type="paragraph" w:customStyle="1" w:styleId="MiniTOCItem">
    <w:name w:val="MiniTOCItem"/>
    <w:basedOn w:val="ListBullet"/>
    <w:rsid w:val="00AE4C0B"/>
    <w:pPr>
      <w:numPr>
        <w:numId w:val="0"/>
      </w:numPr>
      <w:tabs>
        <w:tab w:val="right" w:leader="dot" w:pos="6521"/>
      </w:tabs>
      <w:spacing w:before="0" w:after="0"/>
    </w:pPr>
  </w:style>
  <w:style w:type="paragraph" w:customStyle="1" w:styleId="TOFTitle">
    <w:name w:val="TOFTitle"/>
    <w:basedOn w:val="TOCTitle"/>
    <w:rsid w:val="00AE4C0B"/>
  </w:style>
  <w:style w:type="paragraph" w:styleId="TableofFigures">
    <w:name w:val="table of figures"/>
    <w:basedOn w:val="Normal"/>
    <w:next w:val="Normal"/>
    <w:semiHidden/>
    <w:rsid w:val="00AE4C0B"/>
    <w:pPr>
      <w:tabs>
        <w:tab w:val="right" w:leader="dot" w:pos="9072"/>
      </w:tabs>
      <w:ind w:left="970" w:hanging="403"/>
    </w:pPr>
    <w:rPr>
      <w:rFonts w:ascii="Times New Roman" w:hAnsi="Times New Roman"/>
      <w:b/>
    </w:rPr>
  </w:style>
  <w:style w:type="paragraph" w:styleId="ListNumber">
    <w:name w:val="List Number"/>
    <w:basedOn w:val="List"/>
    <w:rsid w:val="00AE4C0B"/>
    <w:pPr>
      <w:numPr>
        <w:numId w:val="11"/>
      </w:numPr>
    </w:pPr>
  </w:style>
  <w:style w:type="character" w:customStyle="1" w:styleId="WingdingSymbols">
    <w:name w:val="Wingding Symbols"/>
    <w:rsid w:val="00AE4C0B"/>
    <w:rPr>
      <w:rFonts w:ascii="Wingdings" w:hAnsi="Wingdings"/>
    </w:rPr>
  </w:style>
  <w:style w:type="paragraph" w:customStyle="1" w:styleId="TableHeading">
    <w:name w:val="Table Heading"/>
    <w:basedOn w:val="HeadingBase"/>
    <w:rsid w:val="00AE4C0B"/>
    <w:pPr>
      <w:keepLines/>
      <w:pBdr>
        <w:bottom w:val="single" w:sz="6" w:space="1" w:color="918585"/>
      </w:pBdr>
      <w:spacing w:before="240"/>
    </w:pPr>
  </w:style>
  <w:style w:type="character" w:customStyle="1" w:styleId="HotSpot">
    <w:name w:val="HotSpot"/>
    <w:rsid w:val="00AE4C0B"/>
    <w:rPr>
      <w:color w:val="0033CC"/>
      <w:u w:val="none"/>
    </w:rPr>
  </w:style>
  <w:style w:type="paragraph" w:customStyle="1" w:styleId="BodyTextRight">
    <w:name w:val="Body Text Right"/>
    <w:basedOn w:val="BodyText"/>
    <w:rsid w:val="00AE4C0B"/>
    <w:pPr>
      <w:spacing w:before="0" w:after="0"/>
      <w:jc w:val="right"/>
    </w:pPr>
  </w:style>
  <w:style w:type="paragraph" w:styleId="Index3">
    <w:name w:val="index 3"/>
    <w:basedOn w:val="ListNumber2"/>
    <w:next w:val="Normal"/>
    <w:semiHidden/>
    <w:rsid w:val="00AE4C0B"/>
    <w:pPr>
      <w:numPr>
        <w:numId w:val="0"/>
      </w:numPr>
      <w:tabs>
        <w:tab w:val="right" w:leader="dot" w:pos="4176"/>
      </w:tabs>
    </w:pPr>
  </w:style>
  <w:style w:type="paragraph" w:styleId="ListNumber2">
    <w:name w:val="List Number 2"/>
    <w:basedOn w:val="List2"/>
    <w:rsid w:val="00AE4C0B"/>
    <w:pPr>
      <w:numPr>
        <w:numId w:val="10"/>
      </w:numPr>
      <w:tabs>
        <w:tab w:val="clear" w:pos="1060"/>
      </w:tabs>
    </w:pPr>
  </w:style>
  <w:style w:type="paragraph" w:customStyle="1" w:styleId="MarginNote">
    <w:name w:val="Margin Note"/>
    <w:basedOn w:val="BodyText"/>
    <w:rsid w:val="00AE4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C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C0B"/>
    <w:rPr>
      <w:sz w:val="32"/>
    </w:rPr>
  </w:style>
  <w:style w:type="paragraph" w:customStyle="1" w:styleId="HeadingProcedure">
    <w:name w:val="Heading Procedure"/>
    <w:basedOn w:val="HeadingBase"/>
    <w:next w:val="Normal"/>
    <w:rsid w:val="00AE4C0B"/>
    <w:pPr>
      <w:tabs>
        <w:tab w:val="left" w:pos="0"/>
      </w:tabs>
      <w:spacing w:before="120" w:after="60"/>
    </w:pPr>
    <w:rPr>
      <w:i/>
      <w:color w:val="918585"/>
      <w:sz w:val="22"/>
    </w:rPr>
  </w:style>
  <w:style w:type="paragraph" w:customStyle="1" w:styleId="TableBodyText">
    <w:name w:val="Table Body Text"/>
    <w:basedOn w:val="BodyText"/>
    <w:rsid w:val="00AE4C0B"/>
    <w:pPr>
      <w:spacing w:before="60" w:after="60"/>
    </w:pPr>
  </w:style>
  <w:style w:type="paragraph" w:styleId="ListContinue">
    <w:name w:val="List Continue"/>
    <w:basedOn w:val="List"/>
    <w:rsid w:val="00AE4C0B"/>
    <w:pPr>
      <w:ind w:firstLine="0"/>
    </w:pPr>
  </w:style>
  <w:style w:type="paragraph" w:customStyle="1" w:styleId="ListNote">
    <w:name w:val="List Note"/>
    <w:basedOn w:val="List"/>
    <w:rsid w:val="00AE4C0B"/>
    <w:pPr>
      <w:pBdr>
        <w:top w:val="single" w:sz="6" w:space="2" w:color="918585"/>
        <w:bottom w:val="single" w:sz="6" w:space="2" w:color="918585"/>
      </w:pBdr>
      <w:tabs>
        <w:tab w:val="left" w:pos="1021"/>
      </w:tabs>
      <w:ind w:firstLine="0"/>
    </w:pPr>
  </w:style>
  <w:style w:type="paragraph" w:customStyle="1" w:styleId="Warning">
    <w:name w:val="Warning"/>
    <w:basedOn w:val="BodyText"/>
    <w:rsid w:val="00AE4C0B"/>
    <w:pPr>
      <w:shd w:val="clear" w:color="auto" w:fill="D9D9D9"/>
      <w:tabs>
        <w:tab w:val="left" w:pos="992"/>
      </w:tabs>
      <w:ind w:left="119" w:right="119"/>
    </w:pPr>
    <w:rPr>
      <w:sz w:val="20"/>
    </w:rPr>
  </w:style>
  <w:style w:type="paragraph" w:customStyle="1" w:styleId="MarginIcons">
    <w:name w:val="Margin Icons"/>
    <w:basedOn w:val="BodyText"/>
    <w:rsid w:val="00AE4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C0B"/>
    <w:rPr>
      <w:rFonts w:ascii="Courier New" w:hAnsi="Courier New"/>
    </w:rPr>
  </w:style>
  <w:style w:type="paragraph" w:customStyle="1" w:styleId="NoteBullet">
    <w:name w:val="Note Bullet"/>
    <w:basedOn w:val="Note"/>
    <w:rsid w:val="00AE4C0B"/>
    <w:pPr>
      <w:tabs>
        <w:tab w:val="clear" w:pos="680"/>
      </w:tabs>
      <w:spacing w:before="60" w:after="60"/>
    </w:pPr>
  </w:style>
  <w:style w:type="paragraph" w:customStyle="1" w:styleId="SubHeading2">
    <w:name w:val="SubHeading2"/>
    <w:basedOn w:val="HeadingBase"/>
    <w:rsid w:val="00AE4C0B"/>
    <w:pPr>
      <w:spacing w:before="240" w:after="60"/>
    </w:pPr>
    <w:rPr>
      <w:sz w:val="20"/>
    </w:rPr>
  </w:style>
  <w:style w:type="paragraph" w:customStyle="1" w:styleId="SubHeading1">
    <w:name w:val="SubHeading1"/>
    <w:basedOn w:val="HeadingBase"/>
    <w:rsid w:val="00AE4C0B"/>
    <w:pPr>
      <w:spacing w:before="240" w:after="60"/>
    </w:pPr>
    <w:rPr>
      <w:color w:val="918585"/>
      <w:sz w:val="22"/>
    </w:rPr>
  </w:style>
  <w:style w:type="paragraph" w:customStyle="1" w:styleId="SideHeading">
    <w:name w:val="Side Heading"/>
    <w:basedOn w:val="HeadingBase"/>
    <w:rsid w:val="00AE4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C0B"/>
    <w:pPr>
      <w:numPr>
        <w:numId w:val="12"/>
      </w:numPr>
    </w:pPr>
  </w:style>
  <w:style w:type="paragraph" w:styleId="PlainText">
    <w:name w:val="Plain Text"/>
    <w:basedOn w:val="Normal"/>
    <w:link w:val="PlainTextChar"/>
    <w:rsid w:val="00AE4C0B"/>
    <w:rPr>
      <w:sz w:val="20"/>
    </w:rPr>
  </w:style>
  <w:style w:type="character" w:customStyle="1" w:styleId="PlainTextChar">
    <w:name w:val="Plain Text Char"/>
    <w:basedOn w:val="DefaultParagraphFont"/>
    <w:link w:val="PlainText"/>
    <w:rsid w:val="00AE4C0B"/>
    <w:rPr>
      <w:rFonts w:ascii="Courier New" w:eastAsia="Times New Roman" w:hAnsi="Courier New" w:cs="Times New Roman"/>
      <w:sz w:val="20"/>
      <w:szCs w:val="20"/>
      <w:lang w:eastAsia="en-US"/>
    </w:rPr>
  </w:style>
  <w:style w:type="character" w:customStyle="1" w:styleId="MenuOption">
    <w:name w:val="Menu Option"/>
    <w:basedOn w:val="DefaultParagraphFont"/>
    <w:rsid w:val="00AE4C0B"/>
    <w:rPr>
      <w:b/>
      <w:smallCaps/>
    </w:rPr>
  </w:style>
  <w:style w:type="paragraph" w:customStyle="1" w:styleId="TableListNumber">
    <w:name w:val="Table List Number"/>
    <w:basedOn w:val="ListNumber"/>
    <w:rsid w:val="00AE4C0B"/>
    <w:pPr>
      <w:numPr>
        <w:numId w:val="0"/>
      </w:numPr>
    </w:pPr>
  </w:style>
  <w:style w:type="paragraph" w:styleId="TOC4">
    <w:name w:val="toc 4"/>
    <w:basedOn w:val="TOCBase"/>
    <w:next w:val="Normal"/>
    <w:semiHidden/>
    <w:rsid w:val="00AE4C0B"/>
    <w:pPr>
      <w:tabs>
        <w:tab w:val="right" w:leader="dot" w:pos="9071"/>
      </w:tabs>
      <w:ind w:left="1701"/>
    </w:pPr>
  </w:style>
  <w:style w:type="paragraph" w:customStyle="1" w:styleId="ListAlpha">
    <w:name w:val="List Alpha"/>
    <w:basedOn w:val="List"/>
    <w:rsid w:val="00AE4C0B"/>
    <w:pPr>
      <w:numPr>
        <w:numId w:val="9"/>
      </w:numPr>
    </w:pPr>
  </w:style>
  <w:style w:type="paragraph" w:customStyle="1" w:styleId="ListAlpha2">
    <w:name w:val="List Alpha 2"/>
    <w:basedOn w:val="List2"/>
    <w:rsid w:val="00AE4C0B"/>
    <w:pPr>
      <w:numPr>
        <w:numId w:val="8"/>
      </w:numPr>
    </w:pPr>
  </w:style>
  <w:style w:type="paragraph" w:styleId="List2">
    <w:name w:val="List 2"/>
    <w:basedOn w:val="BodyText"/>
    <w:rsid w:val="00AE4C0B"/>
    <w:pPr>
      <w:tabs>
        <w:tab w:val="left" w:pos="680"/>
      </w:tabs>
      <w:spacing w:before="60" w:after="60"/>
      <w:ind w:left="680" w:hanging="340"/>
    </w:pPr>
  </w:style>
  <w:style w:type="paragraph" w:styleId="List3">
    <w:name w:val="List 3"/>
    <w:basedOn w:val="BodyText"/>
    <w:rsid w:val="00AE4C0B"/>
    <w:pPr>
      <w:tabs>
        <w:tab w:val="left" w:pos="1021"/>
      </w:tabs>
      <w:spacing w:before="60" w:after="60"/>
      <w:ind w:left="1020" w:hanging="340"/>
    </w:pPr>
  </w:style>
  <w:style w:type="paragraph" w:styleId="List4">
    <w:name w:val="List 4"/>
    <w:basedOn w:val="BodyText"/>
    <w:rsid w:val="00AE4C0B"/>
    <w:pPr>
      <w:tabs>
        <w:tab w:val="left" w:pos="1361"/>
      </w:tabs>
      <w:spacing w:before="60" w:after="60"/>
      <w:ind w:left="1361" w:hanging="340"/>
    </w:pPr>
  </w:style>
  <w:style w:type="paragraph" w:styleId="List5">
    <w:name w:val="List 5"/>
    <w:basedOn w:val="BodyText"/>
    <w:rsid w:val="00AE4C0B"/>
    <w:pPr>
      <w:tabs>
        <w:tab w:val="left" w:pos="1701"/>
      </w:tabs>
      <w:spacing w:before="60" w:after="60"/>
      <w:ind w:left="1701" w:hanging="340"/>
    </w:pPr>
  </w:style>
  <w:style w:type="paragraph" w:styleId="ListBullet3">
    <w:name w:val="List Bullet 3"/>
    <w:basedOn w:val="List3"/>
    <w:rsid w:val="00AE4C0B"/>
    <w:pPr>
      <w:numPr>
        <w:numId w:val="15"/>
      </w:numPr>
      <w:tabs>
        <w:tab w:val="clear" w:pos="1021"/>
      </w:tabs>
      <w:ind w:left="1037" w:hanging="357"/>
    </w:pPr>
  </w:style>
  <w:style w:type="paragraph" w:styleId="ListBullet4">
    <w:name w:val="List Bullet 4"/>
    <w:basedOn w:val="List4"/>
    <w:rsid w:val="00AE4C0B"/>
    <w:pPr>
      <w:numPr>
        <w:numId w:val="3"/>
      </w:numPr>
      <w:tabs>
        <w:tab w:val="clear" w:pos="1361"/>
      </w:tabs>
    </w:pPr>
  </w:style>
  <w:style w:type="paragraph" w:styleId="ListBullet5">
    <w:name w:val="List Bullet 5"/>
    <w:basedOn w:val="List5"/>
    <w:rsid w:val="00AE4C0B"/>
    <w:pPr>
      <w:numPr>
        <w:numId w:val="4"/>
      </w:numPr>
    </w:pPr>
  </w:style>
  <w:style w:type="paragraph" w:styleId="ListContinue2">
    <w:name w:val="List Continue 2"/>
    <w:basedOn w:val="List2"/>
    <w:rsid w:val="00AE4C0B"/>
    <w:pPr>
      <w:ind w:firstLine="0"/>
    </w:pPr>
  </w:style>
  <w:style w:type="paragraph" w:styleId="ListContinue3">
    <w:name w:val="List Continue 3"/>
    <w:basedOn w:val="List3"/>
    <w:rsid w:val="00AE4C0B"/>
    <w:pPr>
      <w:ind w:left="1021" w:firstLine="0"/>
    </w:pPr>
  </w:style>
  <w:style w:type="paragraph" w:styleId="ListContinue4">
    <w:name w:val="List Continue 4"/>
    <w:basedOn w:val="List4"/>
    <w:rsid w:val="00AE4C0B"/>
    <w:pPr>
      <w:ind w:firstLine="0"/>
    </w:pPr>
  </w:style>
  <w:style w:type="paragraph" w:styleId="ListContinue5">
    <w:name w:val="List Continue 5"/>
    <w:basedOn w:val="List5"/>
    <w:rsid w:val="00AE4C0B"/>
    <w:pPr>
      <w:ind w:firstLine="0"/>
    </w:pPr>
  </w:style>
  <w:style w:type="paragraph" w:styleId="ListNumber3">
    <w:name w:val="List Number 3"/>
    <w:basedOn w:val="List3"/>
    <w:rsid w:val="00AE4C0B"/>
    <w:pPr>
      <w:numPr>
        <w:numId w:val="5"/>
      </w:numPr>
    </w:pPr>
  </w:style>
  <w:style w:type="paragraph" w:styleId="ListNumber4">
    <w:name w:val="List Number 4"/>
    <w:basedOn w:val="List4"/>
    <w:rsid w:val="00AE4C0B"/>
    <w:pPr>
      <w:numPr>
        <w:numId w:val="6"/>
      </w:numPr>
    </w:pPr>
  </w:style>
  <w:style w:type="paragraph" w:styleId="ListNumber5">
    <w:name w:val="List Number 5"/>
    <w:basedOn w:val="List5"/>
    <w:rsid w:val="00AE4C0B"/>
    <w:pPr>
      <w:numPr>
        <w:numId w:val="7"/>
      </w:numPr>
    </w:pPr>
  </w:style>
  <w:style w:type="paragraph" w:styleId="BlockText">
    <w:name w:val="Block Text"/>
    <w:basedOn w:val="Normal"/>
    <w:rsid w:val="00AE4C0B"/>
    <w:pPr>
      <w:spacing w:after="120"/>
      <w:ind w:left="1440" w:right="1440"/>
    </w:pPr>
  </w:style>
  <w:style w:type="character" w:customStyle="1" w:styleId="Subscript">
    <w:name w:val="Subscript"/>
    <w:basedOn w:val="DefaultParagraphFont"/>
    <w:rsid w:val="00AE4C0B"/>
    <w:rPr>
      <w:sz w:val="16"/>
      <w:vertAlign w:val="subscript"/>
    </w:rPr>
  </w:style>
  <w:style w:type="character" w:customStyle="1" w:styleId="Superscript">
    <w:name w:val="Superscript"/>
    <w:basedOn w:val="DefaultParagraphFont"/>
    <w:rsid w:val="00AE4C0B"/>
    <w:rPr>
      <w:sz w:val="16"/>
      <w:vertAlign w:val="superscript"/>
    </w:rPr>
  </w:style>
  <w:style w:type="character" w:customStyle="1" w:styleId="Symbols">
    <w:name w:val="Symbols"/>
    <w:basedOn w:val="DefaultParagraphFont"/>
    <w:rsid w:val="00AE4C0B"/>
    <w:rPr>
      <w:rFonts w:ascii="Symbol" w:hAnsi="Symbol"/>
    </w:rPr>
  </w:style>
  <w:style w:type="character" w:customStyle="1" w:styleId="MenuOptions">
    <w:name w:val="Menu Options"/>
    <w:basedOn w:val="DefaultParagraphFont"/>
    <w:rsid w:val="00AE4C0B"/>
    <w:rPr>
      <w:rFonts w:ascii="Arial Narrow" w:hAnsi="Arial Narrow"/>
      <w:smallCaps/>
    </w:rPr>
  </w:style>
  <w:style w:type="character" w:customStyle="1" w:styleId="Buttons">
    <w:name w:val="Buttons"/>
    <w:basedOn w:val="DefaultParagraphFont"/>
    <w:rsid w:val="00AE4C0B"/>
    <w:rPr>
      <w:b/>
    </w:rPr>
  </w:style>
  <w:style w:type="character" w:customStyle="1" w:styleId="Underlined">
    <w:name w:val="Underlined"/>
    <w:basedOn w:val="DefaultParagraphFont"/>
    <w:rsid w:val="00AE4C0B"/>
    <w:rPr>
      <w:u w:val="single"/>
    </w:rPr>
  </w:style>
  <w:style w:type="paragraph" w:customStyle="1" w:styleId="TableBodyTextRight">
    <w:name w:val="Table Body Text Right"/>
    <w:basedOn w:val="TableBodyText"/>
    <w:rsid w:val="00AE4C0B"/>
    <w:pPr>
      <w:widowControl w:val="0"/>
      <w:autoSpaceDE w:val="0"/>
      <w:autoSpaceDN w:val="0"/>
      <w:adjustRightInd w:val="0"/>
      <w:jc w:val="right"/>
    </w:pPr>
    <w:rPr>
      <w:rFonts w:cs="Arial"/>
      <w:szCs w:val="18"/>
    </w:rPr>
  </w:style>
  <w:style w:type="paragraph" w:customStyle="1" w:styleId="CopyrightText">
    <w:name w:val="Copyright Text"/>
    <w:basedOn w:val="BodyText"/>
    <w:rsid w:val="00AE4C0B"/>
    <w:rPr>
      <w:sz w:val="18"/>
    </w:rPr>
  </w:style>
  <w:style w:type="paragraph" w:customStyle="1" w:styleId="BodySmallRight">
    <w:name w:val="Body Small Right"/>
    <w:basedOn w:val="BodyTextRight"/>
    <w:rsid w:val="00AE4C0B"/>
    <w:rPr>
      <w:sz w:val="18"/>
      <w:szCs w:val="18"/>
    </w:rPr>
  </w:style>
  <w:style w:type="paragraph" w:customStyle="1" w:styleId="MarginEdition">
    <w:name w:val="Margin Edition"/>
    <w:basedOn w:val="MarginNote"/>
    <w:rsid w:val="00AE4C0B"/>
    <w:pPr>
      <w:spacing w:before="0" w:after="0"/>
    </w:pPr>
    <w:rPr>
      <w:rFonts w:ascii="Times New Roman" w:hAnsi="Times New Roman"/>
      <w:color w:val="999999"/>
    </w:rPr>
  </w:style>
  <w:style w:type="paragraph" w:customStyle="1" w:styleId="Spacer">
    <w:name w:val="Spacer"/>
    <w:basedOn w:val="Normal"/>
    <w:rsid w:val="00AE4C0B"/>
    <w:rPr>
      <w:sz w:val="2"/>
      <w:szCs w:val="2"/>
    </w:rPr>
  </w:style>
  <w:style w:type="character" w:customStyle="1" w:styleId="Small">
    <w:name w:val="Small"/>
    <w:basedOn w:val="DefaultParagraphFont"/>
    <w:rsid w:val="00AE4C0B"/>
    <w:rPr>
      <w:sz w:val="16"/>
    </w:rPr>
  </w:style>
  <w:style w:type="paragraph" w:customStyle="1" w:styleId="WideTable">
    <w:name w:val="Wide Table"/>
    <w:basedOn w:val="Normal"/>
    <w:rsid w:val="00AE4C0B"/>
    <w:pPr>
      <w:ind w:left="-1418"/>
    </w:pPr>
    <w:rPr>
      <w:sz w:val="2"/>
      <w:szCs w:val="2"/>
    </w:rPr>
  </w:style>
  <w:style w:type="character" w:styleId="PageNumber">
    <w:name w:val="page number"/>
    <w:basedOn w:val="DefaultParagraphFont"/>
    <w:rsid w:val="00AE4C0B"/>
  </w:style>
  <w:style w:type="paragraph" w:styleId="Quote">
    <w:name w:val="Quote"/>
    <w:basedOn w:val="Heading1"/>
    <w:link w:val="QuoteChar"/>
    <w:qFormat/>
    <w:rsid w:val="00AE4C0B"/>
    <w:rPr>
      <w:b w:val="0"/>
      <w:sz w:val="72"/>
      <w:szCs w:val="72"/>
      <w:lang w:val="en-NZ"/>
    </w:rPr>
  </w:style>
  <w:style w:type="character" w:customStyle="1" w:styleId="QuoteChar">
    <w:name w:val="Quote Char"/>
    <w:basedOn w:val="DefaultParagraphFont"/>
    <w:link w:val="Quote"/>
    <w:rsid w:val="00AE4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C0B"/>
    <w:pPr>
      <w:pageBreakBefore/>
    </w:pPr>
  </w:style>
  <w:style w:type="paragraph" w:customStyle="1" w:styleId="Border">
    <w:name w:val="Border"/>
    <w:basedOn w:val="Normal"/>
    <w:qFormat/>
    <w:rsid w:val="00AE4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C0B"/>
    <w:rPr>
      <w:b/>
      <w:bCs/>
      <w:i/>
      <w:iCs/>
      <w:color w:val="auto"/>
    </w:rPr>
  </w:style>
  <w:style w:type="paragraph" w:styleId="IntenseQuote">
    <w:name w:val="Intense Quote"/>
    <w:basedOn w:val="Normal"/>
    <w:next w:val="Normal"/>
    <w:link w:val="IntenseQuoteChar"/>
    <w:uiPriority w:val="30"/>
    <w:qFormat/>
    <w:rsid w:val="00AE4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C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C0B"/>
    <w:rPr>
      <w:smallCaps/>
      <w:color w:val="auto"/>
      <w:u w:val="single"/>
    </w:rPr>
  </w:style>
  <w:style w:type="character" w:styleId="IntenseReference">
    <w:name w:val="Intense Reference"/>
    <w:basedOn w:val="DefaultParagraphFont"/>
    <w:uiPriority w:val="32"/>
    <w:qFormat/>
    <w:rsid w:val="00AE4C0B"/>
    <w:rPr>
      <w:b/>
      <w:bCs/>
      <w:smallCaps/>
      <w:color w:val="auto"/>
      <w:spacing w:val="5"/>
      <w:u w:val="single"/>
    </w:rPr>
  </w:style>
  <w:style w:type="paragraph" w:customStyle="1" w:styleId="2ColumnHeading">
    <w:name w:val="2Column Heading"/>
    <w:basedOn w:val="BodyText"/>
    <w:qFormat/>
    <w:rsid w:val="00AE4C0B"/>
    <w:pPr>
      <w:spacing w:after="60"/>
      <w:ind w:left="-2268"/>
    </w:pPr>
    <w:rPr>
      <w:b/>
    </w:rPr>
  </w:style>
  <w:style w:type="paragraph" w:customStyle="1" w:styleId="Heading1TOC">
    <w:name w:val="Heading1 TOC"/>
    <w:basedOn w:val="Normal"/>
    <w:qFormat/>
    <w:rsid w:val="00AE4C0B"/>
    <w:pPr>
      <w:spacing w:before="240" w:after="120"/>
    </w:pPr>
    <w:rPr>
      <w:rFonts w:ascii="Times New Roman" w:hAnsi="Times New Roman"/>
      <w:b/>
      <w:sz w:val="32"/>
    </w:rPr>
  </w:style>
  <w:style w:type="paragraph" w:customStyle="1" w:styleId="Heading2TOC">
    <w:name w:val="Heading2 TOC"/>
    <w:basedOn w:val="Normal"/>
    <w:qFormat/>
    <w:rsid w:val="00AE4C0B"/>
    <w:pPr>
      <w:spacing w:before="240" w:after="60"/>
    </w:pPr>
    <w:rPr>
      <w:rFonts w:ascii="Times New Roman" w:hAnsi="Times New Roman"/>
      <w:b/>
      <w:sz w:val="28"/>
    </w:rPr>
  </w:style>
  <w:style w:type="character" w:customStyle="1" w:styleId="Underline">
    <w:name w:val="Underline"/>
    <w:basedOn w:val="DefaultParagraphFont"/>
    <w:qFormat/>
    <w:rsid w:val="00AE4C0B"/>
    <w:rPr>
      <w:u w:val="single"/>
    </w:rPr>
  </w:style>
  <w:style w:type="paragraph" w:styleId="BalloonText">
    <w:name w:val="Balloon Text"/>
    <w:basedOn w:val="Normal"/>
    <w:link w:val="BalloonTextChar"/>
    <w:rsid w:val="00AE4C0B"/>
    <w:rPr>
      <w:rFonts w:ascii="Tahoma" w:hAnsi="Tahoma" w:cs="Tahoma"/>
      <w:sz w:val="16"/>
      <w:szCs w:val="16"/>
    </w:rPr>
  </w:style>
  <w:style w:type="character" w:customStyle="1" w:styleId="BalloonTextChar">
    <w:name w:val="Balloon Text Char"/>
    <w:basedOn w:val="DefaultParagraphFont"/>
    <w:link w:val="BalloonText"/>
    <w:rsid w:val="00AE4C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C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C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C0B"/>
    <w:rPr>
      <w:b/>
      <w:color w:val="660033"/>
      <w:spacing w:val="0"/>
    </w:rPr>
  </w:style>
  <w:style w:type="paragraph" w:customStyle="1" w:styleId="Nameditemlist">
    <w:name w:val="Named item list"/>
    <w:basedOn w:val="BodyText"/>
    <w:qFormat/>
    <w:rsid w:val="00AE4C0B"/>
    <w:pPr>
      <w:tabs>
        <w:tab w:val="left" w:pos="2835"/>
      </w:tabs>
      <w:ind w:left="2835" w:hanging="2835"/>
    </w:pPr>
  </w:style>
  <w:style w:type="paragraph" w:customStyle="1" w:styleId="BodyTextnopadding">
    <w:name w:val="Body Text no padding"/>
    <w:basedOn w:val="BodyText"/>
    <w:qFormat/>
    <w:rsid w:val="00AE4C0B"/>
    <w:pPr>
      <w:spacing w:before="0" w:after="0"/>
    </w:pPr>
  </w:style>
  <w:style w:type="character" w:styleId="Hyperlink">
    <w:name w:val="Hyperlink"/>
    <w:basedOn w:val="DefaultParagraphFont"/>
    <w:uiPriority w:val="99"/>
    <w:unhideWhenUsed/>
    <w:rsid w:val="006C4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1438</Words>
  <Characters>9049</Characters>
  <Application>Microsoft Office Word</Application>
  <DocSecurity>0</DocSecurity>
  <Lines>430</Lines>
  <Paragraphs>218</Paragraphs>
  <ScaleCrop>false</ScaleCrop>
  <Company>Author-it Software Corporation Ltd.</Company>
  <LinksUpToDate>false</LinksUpToDate>
  <CharactersWithSpaces>10269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CPCSFS8002 Analyse, design and evaluate complex special hazard fire systems</dc:title>
  <dc:subject>Approved</dc:subject>
  <dc:creator>Artibus Innovation</dc:creator>
  <cp:keywords>Release: 1</cp:keywords>
  <dc:description>Review Date: 12 April 2008</dc:description>
  <cp:lastModifiedBy>HSD_TPCMSd.prod</cp:lastModifiedBy>
  <cp:revision>3</cp:revision>
  <dcterms:created xsi:type="dcterms:W3CDTF">2019-01-17T03:13:00Z</dcterms:created>
  <dcterms:modified xsi:type="dcterms:W3CDTF">2019-01-17T03:13:00Z</dcterms:modified>
</cp:coreProperties>
</file>