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6110" w:rsidP="00596110">
      <w:pPr>
        <w:pStyle w:val="Title"/>
      </w:pPr>
      <w:r>
        <w:fldChar w:fldCharType="begin"/>
      </w:r>
      <w:r>
        <w:instrText xml:space="preserve"> TITLE   \* MERGEFORMAT </w:instrText>
      </w:r>
      <w:r>
        <w:fldChar w:fldCharType="separate"/>
      </w:r>
      <w:r>
        <w:t>CPCSFS5015 Prepare documentation for annual fire systems inspections</w:t>
      </w:r>
      <w:r>
        <w:fldChar w:fldCharType="end"/>
      </w:r>
    </w:p>
    <w:p w:rsidR="00596110" w:rsidP="00596110">
      <w:pPr>
        <w:pStyle w:val="Version"/>
        <w:sectPr w:rsidSect="00F71C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1C38" w:rsidP="00F71C38">
      <w:pPr>
        <w:pStyle w:val="SuperHeading"/>
      </w:pPr>
      <w:r w:rsidRPr="00F71C38">
        <w:t>CPCSFS5015 Prepare documentation for annual fire systems inspections</w:t>
      </w:r>
    </w:p>
    <w:p w:rsidR="00000000" w:rsidRPr="00F71C38" w:rsidP="00F71C38">
      <w:pPr>
        <w:pStyle w:val="Heading1"/>
      </w:pPr>
      <w:bookmarkStart w:id="1" w:name="O_1136666"/>
      <w:bookmarkEnd w:id="1"/>
      <w:r w:rsidRPr="00F71C38">
        <w:t>Modification History</w:t>
      </w:r>
    </w:p>
    <w:tbl>
      <w:tblPr>
        <w:tblW w:w="0" w:type="auto"/>
        <w:tblLayout w:type="fixed"/>
        <w:tblCellMar>
          <w:left w:w="62" w:type="dxa"/>
          <w:right w:w="62" w:type="dxa"/>
        </w:tblCellMar>
        <w:tblLook w:val="0000"/>
      </w:tblPr>
      <w:tblGrid>
        <w:gridCol w:w="1310"/>
        <w:gridCol w:w="7508"/>
      </w:tblGrid>
      <w:tr w:rsidTr="00F71C38">
        <w:tblPrEx>
          <w:tblW w:w="0" w:type="auto"/>
          <w:tblLayout w:type="fixed"/>
          <w:tblCellMar>
            <w:left w:w="62" w:type="dxa"/>
            <w:right w:w="62" w:type="dxa"/>
          </w:tblCellMar>
          <w:tblLook w:val="0000"/>
        </w:tblPrEx>
        <w:trPr>
          <w:trHeight w:val="1084"/>
        </w:trPr>
        <w:tc>
          <w:tcPr>
            <w:tcW w:w="1310" w:type="dxa"/>
            <w:tcBorders>
              <w:top w:val="nil"/>
              <w:left w:val="nil"/>
              <w:bottom w:val="nil"/>
              <w:right w:val="nil"/>
            </w:tcBorders>
            <w:tcMar>
              <w:top w:w="0" w:type="dxa"/>
              <w:left w:w="62" w:type="dxa"/>
              <w:bottom w:w="0" w:type="dxa"/>
              <w:right w:w="62" w:type="dxa"/>
            </w:tcMar>
          </w:tcPr>
          <w:p w:rsidR="00000000" w:rsidP="00F71C38">
            <w:pPr>
              <w:pStyle w:val="BodyText"/>
              <w:rPr>
                <w:lang w:val="en-NZ"/>
              </w:rPr>
            </w:pPr>
            <w:r w:rsidRPr="00F71C38">
              <w:t>Release 1</w:t>
            </w:r>
          </w:p>
        </w:tc>
        <w:tc>
          <w:tcPr>
            <w:tcW w:w="7508" w:type="dxa"/>
            <w:tcBorders>
              <w:top w:val="nil"/>
              <w:left w:val="nil"/>
              <w:bottom w:val="nil"/>
              <w:right w:val="nil"/>
            </w:tcBorders>
            <w:tcMar>
              <w:top w:w="0" w:type="dxa"/>
              <w:left w:w="62" w:type="dxa"/>
              <w:bottom w:w="0" w:type="dxa"/>
              <w:right w:w="62" w:type="dxa"/>
            </w:tcMar>
          </w:tcPr>
          <w:p w:rsidR="00000000" w:rsidRPr="00F71C38" w:rsidP="00F71C38">
            <w:pPr>
              <w:pStyle w:val="BodyText"/>
            </w:pPr>
            <w:r w:rsidRPr="00F71C38">
              <w:t>This version first released with CPC Construction, Plumbing and Services Training Package Release 5.0.</w:t>
            </w:r>
          </w:p>
          <w:p w:rsidR="00000000" w:rsidRPr="00F71C38" w:rsidP="00F71C38">
            <w:pPr>
              <w:pStyle w:val="BodyText"/>
            </w:pPr>
            <w:r w:rsidRPr="00F71C38">
              <w:t>Supersedes and is equivalent to CPCSFS5015A Assess documentation for annual fire systems certification inspections.  Updated to meet the Standards for Training Packages 2012.</w:t>
            </w:r>
          </w:p>
        </w:tc>
      </w:tr>
    </w:tbl>
    <w:p w:rsidR="00000000" w:rsidRPr="00F71C38" w:rsidP="00F71C38">
      <w:pPr>
        <w:pStyle w:val="BodyText"/>
      </w:pPr>
    </w:p>
    <w:p w:rsidR="00000000" w:rsidRPr="00F71C38" w:rsidP="00F71C38">
      <w:pPr>
        <w:pStyle w:val="AllowPageBreak"/>
      </w:pPr>
    </w:p>
    <w:p w:rsidR="00000000" w:rsidRPr="00F71C38" w:rsidP="00F71C38">
      <w:pPr>
        <w:pStyle w:val="Heading1"/>
      </w:pPr>
      <w:bookmarkStart w:id="2" w:name="O_1136672"/>
      <w:bookmarkEnd w:id="2"/>
      <w:r w:rsidRPr="00F71C38">
        <w:t>Application</w:t>
      </w:r>
    </w:p>
    <w:p w:rsidR="00000000" w:rsidRPr="00F71C38" w:rsidP="00596110">
      <w:pPr>
        <w:pStyle w:val="BodyText"/>
      </w:pPr>
      <w:r w:rsidRPr="00F71C38">
        <w:t>This unit of competency supports annual inspecti</w:t>
      </w:r>
      <w:r w:rsidRPr="00F71C38">
        <w:t xml:space="preserve">ons of fire systems. The unit of competency specifies the outcomes required to research the applicable regulatory requirements for existing fire systems in all types of buildings and to assess compliance documentation to determine whether requirements are </w:t>
      </w:r>
      <w:r w:rsidRPr="00F71C38">
        <w:t>met.</w:t>
      </w:r>
    </w:p>
    <w:p w:rsidR="00000000" w:rsidRPr="00F71C38" w:rsidP="00596110">
      <w:pPr>
        <w:pStyle w:val="BodyText"/>
      </w:pPr>
      <w:r w:rsidRPr="00F71C38">
        <w:t>In some jurisdictions, this unit of competency may form part of accreditation, licensing, legislative, regulatory or certification requirements.</w:t>
      </w:r>
    </w:p>
    <w:p w:rsidR="00000000" w:rsidRPr="00F71C38" w:rsidP="00F71C38">
      <w:pPr>
        <w:pStyle w:val="Heading1"/>
      </w:pPr>
      <w:bookmarkStart w:id="3" w:name="O_1136671"/>
      <w:bookmarkEnd w:id="3"/>
      <w:r w:rsidRPr="00F71C38">
        <w:t>Pre-requisite Unit</w:t>
      </w:r>
    </w:p>
    <w:p w:rsidR="00000000" w:rsidRPr="00F71C38" w:rsidP="00596110">
      <w:pPr>
        <w:pStyle w:val="BodyText"/>
      </w:pPr>
      <w:r w:rsidRPr="00F71C38">
        <w:t>CPCSFS5014 Conduct annual fire systems inspections</w:t>
      </w:r>
    </w:p>
    <w:p w:rsidR="00000000" w:rsidRPr="00F71C38" w:rsidP="00F71C38">
      <w:pPr>
        <w:pStyle w:val="Heading1"/>
      </w:pPr>
      <w:bookmarkStart w:id="4" w:name="O_1136670"/>
      <w:bookmarkEnd w:id="4"/>
      <w:r w:rsidRPr="00F71C38">
        <w:t>Unit Sector</w:t>
      </w:r>
    </w:p>
    <w:p w:rsidR="00000000" w:rsidRPr="00F71C38" w:rsidP="00596110">
      <w:pPr>
        <w:pStyle w:val="BodyText"/>
      </w:pPr>
      <w:r w:rsidRPr="00F71C38">
        <w:t>Plumbing and Fire Services</w:t>
      </w:r>
    </w:p>
    <w:p w:rsidR="00000000" w:rsidRPr="00F71C38" w:rsidP="00F71C38">
      <w:pPr>
        <w:pStyle w:val="Heading1"/>
      </w:pPr>
      <w:bookmarkStart w:id="5" w:name="O_1136669"/>
      <w:bookmarkEnd w:id="5"/>
      <w:r w:rsidRPr="00F71C38">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F71C38">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F71C38">
            <w:pPr>
              <w:pStyle w:val="BodyText"/>
              <w:rPr>
                <w:lang w:val="en-NZ"/>
              </w:rPr>
            </w:pPr>
            <w:r w:rsidRPr="00F71C38">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F71C38">
            <w:pPr>
              <w:pStyle w:val="BodyText"/>
              <w:rPr>
                <w:lang w:val="en-NZ"/>
              </w:rPr>
            </w:pPr>
            <w:r w:rsidRPr="00F71C38">
              <w:t>Performance criteria describe what needs to be done to demonstrate achievement of the element.</w:t>
            </w:r>
          </w:p>
        </w:tc>
      </w:tr>
      <w:tr w:rsidTr="00F71C3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71C38">
            <w:pPr>
              <w:pStyle w:val="BodyText"/>
              <w:rPr>
                <w:lang w:val="en-NZ"/>
              </w:rPr>
            </w:pPr>
            <w:r w:rsidRPr="00F71C38">
              <w:t>1</w:t>
            </w:r>
          </w:p>
        </w:tc>
        <w:tc>
          <w:tcPr>
            <w:tcW w:w="2357" w:type="dxa"/>
            <w:vMerge w:val="restart"/>
            <w:tcBorders>
              <w:top w:val="nil"/>
              <w:left w:val="nil"/>
              <w:bottom w:val="nil"/>
              <w:right w:val="nil"/>
            </w:tcBorders>
            <w:tcMar>
              <w:top w:w="0" w:type="dxa"/>
              <w:left w:w="62" w:type="dxa"/>
              <w:bottom w:w="0" w:type="dxa"/>
              <w:right w:w="62" w:type="dxa"/>
            </w:tcMar>
          </w:tcPr>
          <w:p w:rsidR="00000000" w:rsidP="00F71C38">
            <w:pPr>
              <w:pStyle w:val="BodyText"/>
              <w:rPr>
                <w:lang w:val="en-NZ"/>
              </w:rPr>
            </w:pPr>
            <w:r w:rsidRPr="00F71C38">
              <w:t>Determine the installation dates for fire systems.</w:t>
            </w:r>
          </w:p>
        </w:tc>
        <w:tc>
          <w:tcPr>
            <w:tcW w:w="804" w:type="dxa"/>
            <w:tcBorders>
              <w:top w:val="nil"/>
              <w:left w:val="nil"/>
              <w:bottom w:val="nil"/>
              <w:right w:val="nil"/>
            </w:tcBorders>
            <w:tcMar>
              <w:top w:w="0" w:type="dxa"/>
              <w:left w:w="62" w:type="dxa"/>
              <w:bottom w:w="0" w:type="dxa"/>
              <w:right w:w="62" w:type="dxa"/>
            </w:tcMar>
          </w:tcPr>
          <w:p w:rsidR="00000000" w:rsidP="00F71C38">
            <w:pPr>
              <w:pStyle w:val="BodyText"/>
              <w:rPr>
                <w:lang w:val="en-NZ"/>
              </w:rPr>
            </w:pPr>
            <w:r w:rsidRPr="00F71C38">
              <w:t>1.1</w:t>
            </w:r>
          </w:p>
        </w:tc>
        <w:tc>
          <w:tcPr>
            <w:tcW w:w="5659" w:type="dxa"/>
            <w:tcBorders>
              <w:top w:val="nil"/>
              <w:left w:val="nil"/>
              <w:bottom w:val="nil"/>
              <w:right w:val="nil"/>
            </w:tcBorders>
            <w:tcMar>
              <w:top w:w="0" w:type="dxa"/>
              <w:left w:w="62" w:type="dxa"/>
              <w:bottom w:w="0" w:type="dxa"/>
              <w:right w:w="62" w:type="dxa"/>
            </w:tcMar>
          </w:tcPr>
          <w:p w:rsidR="00000000" w:rsidP="00F71C38">
            <w:pPr>
              <w:pStyle w:val="BodyText"/>
              <w:rPr>
                <w:lang w:val="en-NZ"/>
              </w:rPr>
            </w:pPr>
            <w:r w:rsidRPr="00F71C38">
              <w:t>Access, interpret and document the construction dates and modification histories of buildings to be inspected.</w:t>
            </w:r>
          </w:p>
        </w:tc>
      </w:tr>
      <w:tr w:rsidTr="00F71C3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1C38">
            <w:pPr>
              <w:pStyle w:val="BodyText"/>
              <w:rPr>
                <w:lang w:val="en-NZ"/>
              </w:rPr>
            </w:pPr>
            <w:r w:rsidRPr="00F71C38">
              <w:t>1.2</w:t>
            </w:r>
          </w:p>
        </w:tc>
        <w:tc>
          <w:tcPr>
            <w:tcW w:w="5659" w:type="dxa"/>
            <w:tcBorders>
              <w:top w:val="nil"/>
              <w:left w:val="nil"/>
              <w:bottom w:val="nil"/>
              <w:right w:val="nil"/>
            </w:tcBorders>
            <w:tcMar>
              <w:top w:w="0" w:type="dxa"/>
              <w:left w:w="62" w:type="dxa"/>
              <w:bottom w:w="0" w:type="dxa"/>
              <w:right w:w="62" w:type="dxa"/>
            </w:tcMar>
          </w:tcPr>
          <w:p w:rsidR="00000000" w:rsidP="00F71C38">
            <w:pPr>
              <w:pStyle w:val="BodyText"/>
              <w:rPr>
                <w:lang w:val="en-NZ"/>
              </w:rPr>
            </w:pPr>
            <w:r w:rsidRPr="00F71C38">
              <w:t>Identify the types of fire systems installed in buildings to be inspected from comp</w:t>
            </w:r>
            <w:r w:rsidRPr="00F71C38">
              <w:t xml:space="preserve">liance documentation. </w:t>
            </w:r>
          </w:p>
        </w:tc>
      </w:tr>
      <w:tr w:rsidTr="00F71C3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1C38">
            <w:pPr>
              <w:pStyle w:val="BodyText"/>
              <w:rPr>
                <w:lang w:val="en-NZ"/>
              </w:rPr>
            </w:pPr>
            <w:r w:rsidRPr="00F71C38">
              <w:t>1.3</w:t>
            </w:r>
          </w:p>
        </w:tc>
        <w:tc>
          <w:tcPr>
            <w:tcW w:w="5659" w:type="dxa"/>
            <w:tcBorders>
              <w:top w:val="nil"/>
              <w:left w:val="nil"/>
              <w:bottom w:val="nil"/>
              <w:right w:val="nil"/>
            </w:tcBorders>
            <w:tcMar>
              <w:top w:w="0" w:type="dxa"/>
              <w:left w:w="62" w:type="dxa"/>
              <w:bottom w:w="0" w:type="dxa"/>
              <w:right w:w="62" w:type="dxa"/>
            </w:tcMar>
          </w:tcPr>
          <w:p w:rsidR="00000000" w:rsidP="00F71C38">
            <w:pPr>
              <w:pStyle w:val="BodyText"/>
              <w:rPr>
                <w:lang w:val="en-NZ"/>
              </w:rPr>
            </w:pPr>
            <w:r w:rsidRPr="00F71C38">
              <w:t>Identify the installation dates for individual fire systems in buildings to be inspected.</w:t>
            </w:r>
          </w:p>
        </w:tc>
      </w:tr>
      <w:tr w:rsidTr="00F71C3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71C38">
            <w:pPr>
              <w:pStyle w:val="BodyText"/>
              <w:rPr>
                <w:lang w:val="en-NZ"/>
              </w:rPr>
            </w:pPr>
          </w:p>
        </w:tc>
      </w:tr>
      <w:tr w:rsidTr="00F71C3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71C38">
            <w:pPr>
              <w:pStyle w:val="BodyText"/>
              <w:rPr>
                <w:lang w:val="en-NZ"/>
              </w:rPr>
            </w:pPr>
            <w:r w:rsidRPr="00F71C38">
              <w:t>2</w:t>
            </w:r>
          </w:p>
        </w:tc>
        <w:tc>
          <w:tcPr>
            <w:tcW w:w="2357" w:type="dxa"/>
            <w:vMerge w:val="restart"/>
            <w:tcBorders>
              <w:top w:val="nil"/>
              <w:left w:val="nil"/>
              <w:bottom w:val="nil"/>
              <w:right w:val="nil"/>
            </w:tcBorders>
            <w:tcMar>
              <w:top w:w="0" w:type="dxa"/>
              <w:left w:w="62" w:type="dxa"/>
              <w:bottom w:w="0" w:type="dxa"/>
              <w:right w:w="62" w:type="dxa"/>
            </w:tcMar>
          </w:tcPr>
          <w:p w:rsidR="00000000" w:rsidP="00F71C38">
            <w:pPr>
              <w:pStyle w:val="BodyText"/>
              <w:rPr>
                <w:lang w:val="en-NZ"/>
              </w:rPr>
            </w:pPr>
            <w:r w:rsidRPr="00F71C38">
              <w:t>Research and interpret the applicable codes and standards.</w:t>
            </w:r>
          </w:p>
        </w:tc>
        <w:tc>
          <w:tcPr>
            <w:tcW w:w="804" w:type="dxa"/>
            <w:tcBorders>
              <w:top w:val="nil"/>
              <w:left w:val="nil"/>
              <w:bottom w:val="nil"/>
              <w:right w:val="nil"/>
            </w:tcBorders>
            <w:tcMar>
              <w:top w:w="0" w:type="dxa"/>
              <w:left w:w="62" w:type="dxa"/>
              <w:bottom w:w="0" w:type="dxa"/>
              <w:right w:w="62" w:type="dxa"/>
            </w:tcMar>
          </w:tcPr>
          <w:p w:rsidR="00000000" w:rsidP="00F71C38">
            <w:pPr>
              <w:pStyle w:val="BodyText"/>
              <w:rPr>
                <w:lang w:val="en-NZ"/>
              </w:rPr>
            </w:pPr>
            <w:r w:rsidRPr="00F71C38">
              <w:t>2.1</w:t>
            </w:r>
          </w:p>
        </w:tc>
        <w:tc>
          <w:tcPr>
            <w:tcW w:w="5659" w:type="dxa"/>
            <w:tcBorders>
              <w:top w:val="nil"/>
              <w:left w:val="nil"/>
              <w:bottom w:val="nil"/>
              <w:right w:val="nil"/>
            </w:tcBorders>
            <w:tcMar>
              <w:top w:w="0" w:type="dxa"/>
              <w:left w:w="62" w:type="dxa"/>
              <w:bottom w:w="0" w:type="dxa"/>
              <w:right w:w="62" w:type="dxa"/>
            </w:tcMar>
          </w:tcPr>
          <w:p w:rsidR="00000000" w:rsidP="00F71C38">
            <w:pPr>
              <w:pStyle w:val="BodyText"/>
              <w:rPr>
                <w:lang w:val="en-NZ"/>
              </w:rPr>
            </w:pPr>
            <w:r w:rsidRPr="00F71C38">
              <w:t>Research and identify the current and historical legislation, codes and standards applicable to individual fire systems at the time of installation, or modification of the building.</w:t>
            </w:r>
          </w:p>
        </w:tc>
      </w:tr>
      <w:tr w:rsidTr="00F71C3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1C38">
            <w:pPr>
              <w:pStyle w:val="BodyText"/>
              <w:rPr>
                <w:lang w:val="en-NZ"/>
              </w:rPr>
            </w:pPr>
            <w:r w:rsidRPr="00F71C38">
              <w:t>2.2</w:t>
            </w:r>
          </w:p>
        </w:tc>
        <w:tc>
          <w:tcPr>
            <w:tcW w:w="5659" w:type="dxa"/>
            <w:tcBorders>
              <w:top w:val="nil"/>
              <w:left w:val="nil"/>
              <w:bottom w:val="nil"/>
              <w:right w:val="nil"/>
            </w:tcBorders>
            <w:tcMar>
              <w:top w:w="0" w:type="dxa"/>
              <w:left w:w="62" w:type="dxa"/>
              <w:bottom w:w="0" w:type="dxa"/>
              <w:right w:w="62" w:type="dxa"/>
            </w:tcMar>
          </w:tcPr>
          <w:p w:rsidR="00000000" w:rsidP="00F71C38">
            <w:pPr>
              <w:pStyle w:val="BodyText"/>
              <w:rPr>
                <w:lang w:val="en-NZ"/>
              </w:rPr>
            </w:pPr>
            <w:r w:rsidRPr="00F71C38">
              <w:t>Research and int</w:t>
            </w:r>
            <w:r w:rsidRPr="00F71C38">
              <w:t>erpret the detailed requirements of applicable historical legislation, codes and standards and fire engineered solutions.</w:t>
            </w:r>
          </w:p>
        </w:tc>
      </w:tr>
      <w:tr w:rsidTr="00F71C3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1C38">
            <w:pPr>
              <w:pStyle w:val="BodyText"/>
              <w:rPr>
                <w:lang w:val="en-NZ"/>
              </w:rPr>
            </w:pPr>
            <w:r w:rsidRPr="00F71C38">
              <w:t>2.3</w:t>
            </w:r>
          </w:p>
        </w:tc>
        <w:tc>
          <w:tcPr>
            <w:tcW w:w="5659" w:type="dxa"/>
            <w:tcBorders>
              <w:top w:val="nil"/>
              <w:left w:val="nil"/>
              <w:bottom w:val="nil"/>
              <w:right w:val="nil"/>
            </w:tcBorders>
            <w:tcMar>
              <w:top w:w="0" w:type="dxa"/>
              <w:left w:w="62" w:type="dxa"/>
              <w:bottom w:w="0" w:type="dxa"/>
              <w:right w:w="62" w:type="dxa"/>
            </w:tcMar>
          </w:tcPr>
          <w:p w:rsidR="00000000" w:rsidP="00F71C38">
            <w:pPr>
              <w:pStyle w:val="BodyText"/>
              <w:rPr>
                <w:lang w:val="en-NZ"/>
              </w:rPr>
            </w:pPr>
            <w:r w:rsidRPr="00F71C38">
              <w:t xml:space="preserve">Document and report any disparity between historical legislation, codes and standards applicable and fire engineered solutions </w:t>
            </w:r>
            <w:r w:rsidRPr="00F71C38">
              <w:t>applicable at the installation or modification date and current fire safety requirements to relevant stakeholders.</w:t>
            </w:r>
          </w:p>
        </w:tc>
      </w:tr>
      <w:tr w:rsidTr="00F71C3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1C38">
            <w:pPr>
              <w:pStyle w:val="BodyText"/>
              <w:rPr>
                <w:lang w:val="en-NZ"/>
              </w:rPr>
            </w:pPr>
            <w:r w:rsidRPr="00F71C38">
              <w:t>2.4</w:t>
            </w:r>
          </w:p>
        </w:tc>
        <w:tc>
          <w:tcPr>
            <w:tcW w:w="5659" w:type="dxa"/>
            <w:tcBorders>
              <w:top w:val="nil"/>
              <w:left w:val="nil"/>
              <w:bottom w:val="nil"/>
              <w:right w:val="nil"/>
            </w:tcBorders>
            <w:tcMar>
              <w:top w:w="0" w:type="dxa"/>
              <w:left w:w="62" w:type="dxa"/>
              <w:bottom w:w="0" w:type="dxa"/>
              <w:right w:w="62" w:type="dxa"/>
            </w:tcMar>
          </w:tcPr>
          <w:p w:rsidR="00000000" w:rsidP="00F71C38">
            <w:pPr>
              <w:pStyle w:val="BodyText"/>
              <w:rPr>
                <w:lang w:val="en-NZ"/>
              </w:rPr>
            </w:pPr>
            <w:r w:rsidRPr="00F71C38">
              <w:t>Prepare checklists and notes on applicable current and historical codes and standards to assist the annual inspection process.</w:t>
            </w:r>
          </w:p>
        </w:tc>
      </w:tr>
      <w:tr w:rsidTr="00F71C3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71C38">
            <w:pPr>
              <w:pStyle w:val="BodyText"/>
              <w:rPr>
                <w:lang w:val="en-NZ"/>
              </w:rPr>
            </w:pPr>
          </w:p>
        </w:tc>
      </w:tr>
      <w:tr w:rsidTr="00F71C3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71C38">
            <w:pPr>
              <w:pStyle w:val="BodyText"/>
              <w:rPr>
                <w:lang w:val="en-NZ"/>
              </w:rPr>
            </w:pPr>
            <w:r w:rsidRPr="00F71C38">
              <w:t>3</w:t>
            </w:r>
          </w:p>
        </w:tc>
        <w:tc>
          <w:tcPr>
            <w:tcW w:w="2357" w:type="dxa"/>
            <w:vMerge w:val="restart"/>
            <w:tcBorders>
              <w:top w:val="nil"/>
              <w:left w:val="nil"/>
              <w:bottom w:val="nil"/>
              <w:right w:val="nil"/>
            </w:tcBorders>
            <w:tcMar>
              <w:top w:w="0" w:type="dxa"/>
              <w:left w:w="62" w:type="dxa"/>
              <w:bottom w:w="0" w:type="dxa"/>
              <w:right w:w="62" w:type="dxa"/>
            </w:tcMar>
          </w:tcPr>
          <w:p w:rsidR="00000000" w:rsidP="00F71C38">
            <w:pPr>
              <w:pStyle w:val="BodyText"/>
              <w:rPr>
                <w:lang w:val="en-NZ"/>
              </w:rPr>
            </w:pPr>
            <w:r w:rsidRPr="00F71C38">
              <w:t>Assess and report on fire system compliance documentation.</w:t>
            </w:r>
          </w:p>
        </w:tc>
        <w:tc>
          <w:tcPr>
            <w:tcW w:w="804" w:type="dxa"/>
            <w:tcBorders>
              <w:top w:val="nil"/>
              <w:left w:val="nil"/>
              <w:bottom w:val="nil"/>
              <w:right w:val="nil"/>
            </w:tcBorders>
            <w:tcMar>
              <w:top w:w="0" w:type="dxa"/>
              <w:left w:w="62" w:type="dxa"/>
              <w:bottom w:w="0" w:type="dxa"/>
              <w:right w:w="62" w:type="dxa"/>
            </w:tcMar>
          </w:tcPr>
          <w:p w:rsidR="00000000" w:rsidP="00F71C38">
            <w:pPr>
              <w:pStyle w:val="BodyText"/>
              <w:rPr>
                <w:lang w:val="en-NZ"/>
              </w:rPr>
            </w:pPr>
            <w:r w:rsidRPr="00F71C38">
              <w:t>3.1</w:t>
            </w:r>
          </w:p>
        </w:tc>
        <w:tc>
          <w:tcPr>
            <w:tcW w:w="5659" w:type="dxa"/>
            <w:tcBorders>
              <w:top w:val="nil"/>
              <w:left w:val="nil"/>
              <w:bottom w:val="nil"/>
              <w:right w:val="nil"/>
            </w:tcBorders>
            <w:tcMar>
              <w:top w:w="0" w:type="dxa"/>
              <w:left w:w="62" w:type="dxa"/>
              <w:bottom w:w="0" w:type="dxa"/>
              <w:right w:w="62" w:type="dxa"/>
            </w:tcMar>
          </w:tcPr>
          <w:p w:rsidR="00000000" w:rsidP="00F71C38">
            <w:pPr>
              <w:pStyle w:val="BodyText"/>
              <w:rPr>
                <w:lang w:val="en-NZ"/>
              </w:rPr>
            </w:pPr>
            <w:r w:rsidRPr="00F71C38">
              <w:t>Review and check schedules for the inspection, testing and maintenance of fire safety systems for compliance with current regulatory requirements.</w:t>
            </w:r>
          </w:p>
        </w:tc>
      </w:tr>
      <w:tr w:rsidTr="00F71C3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1C38">
            <w:pPr>
              <w:pStyle w:val="BodyText"/>
              <w:rPr>
                <w:lang w:val="en-NZ"/>
              </w:rPr>
            </w:pPr>
            <w:r w:rsidRPr="00F71C38">
              <w:t>3.2</w:t>
            </w:r>
          </w:p>
        </w:tc>
        <w:tc>
          <w:tcPr>
            <w:tcW w:w="5659" w:type="dxa"/>
            <w:tcBorders>
              <w:top w:val="nil"/>
              <w:left w:val="nil"/>
              <w:bottom w:val="nil"/>
              <w:right w:val="nil"/>
            </w:tcBorders>
            <w:tcMar>
              <w:top w:w="0" w:type="dxa"/>
              <w:left w:w="62" w:type="dxa"/>
              <w:bottom w:w="0" w:type="dxa"/>
              <w:right w:w="62" w:type="dxa"/>
            </w:tcMar>
          </w:tcPr>
          <w:p w:rsidR="00000000" w:rsidP="00F71C38">
            <w:pPr>
              <w:pStyle w:val="BodyText"/>
              <w:rPr>
                <w:lang w:val="en-NZ"/>
              </w:rPr>
            </w:pPr>
            <w:r w:rsidRPr="00F71C38">
              <w:t>Review and check documentation for regular fire systems inspection and testing activities for currency and completeness.</w:t>
            </w:r>
          </w:p>
        </w:tc>
      </w:tr>
      <w:tr w:rsidTr="00F71C3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1C38">
            <w:pPr>
              <w:pStyle w:val="BodyText"/>
              <w:rPr>
                <w:lang w:val="en-NZ"/>
              </w:rPr>
            </w:pPr>
            <w:r w:rsidRPr="00F71C38">
              <w:t>3.3</w:t>
            </w:r>
          </w:p>
        </w:tc>
        <w:tc>
          <w:tcPr>
            <w:tcW w:w="5659" w:type="dxa"/>
            <w:tcBorders>
              <w:top w:val="nil"/>
              <w:left w:val="nil"/>
              <w:bottom w:val="nil"/>
              <w:right w:val="nil"/>
            </w:tcBorders>
            <w:tcMar>
              <w:top w:w="0" w:type="dxa"/>
              <w:left w:w="62" w:type="dxa"/>
              <w:bottom w:w="0" w:type="dxa"/>
              <w:right w:w="62" w:type="dxa"/>
            </w:tcMar>
          </w:tcPr>
          <w:p w:rsidR="00000000" w:rsidP="00F71C38">
            <w:pPr>
              <w:pStyle w:val="BodyText"/>
              <w:rPr>
                <w:lang w:val="en-NZ"/>
              </w:rPr>
            </w:pPr>
            <w:r w:rsidRPr="00F71C38">
              <w:t>Identify and note information regarding non-compliance issues and defects.</w:t>
            </w:r>
          </w:p>
        </w:tc>
      </w:tr>
      <w:tr w:rsidTr="00F71C3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1C38">
            <w:pPr>
              <w:pStyle w:val="BodyText"/>
              <w:rPr>
                <w:lang w:val="en-NZ"/>
              </w:rPr>
            </w:pPr>
            <w:r w:rsidRPr="00F71C38">
              <w:t>3.4</w:t>
            </w:r>
          </w:p>
        </w:tc>
        <w:tc>
          <w:tcPr>
            <w:tcW w:w="5659" w:type="dxa"/>
            <w:tcBorders>
              <w:top w:val="nil"/>
              <w:left w:val="nil"/>
              <w:bottom w:val="nil"/>
              <w:right w:val="nil"/>
            </w:tcBorders>
            <w:tcMar>
              <w:top w:w="0" w:type="dxa"/>
              <w:left w:w="62" w:type="dxa"/>
              <w:bottom w:w="0" w:type="dxa"/>
              <w:right w:w="62" w:type="dxa"/>
            </w:tcMar>
          </w:tcPr>
          <w:p w:rsidR="00000000" w:rsidP="00F71C38">
            <w:pPr>
              <w:pStyle w:val="BodyText"/>
              <w:rPr>
                <w:lang w:val="en-NZ"/>
              </w:rPr>
            </w:pPr>
            <w:r w:rsidRPr="00F71C38">
              <w:t>Request and review documentary evidence of res</w:t>
            </w:r>
            <w:r w:rsidRPr="00F71C38">
              <w:t>olution of non-compliance issues and defects if available.</w:t>
            </w:r>
          </w:p>
        </w:tc>
      </w:tr>
      <w:tr w:rsidTr="00F71C3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1C38">
            <w:pPr>
              <w:pStyle w:val="BodyText"/>
              <w:rPr>
                <w:lang w:val="en-NZ"/>
              </w:rPr>
            </w:pPr>
            <w:r w:rsidRPr="00F71C38">
              <w:t>3.5</w:t>
            </w:r>
          </w:p>
        </w:tc>
        <w:tc>
          <w:tcPr>
            <w:tcW w:w="5659" w:type="dxa"/>
            <w:tcBorders>
              <w:top w:val="nil"/>
              <w:left w:val="nil"/>
              <w:bottom w:val="nil"/>
              <w:right w:val="nil"/>
            </w:tcBorders>
            <w:tcMar>
              <w:top w:w="0" w:type="dxa"/>
              <w:left w:w="62" w:type="dxa"/>
              <w:bottom w:w="0" w:type="dxa"/>
              <w:right w:w="62" w:type="dxa"/>
            </w:tcMar>
          </w:tcPr>
          <w:p w:rsidR="00000000" w:rsidP="00F71C38">
            <w:pPr>
              <w:pStyle w:val="BodyText"/>
              <w:rPr>
                <w:lang w:val="en-NZ"/>
              </w:rPr>
            </w:pPr>
            <w:r w:rsidRPr="00F71C38">
              <w:t xml:space="preserve">Prepare checklists and notes on non-compliance issues and defects identified from compliance documentation to assist the annual inspection process. </w:t>
            </w:r>
          </w:p>
        </w:tc>
      </w:tr>
      <w:tr w:rsidTr="00F71C3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71C38">
            <w:pPr>
              <w:pStyle w:val="BodyText"/>
              <w:rPr>
                <w:lang w:val="en-NZ"/>
              </w:rPr>
            </w:pPr>
            <w:r w:rsidRPr="00F71C38">
              <w:t>3.6</w:t>
            </w:r>
          </w:p>
        </w:tc>
        <w:tc>
          <w:tcPr>
            <w:tcW w:w="5659" w:type="dxa"/>
            <w:tcBorders>
              <w:top w:val="nil"/>
              <w:left w:val="nil"/>
              <w:bottom w:val="nil"/>
              <w:right w:val="nil"/>
            </w:tcBorders>
            <w:tcMar>
              <w:top w:w="0" w:type="dxa"/>
              <w:left w:w="62" w:type="dxa"/>
              <w:bottom w:w="0" w:type="dxa"/>
              <w:right w:w="62" w:type="dxa"/>
            </w:tcMar>
          </w:tcPr>
          <w:p w:rsidR="00000000" w:rsidRPr="00F71C38" w:rsidP="00F71C38">
            <w:pPr>
              <w:pStyle w:val="BodyText"/>
            </w:pPr>
            <w:r w:rsidRPr="00F71C38">
              <w:t>Prepare and process reports detailing anomalies and omissions in fire systems</w:t>
            </w:r>
            <w:r>
              <w:t>’</w:t>
            </w:r>
            <w:r w:rsidRPr="00F71C38">
              <w:t xml:space="preserve"> compliance documentation according to workplace and regulatory requirements.</w:t>
            </w:r>
          </w:p>
        </w:tc>
      </w:tr>
    </w:tbl>
    <w:p w:rsidR="00000000" w:rsidRPr="00F71C38" w:rsidP="00F71C38">
      <w:pPr>
        <w:pStyle w:val="BodyText"/>
      </w:pPr>
    </w:p>
    <w:p w:rsidR="00000000" w:rsidRPr="00F71C38" w:rsidP="00F71C38">
      <w:pPr>
        <w:pStyle w:val="AllowPageBreak"/>
      </w:pPr>
    </w:p>
    <w:p w:rsidR="00000000" w:rsidRPr="00F71C38" w:rsidP="00F71C38">
      <w:pPr>
        <w:pStyle w:val="Heading1"/>
      </w:pPr>
      <w:bookmarkStart w:id="6" w:name="O_1136668"/>
      <w:bookmarkEnd w:id="6"/>
      <w:r w:rsidRPr="00F71C38">
        <w:t>Foundation Skills</w:t>
      </w:r>
    </w:p>
    <w:p w:rsidR="00000000" w:rsidRPr="00F71C38" w:rsidP="00596110">
      <w:pPr>
        <w:pStyle w:val="BodyText"/>
      </w:pPr>
      <w:r w:rsidRPr="00F71C38">
        <w:t>Foundation skills essential to performance are explicit in th</w:t>
      </w:r>
      <w:r w:rsidRPr="00F71C38">
        <w:t xml:space="preserve">e performance criteria of this unit of competency. </w:t>
      </w:r>
    </w:p>
    <w:p w:rsidR="00000000" w:rsidRPr="00F71C38" w:rsidP="00F71C38">
      <w:pPr>
        <w:pStyle w:val="Heading1"/>
      </w:pPr>
      <w:bookmarkStart w:id="7" w:name="O_1136667"/>
      <w:bookmarkEnd w:id="7"/>
      <w:r w:rsidRPr="00F71C38">
        <w:t>Unit Mapping Information</w:t>
      </w:r>
    </w:p>
    <w:p w:rsidR="00000000" w:rsidRPr="00F71C38" w:rsidP="00596110">
      <w:pPr>
        <w:pStyle w:val="BodyText"/>
      </w:pPr>
      <w:r w:rsidRPr="00F71C38">
        <w:t>Supersedes and is equivalent to CPCSFS5015A Assess documentation for annual fire systems certification inspections.</w:t>
      </w:r>
    </w:p>
    <w:p w:rsidR="00000000" w:rsidRPr="00F71C38" w:rsidP="00F71C38">
      <w:pPr>
        <w:pStyle w:val="Heading1"/>
      </w:pPr>
      <w:bookmarkStart w:id="8" w:name="O_1136660"/>
      <w:bookmarkEnd w:id="8"/>
      <w:r w:rsidRPr="00F71C38">
        <w:t>Links</w:t>
      </w:r>
    </w:p>
    <w:p w:rsidR="00000000" w:rsidRPr="00F71C38" w:rsidP="00596110">
      <w:pPr>
        <w:pStyle w:val="BodyText"/>
      </w:pPr>
      <w:r w:rsidRPr="00F71C38">
        <w:t>Companion volumes</w:t>
      </w:r>
      <w:r w:rsidRPr="00F71C38">
        <w:t xml:space="preserve"> to this training package are available at the VETNet website - </w:t>
      </w:r>
      <w:r>
        <w:fldChar w:fldCharType="begin"/>
      </w:r>
      <w:r>
        <w:instrText xml:space="preserve"> HYPERLINK "https://vetnet.gov.au/Pages/TrainingDocs.aspx?q=7e15fa6a-68b8-4097-b099-030a5569b1ad" </w:instrText>
      </w:r>
      <w:r>
        <w:fldChar w:fldCharType="separate"/>
      </w:r>
      <w:r w:rsidRPr="004C590E">
        <w:rPr>
          <w:rStyle w:val="Hyperlink"/>
        </w:rPr>
        <w:t>https://vetnet.gov.au/Pages/TrainingDocs.aspx?q=7e15fa6a-68b8-4097-b099-030a5569b1ad</w:t>
      </w:r>
      <w:r>
        <w:fldChar w:fldCharType="end"/>
      </w:r>
    </w:p>
    <w:p w:rsidR="00000000" w:rsidRPr="00F71C38" w:rsidP="00596110">
      <w:pPr>
        <w:pStyle w:val="BodyText"/>
        <w:sectPr w:rsidSect="00F71C38">
          <w:headerReference w:type="default" r:id="rId10"/>
          <w:footerReference w:type="default" r:id="rId11"/>
          <w:pgSz w:w="11908" w:h="16833"/>
          <w:pgMar w:top="1702" w:right="1418" w:bottom="1702" w:left="1418" w:header="992" w:footer="992" w:gutter="0"/>
          <w:cols w:space="720"/>
          <w:noEndnote/>
          <w:docGrid w:linePitch="299"/>
        </w:sectPr>
      </w:pPr>
    </w:p>
    <w:p w:rsidR="00000000" w:rsidRPr="00F71C38" w:rsidP="00F71C38">
      <w:pPr>
        <w:pStyle w:val="SuperHeading"/>
      </w:pPr>
      <w:r w:rsidRPr="00F71C38">
        <w:t>Assessment Requirements for CPCSFS5015 Prepare documentation</w:t>
      </w:r>
      <w:r w:rsidRPr="00F71C38">
        <w:t xml:space="preserve"> for annual fire systems inspections</w:t>
      </w:r>
    </w:p>
    <w:p w:rsidR="00000000" w:rsidRPr="00F71C38" w:rsidP="00F71C38">
      <w:pPr>
        <w:pStyle w:val="Heading1"/>
      </w:pPr>
      <w:bookmarkStart w:id="9" w:name="O_1136662"/>
      <w:bookmarkEnd w:id="9"/>
      <w:r w:rsidRPr="00F71C38">
        <w:t>Modification History</w:t>
      </w:r>
    </w:p>
    <w:tbl>
      <w:tblPr>
        <w:tblW w:w="0" w:type="auto"/>
        <w:tblLayout w:type="fixed"/>
        <w:tblCellMar>
          <w:left w:w="62" w:type="dxa"/>
          <w:right w:w="62" w:type="dxa"/>
        </w:tblCellMar>
        <w:tblLook w:val="0000"/>
      </w:tblPr>
      <w:tblGrid>
        <w:gridCol w:w="1310"/>
        <w:gridCol w:w="7508"/>
      </w:tblGrid>
      <w:tr w:rsidTr="00F71C38">
        <w:tblPrEx>
          <w:tblW w:w="0" w:type="auto"/>
          <w:tblLayout w:type="fixed"/>
          <w:tblCellMar>
            <w:left w:w="62" w:type="dxa"/>
            <w:right w:w="62" w:type="dxa"/>
          </w:tblCellMar>
          <w:tblLook w:val="0000"/>
        </w:tblPrEx>
        <w:trPr>
          <w:trHeight w:val="1084"/>
        </w:trPr>
        <w:tc>
          <w:tcPr>
            <w:tcW w:w="1310" w:type="dxa"/>
            <w:tcBorders>
              <w:top w:val="nil"/>
              <w:left w:val="nil"/>
              <w:bottom w:val="nil"/>
              <w:right w:val="nil"/>
            </w:tcBorders>
            <w:tcMar>
              <w:top w:w="0" w:type="dxa"/>
              <w:left w:w="62" w:type="dxa"/>
              <w:bottom w:w="0" w:type="dxa"/>
              <w:right w:w="62" w:type="dxa"/>
            </w:tcMar>
          </w:tcPr>
          <w:p w:rsidR="00000000" w:rsidP="00F71C38">
            <w:pPr>
              <w:pStyle w:val="BodyText"/>
              <w:rPr>
                <w:lang w:val="en-NZ"/>
              </w:rPr>
            </w:pPr>
            <w:r w:rsidRPr="00F71C38">
              <w:t>Release 1</w:t>
            </w:r>
          </w:p>
        </w:tc>
        <w:tc>
          <w:tcPr>
            <w:tcW w:w="7508" w:type="dxa"/>
            <w:tcBorders>
              <w:top w:val="nil"/>
              <w:left w:val="nil"/>
              <w:bottom w:val="nil"/>
              <w:right w:val="nil"/>
            </w:tcBorders>
            <w:tcMar>
              <w:top w:w="0" w:type="dxa"/>
              <w:left w:w="62" w:type="dxa"/>
              <w:bottom w:w="0" w:type="dxa"/>
              <w:right w:w="62" w:type="dxa"/>
            </w:tcMar>
          </w:tcPr>
          <w:p w:rsidR="00000000" w:rsidRPr="00F71C38" w:rsidP="00F71C38">
            <w:pPr>
              <w:pStyle w:val="BodyText"/>
            </w:pPr>
            <w:r w:rsidRPr="00F71C38">
              <w:t>This version first released with CPC Construction, Plumbing and Services Training Package Release 5.0.</w:t>
            </w:r>
          </w:p>
          <w:p w:rsidR="00000000" w:rsidRPr="00F71C38" w:rsidP="00F71C38">
            <w:pPr>
              <w:pStyle w:val="BodyText"/>
            </w:pPr>
            <w:r w:rsidRPr="00F71C38">
              <w:t>Supersedes and is equivalent to CPCSFS5015A Assess documentation fo</w:t>
            </w:r>
            <w:r w:rsidRPr="00F71C38">
              <w:t>r annual fire systems certification inspections.  Updated to meet the Standards for Training Packages 2012.</w:t>
            </w:r>
          </w:p>
        </w:tc>
      </w:tr>
    </w:tbl>
    <w:p w:rsidR="00000000" w:rsidRPr="00F71C38" w:rsidP="00F71C38">
      <w:pPr>
        <w:pStyle w:val="BodyText"/>
      </w:pPr>
    </w:p>
    <w:p w:rsidR="00000000" w:rsidRPr="00F71C38" w:rsidP="00F71C38">
      <w:pPr>
        <w:pStyle w:val="AllowPageBreak"/>
      </w:pPr>
    </w:p>
    <w:p w:rsidR="00000000" w:rsidRPr="00F71C38" w:rsidP="00F71C38">
      <w:pPr>
        <w:pStyle w:val="Heading1"/>
      </w:pPr>
      <w:bookmarkStart w:id="10" w:name="O_1136665"/>
      <w:bookmarkEnd w:id="10"/>
      <w:r w:rsidRPr="00F71C38">
        <w:t>Performance Evidence</w:t>
      </w:r>
    </w:p>
    <w:p w:rsidR="00000000" w:rsidRPr="00F71C38" w:rsidP="00596110">
      <w:pPr>
        <w:pStyle w:val="BodyText"/>
      </w:pPr>
      <w:r w:rsidRPr="00F71C38">
        <w:t>To demonstrate competency, a candidate must meet the performance criteria of this unit by:</w:t>
      </w:r>
    </w:p>
    <w:p w:rsidR="00000000" w:rsidRPr="00F71C38" w:rsidP="00F71C38">
      <w:pPr>
        <w:pStyle w:val="ListBullet"/>
      </w:pPr>
      <w:r w:rsidRPr="00F71C38">
        <w:t>preparing rele</w:t>
      </w:r>
      <w:r w:rsidRPr="00F71C38">
        <w:t>vant documentation of annual fire systems inspections that apply to existing fire systems in a range of buildings, including:</w:t>
      </w:r>
    </w:p>
    <w:p w:rsidR="00000000" w:rsidRPr="00F71C38" w:rsidP="00F71C38">
      <w:pPr>
        <w:pStyle w:val="ListBullet2"/>
      </w:pPr>
      <w:r w:rsidRPr="00F71C38">
        <w:t>commercial building</w:t>
      </w:r>
    </w:p>
    <w:p w:rsidR="00000000" w:rsidRPr="00F71C38" w:rsidP="00F71C38">
      <w:pPr>
        <w:pStyle w:val="ListBullet2"/>
      </w:pPr>
      <w:r w:rsidRPr="00F71C38">
        <w:t>factory</w:t>
      </w:r>
    </w:p>
    <w:p w:rsidR="00000000" w:rsidRPr="00F71C38" w:rsidP="00F71C38">
      <w:pPr>
        <w:pStyle w:val="ListBullet2"/>
      </w:pPr>
      <w:r w:rsidRPr="00F71C38">
        <w:t>residential nursing home</w:t>
      </w:r>
    </w:p>
    <w:p w:rsidR="00000000" w:rsidRPr="00F71C38" w:rsidP="00F71C38">
      <w:pPr>
        <w:pStyle w:val="ListBullet2"/>
      </w:pPr>
      <w:r w:rsidRPr="00F71C38">
        <w:t>high-rise building.</w:t>
      </w:r>
    </w:p>
    <w:p w:rsidR="00000000" w:rsidRPr="00F71C38" w:rsidP="00596110">
      <w:pPr>
        <w:pStyle w:val="BodyText"/>
      </w:pPr>
      <w:r w:rsidRPr="00F71C38">
        <w:t>The activity should include preparation of fire safety schedules and inspection, testing and maintenance documentation.</w:t>
      </w:r>
    </w:p>
    <w:p w:rsidR="00000000" w:rsidRPr="00F71C38" w:rsidP="00F71C38">
      <w:pPr>
        <w:pStyle w:val="Heading1"/>
      </w:pPr>
      <w:bookmarkStart w:id="11" w:name="O_1136664"/>
      <w:bookmarkEnd w:id="11"/>
      <w:r w:rsidRPr="00F71C38">
        <w:t>Knowledge Evidence</w:t>
      </w:r>
    </w:p>
    <w:p w:rsidR="00000000" w:rsidRPr="00F71C38" w:rsidP="00596110">
      <w:pPr>
        <w:pStyle w:val="BodyText"/>
      </w:pPr>
      <w:r w:rsidRPr="00F71C38">
        <w:t>To be competent in this unit, a candidate must demonstrate knowledge of:</w:t>
      </w:r>
    </w:p>
    <w:p w:rsidR="00000000" w:rsidRPr="00F71C38" w:rsidP="00F71C38">
      <w:pPr>
        <w:pStyle w:val="ListBullet"/>
      </w:pPr>
      <w:r w:rsidRPr="00F71C38">
        <w:t>compliance documentation</w:t>
      </w:r>
      <w:r w:rsidRPr="00F71C38">
        <w:t>:</w:t>
      </w:r>
    </w:p>
    <w:p w:rsidR="00000000" w:rsidRPr="00F71C38" w:rsidP="00F71C38">
      <w:pPr>
        <w:pStyle w:val="ListBullet2"/>
      </w:pPr>
      <w:r w:rsidRPr="00F71C38">
        <w:t>fire safety schedules</w:t>
      </w:r>
    </w:p>
    <w:p w:rsidR="00000000" w:rsidRPr="00F71C38" w:rsidP="00F71C38">
      <w:pPr>
        <w:pStyle w:val="ListBullet2"/>
      </w:pPr>
      <w:r w:rsidRPr="00F71C38">
        <w:t>inspection and testing logbooks</w:t>
      </w:r>
    </w:p>
    <w:p w:rsidR="00000000" w:rsidRPr="00F71C38" w:rsidP="00F71C38">
      <w:pPr>
        <w:pStyle w:val="ListBullet2"/>
      </w:pPr>
      <w:r w:rsidRPr="00F71C38">
        <w:t>maintenance, repair and replacement documentation</w:t>
      </w:r>
    </w:p>
    <w:p w:rsidR="00000000" w:rsidRPr="00F71C38" w:rsidP="00F71C38">
      <w:pPr>
        <w:pStyle w:val="ListBullet"/>
      </w:pPr>
      <w:r w:rsidRPr="00F71C38">
        <w:t>computer software functions and operation, including relevant proprietary software</w:t>
      </w:r>
    </w:p>
    <w:p w:rsidR="00000000" w:rsidRPr="00F71C38" w:rsidP="00F71C38">
      <w:pPr>
        <w:pStyle w:val="ListBullet"/>
      </w:pPr>
      <w:r w:rsidRPr="00F71C38">
        <w:t xml:space="preserve">reading and interpreting drawings and reports </w:t>
      </w:r>
    </w:p>
    <w:p w:rsidR="00000000" w:rsidRPr="00F71C38" w:rsidP="00F71C38">
      <w:pPr>
        <w:pStyle w:val="ListBullet"/>
      </w:pPr>
      <w:r w:rsidRPr="00F71C38">
        <w:t>relevant current and historical legislation, codes and standards:</w:t>
      </w:r>
    </w:p>
    <w:p w:rsidR="00000000" w:rsidRPr="00F71C38" w:rsidP="00F71C38">
      <w:pPr>
        <w:pStyle w:val="ListBullet2"/>
      </w:pPr>
      <w:r w:rsidRPr="00F71C38">
        <w:t>building Acts</w:t>
      </w:r>
    </w:p>
    <w:p w:rsidR="00000000" w:rsidRPr="00F71C38" w:rsidP="00F71C38">
      <w:pPr>
        <w:pStyle w:val="ListBullet2"/>
      </w:pPr>
      <w:r w:rsidRPr="00F71C38">
        <w:t>building regulations</w:t>
      </w:r>
    </w:p>
    <w:p w:rsidR="00000000" w:rsidRPr="00F71C38" w:rsidP="00F71C38">
      <w:pPr>
        <w:pStyle w:val="ListBullet2"/>
      </w:pPr>
      <w:r w:rsidRPr="00F71C38">
        <w:t xml:space="preserve">infrastructure supply regulations </w:t>
      </w:r>
    </w:p>
    <w:p w:rsidR="00000000" w:rsidRPr="00F71C38" w:rsidP="00F71C38">
      <w:pPr>
        <w:pStyle w:val="ListBullet2"/>
      </w:pPr>
      <w:r w:rsidRPr="00F71C38">
        <w:t>the Building Code of Australia (BCA)</w:t>
      </w:r>
    </w:p>
    <w:p w:rsidR="00000000" w:rsidRPr="00F71C38" w:rsidP="00F71C38">
      <w:pPr>
        <w:pStyle w:val="ListBullet2"/>
      </w:pPr>
      <w:r w:rsidRPr="00F71C38">
        <w:t>National Construction Code (NCC)</w:t>
      </w:r>
    </w:p>
    <w:p w:rsidR="00000000" w:rsidRPr="00F71C38" w:rsidP="00F71C38">
      <w:pPr>
        <w:pStyle w:val="ListBullet2"/>
      </w:pPr>
      <w:r w:rsidRPr="00F71C38">
        <w:t>Australian standards for fire systems</w:t>
      </w:r>
    </w:p>
    <w:p w:rsidR="00000000" w:rsidRPr="00F71C38" w:rsidP="00F71C38">
      <w:pPr>
        <w:pStyle w:val="ListBullet2"/>
      </w:pPr>
      <w:r w:rsidRPr="00F71C38">
        <w:t>internation</w:t>
      </w:r>
      <w:r w:rsidRPr="00F71C38">
        <w:t>al standards for fire systems</w:t>
      </w:r>
    </w:p>
    <w:p w:rsidR="00000000" w:rsidRPr="00F71C38" w:rsidP="00F71C38">
      <w:pPr>
        <w:pStyle w:val="ListBullet2"/>
      </w:pPr>
      <w:r w:rsidRPr="00F71C38">
        <w:t xml:space="preserve">jurisdictional authorities in addition to the BCA and NCC </w:t>
      </w:r>
    </w:p>
    <w:p w:rsidR="00000000" w:rsidRPr="00F71C38" w:rsidP="00F71C38">
      <w:pPr>
        <w:pStyle w:val="ListBullet2"/>
      </w:pPr>
      <w:r w:rsidRPr="00F71C38">
        <w:t>other fire system standards commonly required by building insurers</w:t>
      </w:r>
    </w:p>
    <w:p w:rsidR="00000000" w:rsidRPr="00F71C38" w:rsidP="00F71C38">
      <w:pPr>
        <w:pStyle w:val="ListBullet"/>
      </w:pPr>
      <w:r w:rsidRPr="00F71C38">
        <w:t>protection requirements for different buildings, including:</w:t>
      </w:r>
    </w:p>
    <w:p w:rsidR="00000000" w:rsidRPr="00F71C38" w:rsidP="00F71C38">
      <w:pPr>
        <w:pStyle w:val="ListBullet2"/>
      </w:pPr>
      <w:r w:rsidRPr="00F71C38">
        <w:t xml:space="preserve">low-rise buildings </w:t>
      </w:r>
    </w:p>
    <w:p w:rsidR="00000000" w:rsidRPr="00F71C38" w:rsidP="00F71C38">
      <w:pPr>
        <w:pStyle w:val="ListBullet2"/>
      </w:pPr>
      <w:r w:rsidRPr="00F71C38">
        <w:t>processing building applications</w:t>
      </w:r>
    </w:p>
    <w:p w:rsidR="00000000" w:rsidRPr="00F71C38" w:rsidP="00F71C38">
      <w:pPr>
        <w:pStyle w:val="ListBullet2"/>
      </w:pPr>
      <w:r w:rsidRPr="00F71C38">
        <w:t>warehouse buildings under 13.7 m high</w:t>
      </w:r>
    </w:p>
    <w:p w:rsidR="00000000" w:rsidRPr="00F71C38" w:rsidP="00F71C38">
      <w:pPr>
        <w:pStyle w:val="ListBullet2"/>
      </w:pPr>
      <w:r w:rsidRPr="00F71C38">
        <w:t>warehouse buildings over 13.7 m high</w:t>
      </w:r>
    </w:p>
    <w:p w:rsidR="00000000" w:rsidRPr="00F71C38" w:rsidP="00F71C38">
      <w:pPr>
        <w:pStyle w:val="ListBullet2"/>
      </w:pPr>
      <w:r w:rsidRPr="00F71C38">
        <w:t>medium-rise buildings</w:t>
      </w:r>
    </w:p>
    <w:p w:rsidR="00000000" w:rsidRPr="00F71C38" w:rsidP="00F71C38">
      <w:pPr>
        <w:pStyle w:val="ListBullet2"/>
      </w:pPr>
      <w:r w:rsidRPr="00F71C38">
        <w:t>high-rise buildings (over 25 metres)</w:t>
      </w:r>
    </w:p>
    <w:p w:rsidR="00000000" w:rsidRPr="00F71C38" w:rsidP="00F71C38">
      <w:pPr>
        <w:pStyle w:val="ListBullet2"/>
      </w:pPr>
      <w:r w:rsidRPr="00F71C38">
        <w:t>buildings over 50 metres in height</w:t>
      </w:r>
    </w:p>
    <w:p w:rsidR="00000000" w:rsidRPr="00F71C38" w:rsidP="00F71C38">
      <w:pPr>
        <w:pStyle w:val="ListBullet"/>
      </w:pPr>
      <w:r w:rsidRPr="00F71C38">
        <w:t>fire systems</w:t>
      </w:r>
      <w:r>
        <w:t>’</w:t>
      </w:r>
      <w:r w:rsidRPr="00F71C38">
        <w:t xml:space="preserve"> technology and components:</w:t>
      </w:r>
    </w:p>
    <w:p w:rsidR="00000000" w:rsidRPr="00F71C38" w:rsidP="00F71C38">
      <w:pPr>
        <w:pStyle w:val="ListBullet2"/>
      </w:pPr>
      <w:r w:rsidRPr="00F71C38">
        <w:t>water-based</w:t>
      </w:r>
      <w:r w:rsidRPr="00F71C38">
        <w:t xml:space="preserve"> systems:</w:t>
      </w:r>
    </w:p>
    <w:p w:rsidR="00000000" w:rsidRPr="00F71C38" w:rsidP="00F71C38">
      <w:pPr>
        <w:pStyle w:val="ListBullet3"/>
      </w:pPr>
      <w:r w:rsidRPr="00F71C38">
        <w:t>wet pipe sprinkler systems</w:t>
      </w:r>
    </w:p>
    <w:p w:rsidR="00000000" w:rsidRPr="00F71C38" w:rsidP="00F71C38">
      <w:pPr>
        <w:pStyle w:val="ListBullet3"/>
      </w:pPr>
      <w:r w:rsidRPr="00F71C38">
        <w:t xml:space="preserve">deluge and drencher systems </w:t>
      </w:r>
    </w:p>
    <w:p w:rsidR="00000000" w:rsidRPr="00F71C38" w:rsidP="00F71C38">
      <w:pPr>
        <w:pStyle w:val="ListBullet3"/>
      </w:pPr>
      <w:r w:rsidRPr="00F71C38">
        <w:t>dry pipe sprinkler systems</w:t>
      </w:r>
    </w:p>
    <w:p w:rsidR="00000000" w:rsidRPr="00F71C38" w:rsidP="00F71C38">
      <w:pPr>
        <w:pStyle w:val="ListBullet3"/>
      </w:pPr>
      <w:r w:rsidRPr="00F71C38">
        <w:t>pre-action sprinkler systems</w:t>
      </w:r>
    </w:p>
    <w:p w:rsidR="00000000" w:rsidRPr="00F71C38" w:rsidP="00F71C38">
      <w:pPr>
        <w:pStyle w:val="ListBullet3"/>
      </w:pPr>
      <w:r w:rsidRPr="00F71C38">
        <w:t>early suppression fast response (ESFR)</w:t>
      </w:r>
    </w:p>
    <w:p w:rsidR="00000000" w:rsidRPr="00F71C38" w:rsidP="00F71C38">
      <w:pPr>
        <w:pStyle w:val="ListBullet2"/>
      </w:pPr>
      <w:r w:rsidRPr="00F71C38">
        <w:t>hydrants, hose reels and monitors</w:t>
      </w:r>
    </w:p>
    <w:p w:rsidR="00000000" w:rsidRPr="00F71C38" w:rsidP="00F71C38">
      <w:pPr>
        <w:pStyle w:val="ListBullet2"/>
      </w:pPr>
      <w:r w:rsidRPr="00F71C38">
        <w:t>water supply tanks</w:t>
      </w:r>
    </w:p>
    <w:p w:rsidR="00000000" w:rsidRPr="00F71C38" w:rsidP="00F71C38">
      <w:pPr>
        <w:pStyle w:val="ListBullet2"/>
      </w:pPr>
      <w:r w:rsidRPr="00F71C38">
        <w:t>fire pump sets</w:t>
      </w:r>
    </w:p>
    <w:p w:rsidR="00000000" w:rsidRPr="00F71C38" w:rsidP="00F71C38">
      <w:pPr>
        <w:pStyle w:val="ListBullet2"/>
      </w:pPr>
      <w:r w:rsidRPr="00F71C38">
        <w:t>detection and warning systems:</w:t>
      </w:r>
    </w:p>
    <w:p w:rsidR="00000000" w:rsidRPr="00F71C38" w:rsidP="00F71C38">
      <w:pPr>
        <w:pStyle w:val="ListBullet3"/>
      </w:pPr>
      <w:r w:rsidRPr="00F71C38">
        <w:t>occupant warning systems</w:t>
      </w:r>
    </w:p>
    <w:p w:rsidR="00000000" w:rsidRPr="00F71C38" w:rsidP="00F71C38">
      <w:pPr>
        <w:pStyle w:val="ListBullet3"/>
      </w:pPr>
      <w:r w:rsidRPr="00F71C38">
        <w:t>emergency warning and intercommunications systems (EWIS)</w:t>
      </w:r>
    </w:p>
    <w:p w:rsidR="00000000" w:rsidRPr="00F71C38" w:rsidP="00F71C38">
      <w:pPr>
        <w:pStyle w:val="ListBullet3"/>
      </w:pPr>
      <w:r w:rsidRPr="00F71C38">
        <w:t>fire detection and alarm systems</w:t>
      </w:r>
    </w:p>
    <w:p w:rsidR="00000000" w:rsidRPr="00F71C38" w:rsidP="00F71C38">
      <w:pPr>
        <w:pStyle w:val="ListBullet3"/>
      </w:pPr>
      <w:r w:rsidRPr="00F71C38">
        <w:t>smoke control systems</w:t>
      </w:r>
    </w:p>
    <w:p w:rsidR="00000000" w:rsidRPr="00F71C38" w:rsidP="00F71C38">
      <w:pPr>
        <w:pStyle w:val="ListBullet3"/>
      </w:pPr>
      <w:r w:rsidRPr="00F71C38">
        <w:t>emergency lighting systems</w:t>
      </w:r>
    </w:p>
    <w:p w:rsidR="00000000" w:rsidRPr="00F71C38" w:rsidP="00F71C38">
      <w:pPr>
        <w:pStyle w:val="ListBullet2"/>
      </w:pPr>
      <w:r w:rsidRPr="00F71C38">
        <w:t>special hazard fire systems:</w:t>
      </w:r>
    </w:p>
    <w:p w:rsidR="00000000" w:rsidRPr="00F71C38" w:rsidP="00F71C38">
      <w:pPr>
        <w:pStyle w:val="ListBullet2"/>
      </w:pPr>
      <w:r w:rsidRPr="00F71C38">
        <w:t>foam systems (low expansion, medium expansion and high expansion)</w:t>
      </w:r>
    </w:p>
    <w:p w:rsidR="00000000" w:rsidRPr="00F71C38" w:rsidP="00F71C38">
      <w:pPr>
        <w:pStyle w:val="ListBullet2"/>
      </w:pPr>
      <w:r w:rsidRPr="00F71C38">
        <w:t>gaseous agent systems (carbon dioxide, inert gas and halocarbon gases)</w:t>
      </w:r>
    </w:p>
    <w:p w:rsidR="00000000" w:rsidRPr="00F71C38" w:rsidP="00F71C38">
      <w:pPr>
        <w:pStyle w:val="ListBullet2"/>
      </w:pPr>
      <w:r w:rsidRPr="00F71C38">
        <w:t>water spray systems (deluge, medium/high velocity water spray and high-speed deluge)</w:t>
      </w:r>
    </w:p>
    <w:p w:rsidR="00000000" w:rsidRPr="00F71C38" w:rsidP="00F71C38">
      <w:pPr>
        <w:pStyle w:val="ListBullet2"/>
      </w:pPr>
      <w:r w:rsidRPr="00F71C38">
        <w:t>chemical powder systems</w:t>
      </w:r>
    </w:p>
    <w:p w:rsidR="00000000" w:rsidRPr="00F71C38" w:rsidP="00F71C38">
      <w:pPr>
        <w:pStyle w:val="ListBullet2"/>
      </w:pPr>
      <w:r w:rsidRPr="00F71C38">
        <w:t>wet chemic</w:t>
      </w:r>
      <w:r w:rsidRPr="00F71C38">
        <w:t>al systems</w:t>
      </w:r>
    </w:p>
    <w:p w:rsidR="00000000" w:rsidRPr="00F71C38" w:rsidP="00F71C38">
      <w:pPr>
        <w:pStyle w:val="ListBullet"/>
      </w:pPr>
      <w:r w:rsidRPr="00F71C38">
        <w:t>characteristics and limitations of products and materials used in fire systems and issues relating to material compatibility</w:t>
      </w:r>
    </w:p>
    <w:p w:rsidR="00000000" w:rsidRPr="00F71C38" w:rsidP="00F71C38">
      <w:pPr>
        <w:pStyle w:val="ListBullet"/>
      </w:pPr>
      <w:r w:rsidRPr="00F71C38">
        <w:t>interconnection of fire systems:</w:t>
      </w:r>
    </w:p>
    <w:p w:rsidR="00000000" w:rsidRPr="00F71C38" w:rsidP="00F71C38">
      <w:pPr>
        <w:pStyle w:val="ListBullet2"/>
      </w:pPr>
      <w:r w:rsidRPr="00F71C38">
        <w:t>cause and effect matrix</w:t>
      </w:r>
    </w:p>
    <w:p w:rsidR="00000000" w:rsidRPr="00F71C38" w:rsidP="00F71C38">
      <w:pPr>
        <w:pStyle w:val="ListBullet2"/>
      </w:pPr>
      <w:r w:rsidRPr="00F71C38">
        <w:t>interface with other services</w:t>
      </w:r>
    </w:p>
    <w:p w:rsidR="00000000" w:rsidRPr="00F71C38" w:rsidP="00F71C38">
      <w:pPr>
        <w:pStyle w:val="ListBullet"/>
      </w:pPr>
      <w:r w:rsidRPr="00F71C38">
        <w:t>passive fire safety elements:</w:t>
      </w:r>
    </w:p>
    <w:p w:rsidR="00000000" w:rsidRPr="00F71C38" w:rsidP="00F71C38">
      <w:pPr>
        <w:pStyle w:val="ListBullet2"/>
      </w:pPr>
      <w:r w:rsidRPr="00F71C38">
        <w:t>identification of passive elements</w:t>
      </w:r>
    </w:p>
    <w:p w:rsidR="00000000" w:rsidRPr="00F71C38" w:rsidP="00F71C38">
      <w:pPr>
        <w:pStyle w:val="ListBullet2"/>
      </w:pPr>
      <w:r w:rsidRPr="00F71C38">
        <w:t>requirements for safeguarding the integrity of passive fire element performance where penetrations have been made</w:t>
      </w:r>
    </w:p>
    <w:p w:rsidR="00000000" w:rsidRPr="00F71C38" w:rsidP="00F71C38">
      <w:pPr>
        <w:pStyle w:val="ListBullet"/>
      </w:pPr>
      <w:r w:rsidRPr="00F71C38">
        <w:t>basic principles of structural engineering</w:t>
      </w:r>
    </w:p>
    <w:p w:rsidR="00000000" w:rsidRPr="00F71C38" w:rsidP="00F71C38">
      <w:pPr>
        <w:pStyle w:val="ListBullet"/>
      </w:pPr>
      <w:r w:rsidRPr="00F71C38">
        <w:t xml:space="preserve">characteristics of building materials </w:t>
      </w:r>
    </w:p>
    <w:p w:rsidR="00000000" w:rsidRPr="00F71C38" w:rsidP="00F71C38">
      <w:pPr>
        <w:pStyle w:val="ListBullet"/>
      </w:pPr>
      <w:r w:rsidRPr="00F71C38">
        <w:t>construction industry terminology</w:t>
      </w:r>
    </w:p>
    <w:p w:rsidR="00000000" w:rsidRPr="00F71C38" w:rsidP="00F71C38">
      <w:pPr>
        <w:pStyle w:val="ListBullet"/>
      </w:pPr>
      <w:r w:rsidRPr="00F71C38">
        <w:t>sustainability requirements and ratings:</w:t>
      </w:r>
    </w:p>
    <w:p w:rsidR="00000000" w:rsidRPr="00F71C38" w:rsidP="00F71C38">
      <w:pPr>
        <w:pStyle w:val="ListBullet2"/>
      </w:pPr>
      <w:r w:rsidRPr="00F71C38">
        <w:t>energy conservation</w:t>
      </w:r>
    </w:p>
    <w:p w:rsidR="00000000" w:rsidRPr="00F71C38" w:rsidP="00F71C38">
      <w:pPr>
        <w:pStyle w:val="ListBullet2"/>
      </w:pPr>
      <w:r w:rsidRPr="00F71C38">
        <w:t>water conservation.</w:t>
      </w:r>
    </w:p>
    <w:p w:rsidR="00000000" w:rsidRPr="00F71C38" w:rsidP="00F71C38">
      <w:pPr>
        <w:pStyle w:val="AllowPageBreak"/>
      </w:pPr>
    </w:p>
    <w:p w:rsidR="00000000" w:rsidRPr="00F71C38" w:rsidP="00F71C38">
      <w:pPr>
        <w:pStyle w:val="Heading1"/>
      </w:pPr>
      <w:bookmarkStart w:id="12" w:name="O_1136663"/>
      <w:bookmarkEnd w:id="12"/>
      <w:r w:rsidRPr="00F71C38">
        <w:t>Assessment Conditions</w:t>
      </w:r>
    </w:p>
    <w:p w:rsidR="00000000" w:rsidRPr="00F71C38" w:rsidP="00596110">
      <w:pPr>
        <w:pStyle w:val="BodyText"/>
      </w:pPr>
      <w:r w:rsidRPr="00F71C38">
        <w:t>Assessors must meet the requirements for assessors contained in the Standards for Registered Traini</w:t>
      </w:r>
      <w:r w:rsidRPr="00F71C38">
        <w:t>ng Organisations.</w:t>
      </w:r>
    </w:p>
    <w:p w:rsidR="00000000" w:rsidRPr="00F71C38" w:rsidP="00596110">
      <w:pPr>
        <w:pStyle w:val="BodyText"/>
      </w:pPr>
      <w:r w:rsidRPr="00F71C38">
        <w:t>This unit must be assessed in the workplace or a close simulation using realistic workplace conditions, materials, activities, responsibilities, procedures, safety requirements and environmental considerations.</w:t>
      </w:r>
    </w:p>
    <w:p w:rsidR="00000000" w:rsidRPr="00F71C38" w:rsidP="00F71C38">
      <w:pPr>
        <w:pStyle w:val="Heading1"/>
      </w:pPr>
      <w:bookmarkStart w:id="13" w:name="O_1136661"/>
      <w:bookmarkEnd w:id="13"/>
      <w:r w:rsidRPr="00F71C38">
        <w:t>Links</w:t>
      </w:r>
    </w:p>
    <w:p w:rsidR="00000000" w:rsidRPr="00F71C38" w:rsidP="00596110">
      <w:pPr>
        <w:pStyle w:val="BodyText"/>
      </w:pPr>
      <w:r w:rsidRPr="00F71C38">
        <w:t>Co</w:t>
      </w:r>
      <w:r w:rsidRPr="00F71C38">
        <w:t xml:space="preserve">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4C590E">
        <w:rPr>
          <w:rStyle w:val="Hyperlink"/>
        </w:rPr>
        <w:t>https://vetnet.gov.au/Pages/TrainingDocs.aspx?q=7e15fa6a-68b8-4097-b099-030a5569b1ad</w:t>
      </w:r>
      <w:r>
        <w:fldChar w:fldCharType="end"/>
      </w:r>
    </w:p>
    <w:p w:rsidR="00000000" w:rsidRPr="00F71C38" w:rsidP="00F71C38"/>
    <w:sectPr w:rsidSect="00F71C3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C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C38" w:rsidRPr="00596110" w:rsidP="005961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C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110" w:rsidP="00F71C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96110" w:rsidP="00F71C3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596110" w:rsidP="00F71C3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C38" w:rsidP="00F71C38">
    <w:pPr>
      <w:pStyle w:val="Footer"/>
      <w:framePr w:wrap="around"/>
    </w:pPr>
    <w:r>
      <w:fldChar w:fldCharType="begin"/>
    </w:r>
    <w:r>
      <w:instrText xml:space="preserve"> DOCPROPERTY  Subject  \* MERGEFORMAT </w:instrText>
    </w:r>
    <w:r>
      <w:fldChar w:fldCharType="separate"/>
    </w:r>
    <w:r w:rsidR="00596110">
      <w:t>Approved</w:t>
    </w:r>
    <w:r w:rsidR="00596110">
      <w:fldChar w:fldCharType="end"/>
    </w:r>
    <w:r>
      <w:tab/>
      <w:t xml:space="preserve">Page </w:t>
    </w:r>
    <w:r>
      <w:fldChar w:fldCharType="begin"/>
    </w:r>
    <w:r>
      <w:instrText xml:space="preserve"> PAGE  \* Arabic  \* MERGEFORMAT </w:instrText>
    </w:r>
    <w:r>
      <w:fldChar w:fldCharType="separate"/>
    </w:r>
    <w:r w:rsidR="0059611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96110">
      <w:rPr>
        <w:noProof/>
      </w:rPr>
      <w:t>5</w:t>
    </w:r>
    <w:r>
      <w:rPr>
        <w:noProof/>
      </w:rPr>
      <w:fldChar w:fldCharType="end"/>
    </w:r>
  </w:p>
  <w:p w:rsidR="00F71C38" w:rsidP="00F71C38">
    <w:pPr>
      <w:pStyle w:val="Footer"/>
      <w:framePr w:wrap="around"/>
    </w:pPr>
    <w:r>
      <w:t xml:space="preserve">© Commonwealth of Australia, </w:t>
    </w:r>
    <w:r>
      <w:fldChar w:fldCharType="begin"/>
    </w:r>
    <w:r>
      <w:instrText xml:space="preserve"> DATE  \@ "yyyy"  \* MERGEFORMAT </w:instrText>
    </w:r>
    <w:r>
      <w:fldChar w:fldCharType="separate"/>
    </w:r>
    <w:r w:rsidR="00596110">
      <w:rPr>
        <w:noProof/>
      </w:rPr>
      <w:t>2025</w:t>
    </w:r>
    <w:r>
      <w:fldChar w:fldCharType="end"/>
    </w:r>
    <w:r>
      <w:tab/>
    </w:r>
    <w:r>
      <w:fldChar w:fldCharType="begin"/>
    </w:r>
    <w:r>
      <w:instrText xml:space="preserve"> DOCPROPERTY  Author  \* MERGEFORMAT </w:instrText>
    </w:r>
    <w:r>
      <w:fldChar w:fldCharType="separate"/>
    </w:r>
    <w:r w:rsidR="00596110">
      <w:t>BuildSkills Australia</w:t>
    </w:r>
    <w:r w:rsidR="00596110">
      <w:fldChar w:fldCharType="end"/>
    </w:r>
  </w:p>
  <w:p w:rsidR="00F71C38" w:rsidP="00F71C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C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1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1C38" w:rsidRPr="00596110" w:rsidP="005961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C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110" w:rsidRPr="002D2AF8" w:rsidP="00F71C38">
    <w:pPr>
      <w:pStyle w:val="Header"/>
      <w:framePr w:wrap="around"/>
    </w:pPr>
    <w:r>
      <w:fldChar w:fldCharType="begin"/>
    </w:r>
    <w:r>
      <w:instrText xml:space="preserve"> TITLE   \* MERGEFORMAT </w:instrText>
    </w:r>
    <w:r>
      <w:fldChar w:fldCharType="separate"/>
    </w:r>
    <w:r>
      <w:t>CPCSFS5015 Prepare documentation for annual fire systems inspections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96110" w:rsidP="00F71C3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C38" w:rsidRPr="002D2AF8" w:rsidP="00F71C38">
    <w:pPr>
      <w:pStyle w:val="Header"/>
      <w:framePr w:wrap="around"/>
    </w:pPr>
    <w:r>
      <w:fldChar w:fldCharType="begin"/>
    </w:r>
    <w:r>
      <w:instrText xml:space="preserve"> TITLE   \* MERGEFORMAT </w:instrText>
    </w:r>
    <w:r>
      <w:fldChar w:fldCharType="separate"/>
    </w:r>
    <w:r w:rsidR="00596110">
      <w:t>CPCSFS5015 Prepare documentation for annual fire systems inspections</w:t>
    </w:r>
    <w:r w:rsidR="00596110">
      <w:fldChar w:fldCharType="end"/>
    </w:r>
    <w:r>
      <w:tab/>
      <w:t xml:space="preserve">Date this document was generated: </w:t>
    </w:r>
    <w:r>
      <w:fldChar w:fldCharType="begin"/>
    </w:r>
    <w:r>
      <w:instrText xml:space="preserve"> CREATEDATE  \@ "d MMMM yyyy"  \* MERGEFORMAT </w:instrText>
    </w:r>
    <w:r>
      <w:fldChar w:fldCharType="separate"/>
    </w:r>
    <w:r w:rsidR="00596110">
      <w:rPr>
        <w:noProof/>
      </w:rPr>
      <w:t>1 March 2025</w:t>
    </w:r>
    <w:r>
      <w:fldChar w:fldCharType="end"/>
    </w:r>
  </w:p>
  <w:p w:rsidR="00F71C38" w:rsidP="00F71C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F49A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703B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4046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1C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1C38"/>
    <w:pPr>
      <w:spacing w:before="360" w:after="60"/>
      <w:outlineLvl w:val="0"/>
    </w:pPr>
    <w:rPr>
      <w:sz w:val="32"/>
    </w:rPr>
  </w:style>
  <w:style w:type="paragraph" w:styleId="Heading2">
    <w:name w:val="heading 2"/>
    <w:basedOn w:val="HeadingBase"/>
    <w:next w:val="BodyText"/>
    <w:link w:val="Heading2Char"/>
    <w:qFormat/>
    <w:rsid w:val="00F71C38"/>
    <w:pPr>
      <w:keepLines/>
      <w:spacing w:before="240" w:after="120"/>
      <w:outlineLvl w:val="1"/>
    </w:pPr>
    <w:rPr>
      <w:sz w:val="28"/>
      <w:szCs w:val="40"/>
    </w:rPr>
  </w:style>
  <w:style w:type="paragraph" w:styleId="Heading3">
    <w:name w:val="heading 3"/>
    <w:basedOn w:val="HeadingBase"/>
    <w:next w:val="BodyText"/>
    <w:link w:val="Heading3Char"/>
    <w:qFormat/>
    <w:rsid w:val="00F71C38"/>
    <w:pPr>
      <w:spacing w:before="180" w:after="120"/>
      <w:outlineLvl w:val="2"/>
    </w:pPr>
    <w:rPr>
      <w:spacing w:val="-10"/>
      <w:kern w:val="32"/>
    </w:rPr>
  </w:style>
  <w:style w:type="paragraph" w:styleId="Heading4">
    <w:name w:val="heading 4"/>
    <w:basedOn w:val="HeadingBase"/>
    <w:next w:val="BodyText"/>
    <w:link w:val="Heading4Char"/>
    <w:qFormat/>
    <w:rsid w:val="00F71C38"/>
    <w:pPr>
      <w:spacing w:before="160" w:after="120"/>
      <w:outlineLvl w:val="3"/>
    </w:pPr>
    <w:rPr>
      <w:sz w:val="22"/>
    </w:rPr>
  </w:style>
  <w:style w:type="paragraph" w:styleId="Heading5">
    <w:name w:val="heading 5"/>
    <w:basedOn w:val="HeadingBase"/>
    <w:next w:val="Normal"/>
    <w:link w:val="Heading5Char"/>
    <w:qFormat/>
    <w:rsid w:val="00F71C38"/>
    <w:pPr>
      <w:spacing w:before="80"/>
      <w:outlineLvl w:val="4"/>
    </w:pPr>
    <w:rPr>
      <w:color w:val="918585"/>
      <w:sz w:val="20"/>
    </w:rPr>
  </w:style>
  <w:style w:type="paragraph" w:styleId="Heading6">
    <w:name w:val="heading 6"/>
    <w:basedOn w:val="HeadingBase"/>
    <w:next w:val="Normal"/>
    <w:link w:val="Heading6Char"/>
    <w:qFormat/>
    <w:rsid w:val="00F71C38"/>
    <w:pPr>
      <w:spacing w:before="60"/>
      <w:outlineLvl w:val="5"/>
    </w:pPr>
    <w:rPr>
      <w:color w:val="918585"/>
      <w:sz w:val="20"/>
    </w:rPr>
  </w:style>
  <w:style w:type="paragraph" w:styleId="Heading7">
    <w:name w:val="heading 7"/>
    <w:basedOn w:val="Normal"/>
    <w:next w:val="Normal"/>
    <w:link w:val="Heading7Char"/>
    <w:qFormat/>
    <w:rsid w:val="00F71C38"/>
    <w:pPr>
      <w:ind w:left="720"/>
      <w:outlineLvl w:val="6"/>
    </w:pPr>
    <w:rPr>
      <w:i/>
    </w:rPr>
  </w:style>
  <w:style w:type="paragraph" w:styleId="Heading8">
    <w:name w:val="heading 8"/>
    <w:basedOn w:val="Normal"/>
    <w:next w:val="Normal"/>
    <w:link w:val="Heading8Char"/>
    <w:qFormat/>
    <w:rsid w:val="00F71C38"/>
    <w:pPr>
      <w:ind w:left="720"/>
      <w:outlineLvl w:val="7"/>
    </w:pPr>
    <w:rPr>
      <w:i/>
    </w:rPr>
  </w:style>
  <w:style w:type="paragraph" w:styleId="Heading9">
    <w:name w:val="heading 9"/>
    <w:basedOn w:val="Normal"/>
    <w:next w:val="Normal"/>
    <w:link w:val="Heading9Char"/>
    <w:qFormat/>
    <w:rsid w:val="00F71C38"/>
    <w:pPr>
      <w:ind w:left="720"/>
      <w:outlineLvl w:val="8"/>
    </w:pPr>
    <w:rPr>
      <w:i/>
    </w:rPr>
  </w:style>
  <w:style w:type="character" w:default="1" w:styleId="DefaultParagraphFont">
    <w:name w:val="Default Paragraph Font"/>
    <w:uiPriority w:val="1"/>
    <w:unhideWhenUsed/>
    <w:rsid w:val="00F71C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1C38"/>
  </w:style>
  <w:style w:type="character" w:customStyle="1" w:styleId="Heading1Char">
    <w:name w:val="Heading 1 Char"/>
    <w:basedOn w:val="DefaultParagraphFont"/>
    <w:link w:val="Heading1"/>
    <w:rsid w:val="00F71C38"/>
    <w:rPr>
      <w:rFonts w:ascii="Times New Roman" w:eastAsia="Times New Roman" w:hAnsi="Times New Roman" w:cs="Times New Roman"/>
      <w:b/>
      <w:sz w:val="32"/>
      <w:szCs w:val="20"/>
      <w:lang w:eastAsia="en-US"/>
    </w:rPr>
  </w:style>
  <w:style w:type="paragraph" w:styleId="BodyText">
    <w:name w:val="Body Text"/>
    <w:basedOn w:val="Normal"/>
    <w:link w:val="BodyTextChar"/>
    <w:rsid w:val="00F71C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1C38"/>
    <w:rPr>
      <w:rFonts w:ascii="Times New Roman" w:eastAsia="Times New Roman" w:hAnsi="Times New Roman" w:cs="Times New Roman"/>
      <w:sz w:val="24"/>
      <w:lang w:eastAsia="en-US"/>
    </w:rPr>
  </w:style>
  <w:style w:type="paragraph" w:styleId="ListBullet">
    <w:name w:val="List Bullet"/>
    <w:basedOn w:val="List"/>
    <w:rsid w:val="00F71C38"/>
    <w:pPr>
      <w:numPr>
        <w:numId w:val="13"/>
      </w:numPr>
      <w:tabs>
        <w:tab w:val="clear" w:pos="340"/>
      </w:tabs>
      <w:spacing w:before="40" w:after="40"/>
    </w:pPr>
  </w:style>
  <w:style w:type="paragraph" w:styleId="ListBullet2">
    <w:name w:val="List Bullet 2"/>
    <w:basedOn w:val="List2"/>
    <w:rsid w:val="00F71C38"/>
    <w:pPr>
      <w:numPr>
        <w:numId w:val="14"/>
      </w:numPr>
      <w:tabs>
        <w:tab w:val="clear" w:pos="680"/>
      </w:tabs>
    </w:pPr>
  </w:style>
  <w:style w:type="paragraph" w:customStyle="1" w:styleId="SuperHeading">
    <w:name w:val="SuperHeading"/>
    <w:basedOn w:val="Normal"/>
    <w:rsid w:val="00F71C38"/>
    <w:pPr>
      <w:spacing w:before="240" w:after="120"/>
      <w:outlineLvl w:val="0"/>
    </w:pPr>
    <w:rPr>
      <w:rFonts w:ascii="Times New Roman" w:hAnsi="Times New Roman"/>
      <w:b/>
      <w:sz w:val="32"/>
    </w:rPr>
  </w:style>
  <w:style w:type="paragraph" w:customStyle="1" w:styleId="AllowPageBreak">
    <w:name w:val="AllowPageBreak"/>
    <w:rsid w:val="00F71C3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71C38"/>
    <w:pPr>
      <w:numPr>
        <w:numId w:val="3"/>
      </w:numPr>
      <w:tabs>
        <w:tab w:val="clear" w:pos="1021"/>
      </w:tabs>
      <w:ind w:left="1037" w:hanging="357"/>
    </w:pPr>
  </w:style>
  <w:style w:type="character" w:customStyle="1" w:styleId="Heading2Char">
    <w:name w:val="Heading 2 Char"/>
    <w:basedOn w:val="DefaultParagraphFont"/>
    <w:link w:val="Heading2"/>
    <w:rsid w:val="00F71C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1C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1C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1C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1C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1C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1C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1C38"/>
    <w:rPr>
      <w:rFonts w:ascii="Courier New" w:eastAsia="Times New Roman" w:hAnsi="Courier New" w:cs="Times New Roman"/>
      <w:i/>
      <w:szCs w:val="20"/>
      <w:lang w:eastAsia="en-US"/>
    </w:rPr>
  </w:style>
  <w:style w:type="paragraph" w:customStyle="1" w:styleId="HeadingBase">
    <w:name w:val="Heading Base"/>
    <w:rsid w:val="00F71C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1C38"/>
    <w:pPr>
      <w:tabs>
        <w:tab w:val="right" w:leader="dot" w:pos="9072"/>
      </w:tabs>
      <w:ind w:left="567"/>
    </w:pPr>
    <w:rPr>
      <w:szCs w:val="22"/>
    </w:rPr>
  </w:style>
  <w:style w:type="paragraph" w:customStyle="1" w:styleId="TOCBase">
    <w:name w:val="TOC Base"/>
    <w:rsid w:val="00F71C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1C38"/>
    <w:pPr>
      <w:tabs>
        <w:tab w:val="right" w:leader="dot" w:pos="9072"/>
      </w:tabs>
      <w:spacing w:before="40" w:after="40"/>
      <w:ind w:left="284"/>
    </w:pPr>
    <w:rPr>
      <w:rFonts w:ascii="Times New Roman" w:hAnsi="Times New Roman"/>
    </w:rPr>
  </w:style>
  <w:style w:type="paragraph" w:styleId="TOC1">
    <w:name w:val="toc 1"/>
    <w:basedOn w:val="TOCBase"/>
    <w:next w:val="Normal"/>
    <w:rsid w:val="00F71C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1C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1C38"/>
    <w:rPr>
      <w:rFonts w:ascii="Times New Roman" w:eastAsia="Times New Roman" w:hAnsi="Times New Roman" w:cs="Times New Roman"/>
      <w:sz w:val="16"/>
      <w:lang w:eastAsia="en-US"/>
    </w:rPr>
  </w:style>
  <w:style w:type="paragraph" w:styleId="Title">
    <w:name w:val="Title"/>
    <w:basedOn w:val="HeadingBase"/>
    <w:link w:val="TitleChar"/>
    <w:qFormat/>
    <w:rsid w:val="00F71C38"/>
    <w:pPr>
      <w:spacing w:before="5040"/>
      <w:jc w:val="center"/>
    </w:pPr>
    <w:rPr>
      <w:sz w:val="48"/>
      <w:szCs w:val="72"/>
      <w:lang w:val="en-US"/>
    </w:rPr>
  </w:style>
  <w:style w:type="character" w:customStyle="1" w:styleId="TitleChar">
    <w:name w:val="Title Char"/>
    <w:basedOn w:val="DefaultParagraphFont"/>
    <w:link w:val="Title"/>
    <w:rsid w:val="00F71C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1C38"/>
    <w:pPr>
      <w:tabs>
        <w:tab w:val="left" w:pos="3600"/>
        <w:tab w:val="left" w:pos="3958"/>
      </w:tabs>
    </w:pPr>
  </w:style>
  <w:style w:type="paragraph" w:styleId="List">
    <w:name w:val="List"/>
    <w:basedOn w:val="BodyText"/>
    <w:next w:val="BodyText"/>
    <w:rsid w:val="00F71C38"/>
    <w:pPr>
      <w:tabs>
        <w:tab w:val="left" w:pos="340"/>
      </w:tabs>
      <w:spacing w:before="60" w:after="60"/>
      <w:ind w:left="340" w:hanging="340"/>
    </w:pPr>
  </w:style>
  <w:style w:type="paragraph" w:customStyle="1" w:styleId="Note">
    <w:name w:val="Note"/>
    <w:basedOn w:val="BodyText"/>
    <w:rsid w:val="00F71C3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71C38"/>
    <w:rPr>
      <w:b/>
      <w:spacing w:val="0"/>
    </w:rPr>
  </w:style>
  <w:style w:type="paragraph" w:customStyle="1" w:styleId="SuperTitle">
    <w:name w:val="SuperTitle"/>
    <w:basedOn w:val="Title"/>
    <w:rsid w:val="00F71C38"/>
    <w:pPr>
      <w:framePr w:wrap="auto" w:hAnchor="text" w:y="6049"/>
    </w:pPr>
    <w:rPr>
      <w:color w:val="000000"/>
      <w:sz w:val="40"/>
    </w:rPr>
  </w:style>
  <w:style w:type="paragraph" w:customStyle="1" w:styleId="TOCTitle">
    <w:name w:val="TOCTitle"/>
    <w:basedOn w:val="Heading1"/>
    <w:rsid w:val="00F71C38"/>
    <w:pPr>
      <w:spacing w:after="240"/>
      <w:jc w:val="center"/>
      <w:outlineLvl w:val="9"/>
    </w:pPr>
    <w:rPr>
      <w:caps/>
    </w:rPr>
  </w:style>
  <w:style w:type="paragraph" w:customStyle="1" w:styleId="Version">
    <w:name w:val="Version"/>
    <w:rsid w:val="00F71C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1C38"/>
    <w:pPr>
      <w:keepNext w:val="0"/>
      <w:tabs>
        <w:tab w:val="right" w:pos="4176"/>
      </w:tabs>
      <w:ind w:left="198" w:hanging="198"/>
    </w:pPr>
    <w:rPr>
      <w:rFonts w:ascii="Garamond" w:hAnsi="Garamond"/>
    </w:rPr>
  </w:style>
  <w:style w:type="paragraph" w:styleId="IndexHeading">
    <w:name w:val="index heading"/>
    <w:basedOn w:val="Normal"/>
    <w:next w:val="Index1"/>
    <w:semiHidden/>
    <w:rsid w:val="00F71C38"/>
    <w:pPr>
      <w:spacing w:before="120" w:after="120"/>
    </w:pPr>
    <w:rPr>
      <w:rFonts w:ascii="Arial" w:hAnsi="Arial"/>
      <w:b/>
      <w:color w:val="918585"/>
      <w:sz w:val="24"/>
    </w:rPr>
  </w:style>
  <w:style w:type="paragraph" w:styleId="Header">
    <w:name w:val="header"/>
    <w:basedOn w:val="Normal"/>
    <w:link w:val="HeaderChar"/>
    <w:rsid w:val="00F71C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1C38"/>
    <w:rPr>
      <w:rFonts w:ascii="Times New Roman" w:eastAsia="Times New Roman" w:hAnsi="Times New Roman" w:cs="Times New Roman"/>
      <w:sz w:val="16"/>
      <w:szCs w:val="20"/>
      <w:lang w:val="en-GB" w:eastAsia="en-US"/>
    </w:rPr>
  </w:style>
  <w:style w:type="paragraph" w:customStyle="1" w:styleId="Chapter">
    <w:name w:val="Chapter"/>
    <w:basedOn w:val="Normal"/>
    <w:rsid w:val="00F71C38"/>
    <w:pPr>
      <w:spacing w:before="240"/>
    </w:pPr>
    <w:rPr>
      <w:rFonts w:ascii="Times New Roman" w:hAnsi="Times New Roman"/>
      <w:smallCaps/>
      <w:spacing w:val="80"/>
      <w:sz w:val="28"/>
    </w:rPr>
  </w:style>
  <w:style w:type="paragraph" w:customStyle="1" w:styleId="InChapter">
    <w:name w:val="InChapter"/>
    <w:basedOn w:val="Heading3"/>
    <w:rsid w:val="00F71C38"/>
    <w:pPr>
      <w:spacing w:after="240"/>
      <w:outlineLvl w:val="9"/>
    </w:pPr>
    <w:rPr>
      <w:noProof/>
    </w:rPr>
  </w:style>
  <w:style w:type="paragraph" w:styleId="Index2">
    <w:name w:val="index 2"/>
    <w:basedOn w:val="Normal"/>
    <w:next w:val="Normal"/>
    <w:semiHidden/>
    <w:rsid w:val="00F71C38"/>
    <w:pPr>
      <w:tabs>
        <w:tab w:val="right" w:pos="4176"/>
      </w:tabs>
      <w:ind w:left="568" w:hanging="284"/>
    </w:pPr>
    <w:rPr>
      <w:rFonts w:ascii="Garamond" w:hAnsi="Garamond"/>
    </w:rPr>
  </w:style>
  <w:style w:type="paragraph" w:customStyle="1" w:styleId="Byline">
    <w:name w:val="Byline"/>
    <w:rsid w:val="00F71C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1C38"/>
    <w:pPr>
      <w:tabs>
        <w:tab w:val="clear" w:pos="3600"/>
        <w:tab w:val="clear" w:pos="3958"/>
      </w:tabs>
      <w:jc w:val="right"/>
    </w:pPr>
  </w:style>
  <w:style w:type="character" w:styleId="Emphasis">
    <w:name w:val="Emphasis"/>
    <w:basedOn w:val="DefaultParagraphFont"/>
    <w:qFormat/>
    <w:rsid w:val="00F71C38"/>
    <w:rPr>
      <w:i/>
    </w:rPr>
  </w:style>
  <w:style w:type="paragraph" w:styleId="Caption">
    <w:name w:val="caption"/>
    <w:basedOn w:val="BodyText"/>
    <w:next w:val="Normal"/>
    <w:qFormat/>
    <w:rsid w:val="00F71C38"/>
    <w:pPr>
      <w:framePr w:w="2268" w:hSpace="181" w:vSpace="181" w:wrap="around" w:vAnchor="text" w:hAnchor="page" w:x="1135" w:y="285" w:anchorLock="1"/>
    </w:pPr>
    <w:rPr>
      <w:i/>
    </w:rPr>
  </w:style>
  <w:style w:type="paragraph" w:customStyle="1" w:styleId="MiniTOCTitle">
    <w:name w:val="MiniTOCTitle"/>
    <w:basedOn w:val="Heading4"/>
    <w:rsid w:val="00F71C38"/>
    <w:pPr>
      <w:spacing w:before="240"/>
      <w:outlineLvl w:val="9"/>
    </w:pPr>
    <w:rPr>
      <w:noProof/>
      <w:sz w:val="24"/>
    </w:rPr>
  </w:style>
  <w:style w:type="paragraph" w:customStyle="1" w:styleId="MiniTOCItem">
    <w:name w:val="MiniTOCItem"/>
    <w:basedOn w:val="ListBullet"/>
    <w:rsid w:val="00F71C38"/>
    <w:pPr>
      <w:numPr>
        <w:numId w:val="0"/>
      </w:numPr>
      <w:tabs>
        <w:tab w:val="right" w:leader="dot" w:pos="6521"/>
      </w:tabs>
      <w:spacing w:before="0" w:after="0"/>
    </w:pPr>
  </w:style>
  <w:style w:type="paragraph" w:customStyle="1" w:styleId="TOFTitle">
    <w:name w:val="TOFTitle"/>
    <w:basedOn w:val="TOCTitle"/>
    <w:rsid w:val="00F71C38"/>
  </w:style>
  <w:style w:type="paragraph" w:styleId="TableofFigures">
    <w:name w:val="table of figures"/>
    <w:basedOn w:val="Normal"/>
    <w:next w:val="Normal"/>
    <w:semiHidden/>
    <w:rsid w:val="00F71C38"/>
    <w:pPr>
      <w:tabs>
        <w:tab w:val="right" w:leader="dot" w:pos="9072"/>
      </w:tabs>
      <w:ind w:left="970" w:hanging="403"/>
    </w:pPr>
    <w:rPr>
      <w:rFonts w:ascii="Times New Roman" w:hAnsi="Times New Roman"/>
      <w:b/>
    </w:rPr>
  </w:style>
  <w:style w:type="paragraph" w:styleId="ListNumber">
    <w:name w:val="List Number"/>
    <w:basedOn w:val="List"/>
    <w:rsid w:val="00F71C38"/>
    <w:pPr>
      <w:numPr>
        <w:numId w:val="16"/>
      </w:numPr>
      <w:tabs>
        <w:tab w:val="clear" w:pos="340"/>
      </w:tabs>
    </w:pPr>
  </w:style>
  <w:style w:type="character" w:customStyle="1" w:styleId="WingdingSymbols">
    <w:name w:val="Wingding Symbols"/>
    <w:rsid w:val="00F71C38"/>
    <w:rPr>
      <w:rFonts w:ascii="Wingdings" w:hAnsi="Wingdings"/>
    </w:rPr>
  </w:style>
  <w:style w:type="paragraph" w:customStyle="1" w:styleId="TableHeading">
    <w:name w:val="Table Heading"/>
    <w:basedOn w:val="HeadingBase"/>
    <w:rsid w:val="00F71C38"/>
    <w:pPr>
      <w:keepLines/>
      <w:pBdr>
        <w:bottom w:val="single" w:sz="6" w:space="1" w:color="918585"/>
      </w:pBdr>
      <w:spacing w:before="240"/>
    </w:pPr>
  </w:style>
  <w:style w:type="character" w:customStyle="1" w:styleId="HotSpot">
    <w:name w:val="HotSpot"/>
    <w:rsid w:val="00F71C38"/>
    <w:rPr>
      <w:color w:val="0033CC"/>
      <w:u w:val="none"/>
    </w:rPr>
  </w:style>
  <w:style w:type="paragraph" w:customStyle="1" w:styleId="BodyTextRight">
    <w:name w:val="Body Text Right"/>
    <w:basedOn w:val="BodyText"/>
    <w:rsid w:val="00F71C38"/>
    <w:pPr>
      <w:spacing w:before="0" w:after="0"/>
      <w:jc w:val="right"/>
    </w:pPr>
  </w:style>
  <w:style w:type="paragraph" w:styleId="Index3">
    <w:name w:val="index 3"/>
    <w:basedOn w:val="ListNumber2"/>
    <w:next w:val="Normal"/>
    <w:semiHidden/>
    <w:rsid w:val="00F71C38"/>
    <w:pPr>
      <w:numPr>
        <w:numId w:val="0"/>
      </w:numPr>
      <w:tabs>
        <w:tab w:val="right" w:leader="dot" w:pos="4176"/>
      </w:tabs>
    </w:pPr>
  </w:style>
  <w:style w:type="paragraph" w:styleId="ListNumber2">
    <w:name w:val="List Number 2"/>
    <w:basedOn w:val="List2"/>
    <w:rsid w:val="00F71C38"/>
    <w:pPr>
      <w:numPr>
        <w:numId w:val="11"/>
      </w:numPr>
      <w:tabs>
        <w:tab w:val="clear" w:pos="1060"/>
      </w:tabs>
    </w:pPr>
  </w:style>
  <w:style w:type="paragraph" w:customStyle="1" w:styleId="MarginNote">
    <w:name w:val="Margin Note"/>
    <w:basedOn w:val="BodyText"/>
    <w:rsid w:val="00F71C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1C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1C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1C38"/>
    <w:rPr>
      <w:sz w:val="32"/>
    </w:rPr>
  </w:style>
  <w:style w:type="paragraph" w:customStyle="1" w:styleId="HeadingProcedure">
    <w:name w:val="Heading Procedure"/>
    <w:basedOn w:val="HeadingBase"/>
    <w:next w:val="Normal"/>
    <w:rsid w:val="00F71C38"/>
    <w:pPr>
      <w:tabs>
        <w:tab w:val="left" w:pos="0"/>
      </w:tabs>
      <w:spacing w:before="120" w:after="60"/>
    </w:pPr>
    <w:rPr>
      <w:i/>
      <w:color w:val="918585"/>
      <w:sz w:val="22"/>
    </w:rPr>
  </w:style>
  <w:style w:type="paragraph" w:customStyle="1" w:styleId="TableBodyText">
    <w:name w:val="Table Body Text"/>
    <w:basedOn w:val="BodyText"/>
    <w:rsid w:val="00F71C38"/>
    <w:pPr>
      <w:spacing w:before="60" w:after="60"/>
    </w:pPr>
  </w:style>
  <w:style w:type="paragraph" w:styleId="ListContinue">
    <w:name w:val="List Continue"/>
    <w:basedOn w:val="List"/>
    <w:rsid w:val="00F71C38"/>
    <w:pPr>
      <w:ind w:firstLine="0"/>
    </w:pPr>
  </w:style>
  <w:style w:type="paragraph" w:customStyle="1" w:styleId="ListNote">
    <w:name w:val="List Note"/>
    <w:basedOn w:val="List"/>
    <w:rsid w:val="00F71C38"/>
    <w:pPr>
      <w:pBdr>
        <w:top w:val="single" w:sz="6" w:space="2" w:color="918585"/>
        <w:bottom w:val="single" w:sz="6" w:space="2" w:color="918585"/>
      </w:pBdr>
      <w:tabs>
        <w:tab w:val="left" w:pos="1021"/>
      </w:tabs>
      <w:ind w:firstLine="0"/>
    </w:pPr>
  </w:style>
  <w:style w:type="paragraph" w:customStyle="1" w:styleId="Warning">
    <w:name w:val="Warning"/>
    <w:basedOn w:val="BodyText"/>
    <w:rsid w:val="00F71C38"/>
    <w:pPr>
      <w:shd w:val="clear" w:color="auto" w:fill="D9D9D9"/>
      <w:tabs>
        <w:tab w:val="left" w:pos="992"/>
      </w:tabs>
      <w:ind w:left="119" w:right="119"/>
    </w:pPr>
    <w:rPr>
      <w:sz w:val="20"/>
    </w:rPr>
  </w:style>
  <w:style w:type="paragraph" w:customStyle="1" w:styleId="MarginIcons">
    <w:name w:val="Margin Icons"/>
    <w:basedOn w:val="BodyText"/>
    <w:rsid w:val="00F71C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1C38"/>
    <w:rPr>
      <w:rFonts w:ascii="Courier New" w:hAnsi="Courier New"/>
    </w:rPr>
  </w:style>
  <w:style w:type="paragraph" w:customStyle="1" w:styleId="NoteBullet">
    <w:name w:val="Note Bullet"/>
    <w:basedOn w:val="Note"/>
    <w:rsid w:val="00F71C38"/>
    <w:pPr>
      <w:tabs>
        <w:tab w:val="clear" w:pos="680"/>
      </w:tabs>
      <w:spacing w:before="60" w:after="60"/>
    </w:pPr>
  </w:style>
  <w:style w:type="paragraph" w:customStyle="1" w:styleId="SubHeading2">
    <w:name w:val="SubHeading2"/>
    <w:basedOn w:val="HeadingBase"/>
    <w:rsid w:val="00F71C38"/>
    <w:pPr>
      <w:spacing w:before="240" w:after="60"/>
    </w:pPr>
    <w:rPr>
      <w:sz w:val="20"/>
    </w:rPr>
  </w:style>
  <w:style w:type="paragraph" w:customStyle="1" w:styleId="SubHeading1">
    <w:name w:val="SubHeading1"/>
    <w:basedOn w:val="HeadingBase"/>
    <w:rsid w:val="00F71C38"/>
    <w:pPr>
      <w:spacing w:before="240" w:after="60"/>
    </w:pPr>
    <w:rPr>
      <w:color w:val="918585"/>
      <w:sz w:val="22"/>
    </w:rPr>
  </w:style>
  <w:style w:type="paragraph" w:customStyle="1" w:styleId="SideHeading">
    <w:name w:val="Side Heading"/>
    <w:basedOn w:val="HeadingBase"/>
    <w:rsid w:val="00F71C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1C38"/>
    <w:pPr>
      <w:numPr>
        <w:numId w:val="12"/>
      </w:numPr>
    </w:pPr>
  </w:style>
  <w:style w:type="paragraph" w:styleId="PlainText">
    <w:name w:val="Plain Text"/>
    <w:basedOn w:val="Normal"/>
    <w:link w:val="PlainTextChar"/>
    <w:rsid w:val="00F71C38"/>
    <w:rPr>
      <w:sz w:val="20"/>
    </w:rPr>
  </w:style>
  <w:style w:type="character" w:customStyle="1" w:styleId="PlainTextChar">
    <w:name w:val="Plain Text Char"/>
    <w:basedOn w:val="DefaultParagraphFont"/>
    <w:link w:val="PlainText"/>
    <w:rsid w:val="00F71C38"/>
    <w:rPr>
      <w:rFonts w:ascii="Courier New" w:eastAsia="Times New Roman" w:hAnsi="Courier New" w:cs="Times New Roman"/>
      <w:sz w:val="20"/>
      <w:szCs w:val="20"/>
      <w:lang w:eastAsia="en-US"/>
    </w:rPr>
  </w:style>
  <w:style w:type="character" w:customStyle="1" w:styleId="MenuOption">
    <w:name w:val="Menu Option"/>
    <w:basedOn w:val="DefaultParagraphFont"/>
    <w:rsid w:val="00F71C38"/>
    <w:rPr>
      <w:b/>
      <w:smallCaps/>
    </w:rPr>
  </w:style>
  <w:style w:type="paragraph" w:customStyle="1" w:styleId="TableListNumber">
    <w:name w:val="Table List Number"/>
    <w:basedOn w:val="ListNumber"/>
    <w:rsid w:val="00F71C38"/>
    <w:pPr>
      <w:numPr>
        <w:numId w:val="0"/>
      </w:numPr>
    </w:pPr>
  </w:style>
  <w:style w:type="paragraph" w:styleId="TOC4">
    <w:name w:val="toc 4"/>
    <w:basedOn w:val="TOCBase"/>
    <w:next w:val="Normal"/>
    <w:semiHidden/>
    <w:rsid w:val="00F71C38"/>
    <w:pPr>
      <w:tabs>
        <w:tab w:val="right" w:leader="dot" w:pos="9071"/>
      </w:tabs>
      <w:ind w:left="1701"/>
    </w:pPr>
  </w:style>
  <w:style w:type="paragraph" w:customStyle="1" w:styleId="ListAlpha">
    <w:name w:val="List Alpha"/>
    <w:basedOn w:val="List"/>
    <w:rsid w:val="00F71C38"/>
    <w:pPr>
      <w:numPr>
        <w:numId w:val="10"/>
      </w:numPr>
    </w:pPr>
  </w:style>
  <w:style w:type="paragraph" w:customStyle="1" w:styleId="ListAlpha2">
    <w:name w:val="List Alpha 2"/>
    <w:basedOn w:val="List2"/>
    <w:rsid w:val="00F71C38"/>
    <w:pPr>
      <w:numPr>
        <w:numId w:val="9"/>
      </w:numPr>
    </w:pPr>
  </w:style>
  <w:style w:type="paragraph" w:styleId="List2">
    <w:name w:val="List 2"/>
    <w:basedOn w:val="BodyText"/>
    <w:rsid w:val="00F71C38"/>
    <w:pPr>
      <w:tabs>
        <w:tab w:val="left" w:pos="680"/>
      </w:tabs>
      <w:spacing w:before="60" w:after="60"/>
      <w:ind w:left="680" w:hanging="340"/>
    </w:pPr>
  </w:style>
  <w:style w:type="paragraph" w:styleId="List3">
    <w:name w:val="List 3"/>
    <w:basedOn w:val="BodyText"/>
    <w:rsid w:val="00F71C38"/>
    <w:pPr>
      <w:tabs>
        <w:tab w:val="left" w:pos="1021"/>
      </w:tabs>
      <w:spacing w:before="60" w:after="60"/>
      <w:ind w:left="1020" w:hanging="340"/>
    </w:pPr>
  </w:style>
  <w:style w:type="paragraph" w:styleId="List4">
    <w:name w:val="List 4"/>
    <w:basedOn w:val="BodyText"/>
    <w:rsid w:val="00F71C38"/>
    <w:pPr>
      <w:tabs>
        <w:tab w:val="left" w:pos="1361"/>
      </w:tabs>
      <w:spacing w:before="60" w:after="60"/>
      <w:ind w:left="1361" w:hanging="340"/>
    </w:pPr>
  </w:style>
  <w:style w:type="paragraph" w:styleId="List5">
    <w:name w:val="List 5"/>
    <w:basedOn w:val="BodyText"/>
    <w:rsid w:val="00F71C38"/>
    <w:pPr>
      <w:tabs>
        <w:tab w:val="left" w:pos="1701"/>
      </w:tabs>
      <w:spacing w:before="60" w:after="60"/>
      <w:ind w:left="1701" w:hanging="340"/>
    </w:pPr>
  </w:style>
  <w:style w:type="paragraph" w:styleId="ListBullet4">
    <w:name w:val="List Bullet 4"/>
    <w:basedOn w:val="List4"/>
    <w:rsid w:val="00F71C38"/>
    <w:pPr>
      <w:numPr>
        <w:numId w:val="4"/>
      </w:numPr>
      <w:tabs>
        <w:tab w:val="clear" w:pos="1361"/>
      </w:tabs>
    </w:pPr>
  </w:style>
  <w:style w:type="paragraph" w:styleId="ListBullet5">
    <w:name w:val="List Bullet 5"/>
    <w:basedOn w:val="List5"/>
    <w:rsid w:val="00F71C38"/>
    <w:pPr>
      <w:numPr>
        <w:numId w:val="5"/>
      </w:numPr>
    </w:pPr>
  </w:style>
  <w:style w:type="paragraph" w:styleId="ListContinue2">
    <w:name w:val="List Continue 2"/>
    <w:basedOn w:val="List2"/>
    <w:rsid w:val="00F71C38"/>
    <w:pPr>
      <w:ind w:firstLine="0"/>
    </w:pPr>
  </w:style>
  <w:style w:type="paragraph" w:styleId="ListContinue3">
    <w:name w:val="List Continue 3"/>
    <w:basedOn w:val="List3"/>
    <w:rsid w:val="00F71C38"/>
    <w:pPr>
      <w:ind w:left="1021" w:firstLine="0"/>
    </w:pPr>
  </w:style>
  <w:style w:type="paragraph" w:styleId="ListContinue4">
    <w:name w:val="List Continue 4"/>
    <w:basedOn w:val="List4"/>
    <w:rsid w:val="00F71C38"/>
    <w:pPr>
      <w:ind w:firstLine="0"/>
    </w:pPr>
  </w:style>
  <w:style w:type="paragraph" w:styleId="ListContinue5">
    <w:name w:val="List Continue 5"/>
    <w:basedOn w:val="List5"/>
    <w:rsid w:val="00F71C38"/>
    <w:pPr>
      <w:ind w:firstLine="0"/>
    </w:pPr>
  </w:style>
  <w:style w:type="paragraph" w:styleId="ListNumber3">
    <w:name w:val="List Number 3"/>
    <w:basedOn w:val="List3"/>
    <w:rsid w:val="00F71C38"/>
    <w:pPr>
      <w:numPr>
        <w:numId w:val="6"/>
      </w:numPr>
    </w:pPr>
  </w:style>
  <w:style w:type="paragraph" w:styleId="ListNumber4">
    <w:name w:val="List Number 4"/>
    <w:basedOn w:val="List4"/>
    <w:rsid w:val="00F71C38"/>
    <w:pPr>
      <w:numPr>
        <w:numId w:val="7"/>
      </w:numPr>
    </w:pPr>
  </w:style>
  <w:style w:type="paragraph" w:styleId="ListNumber5">
    <w:name w:val="List Number 5"/>
    <w:basedOn w:val="List5"/>
    <w:rsid w:val="00F71C38"/>
    <w:pPr>
      <w:numPr>
        <w:numId w:val="8"/>
      </w:numPr>
    </w:pPr>
  </w:style>
  <w:style w:type="paragraph" w:styleId="BlockText">
    <w:name w:val="Block Text"/>
    <w:basedOn w:val="Normal"/>
    <w:rsid w:val="00F71C38"/>
    <w:pPr>
      <w:spacing w:after="120"/>
      <w:ind w:left="1440" w:right="1440"/>
    </w:pPr>
  </w:style>
  <w:style w:type="character" w:customStyle="1" w:styleId="Subscript">
    <w:name w:val="Subscript"/>
    <w:basedOn w:val="DefaultParagraphFont"/>
    <w:rsid w:val="00F71C38"/>
    <w:rPr>
      <w:sz w:val="16"/>
      <w:vertAlign w:val="subscript"/>
    </w:rPr>
  </w:style>
  <w:style w:type="character" w:customStyle="1" w:styleId="Superscript">
    <w:name w:val="Superscript"/>
    <w:basedOn w:val="DefaultParagraphFont"/>
    <w:rsid w:val="00F71C38"/>
    <w:rPr>
      <w:sz w:val="16"/>
      <w:vertAlign w:val="superscript"/>
    </w:rPr>
  </w:style>
  <w:style w:type="character" w:customStyle="1" w:styleId="Symbols">
    <w:name w:val="Symbols"/>
    <w:basedOn w:val="DefaultParagraphFont"/>
    <w:rsid w:val="00F71C38"/>
    <w:rPr>
      <w:rFonts w:ascii="Symbol" w:hAnsi="Symbol"/>
    </w:rPr>
  </w:style>
  <w:style w:type="character" w:customStyle="1" w:styleId="MenuOptions">
    <w:name w:val="Menu Options"/>
    <w:basedOn w:val="DefaultParagraphFont"/>
    <w:rsid w:val="00F71C38"/>
    <w:rPr>
      <w:rFonts w:ascii="Arial Narrow" w:hAnsi="Arial Narrow"/>
      <w:smallCaps/>
    </w:rPr>
  </w:style>
  <w:style w:type="character" w:customStyle="1" w:styleId="Buttons">
    <w:name w:val="Buttons"/>
    <w:basedOn w:val="DefaultParagraphFont"/>
    <w:rsid w:val="00F71C38"/>
    <w:rPr>
      <w:b/>
    </w:rPr>
  </w:style>
  <w:style w:type="character" w:customStyle="1" w:styleId="Underlined">
    <w:name w:val="Underlined"/>
    <w:basedOn w:val="DefaultParagraphFont"/>
    <w:rsid w:val="00F71C38"/>
    <w:rPr>
      <w:u w:val="single"/>
    </w:rPr>
  </w:style>
  <w:style w:type="paragraph" w:customStyle="1" w:styleId="TableBodyTextRight">
    <w:name w:val="Table Body Text Right"/>
    <w:basedOn w:val="TableBodyText"/>
    <w:rsid w:val="00F71C38"/>
    <w:pPr>
      <w:widowControl w:val="0"/>
      <w:autoSpaceDE w:val="0"/>
      <w:autoSpaceDN w:val="0"/>
      <w:adjustRightInd w:val="0"/>
      <w:jc w:val="right"/>
    </w:pPr>
    <w:rPr>
      <w:rFonts w:cs="Arial"/>
      <w:szCs w:val="18"/>
    </w:rPr>
  </w:style>
  <w:style w:type="paragraph" w:customStyle="1" w:styleId="CopyrightText">
    <w:name w:val="Copyright Text"/>
    <w:basedOn w:val="BodyText"/>
    <w:rsid w:val="00F71C38"/>
    <w:rPr>
      <w:sz w:val="18"/>
    </w:rPr>
  </w:style>
  <w:style w:type="paragraph" w:customStyle="1" w:styleId="BodySmallRight">
    <w:name w:val="Body Small Right"/>
    <w:basedOn w:val="BodyTextRight"/>
    <w:rsid w:val="00F71C38"/>
    <w:rPr>
      <w:sz w:val="18"/>
      <w:szCs w:val="18"/>
    </w:rPr>
  </w:style>
  <w:style w:type="paragraph" w:customStyle="1" w:styleId="MarginEdition">
    <w:name w:val="Margin Edition"/>
    <w:basedOn w:val="MarginNote"/>
    <w:rsid w:val="00F71C38"/>
    <w:pPr>
      <w:spacing w:before="0" w:after="0"/>
    </w:pPr>
    <w:rPr>
      <w:rFonts w:ascii="Times New Roman" w:hAnsi="Times New Roman"/>
      <w:color w:val="999999"/>
    </w:rPr>
  </w:style>
  <w:style w:type="paragraph" w:customStyle="1" w:styleId="Spacer">
    <w:name w:val="Spacer"/>
    <w:basedOn w:val="Normal"/>
    <w:rsid w:val="00F71C38"/>
    <w:rPr>
      <w:sz w:val="2"/>
      <w:szCs w:val="2"/>
    </w:rPr>
  </w:style>
  <w:style w:type="character" w:customStyle="1" w:styleId="Small">
    <w:name w:val="Small"/>
    <w:basedOn w:val="DefaultParagraphFont"/>
    <w:rsid w:val="00F71C38"/>
    <w:rPr>
      <w:sz w:val="16"/>
    </w:rPr>
  </w:style>
  <w:style w:type="paragraph" w:customStyle="1" w:styleId="WideTable">
    <w:name w:val="Wide Table"/>
    <w:basedOn w:val="Normal"/>
    <w:rsid w:val="00F71C38"/>
    <w:pPr>
      <w:ind w:left="-1418"/>
    </w:pPr>
    <w:rPr>
      <w:sz w:val="2"/>
      <w:szCs w:val="2"/>
    </w:rPr>
  </w:style>
  <w:style w:type="character" w:styleId="PageNumber">
    <w:name w:val="page number"/>
    <w:basedOn w:val="DefaultParagraphFont"/>
    <w:rsid w:val="00F71C38"/>
  </w:style>
  <w:style w:type="paragraph" w:styleId="Quote">
    <w:name w:val="Quote"/>
    <w:basedOn w:val="Heading1"/>
    <w:link w:val="QuoteChar"/>
    <w:qFormat/>
    <w:rsid w:val="00F71C38"/>
    <w:rPr>
      <w:b w:val="0"/>
      <w:sz w:val="72"/>
      <w:szCs w:val="72"/>
      <w:lang w:val="en-NZ"/>
    </w:rPr>
  </w:style>
  <w:style w:type="character" w:customStyle="1" w:styleId="QuoteChar">
    <w:name w:val="Quote Char"/>
    <w:basedOn w:val="DefaultParagraphFont"/>
    <w:link w:val="Quote"/>
    <w:rsid w:val="00F71C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1C38"/>
    <w:pPr>
      <w:pageBreakBefore/>
    </w:pPr>
  </w:style>
  <w:style w:type="paragraph" w:customStyle="1" w:styleId="Border">
    <w:name w:val="Border"/>
    <w:basedOn w:val="Normal"/>
    <w:qFormat/>
    <w:rsid w:val="00F71C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1C38"/>
    <w:rPr>
      <w:b/>
      <w:bCs/>
      <w:i/>
      <w:iCs/>
      <w:color w:val="auto"/>
    </w:rPr>
  </w:style>
  <w:style w:type="paragraph" w:styleId="IntenseQuote">
    <w:name w:val="Intense Quote"/>
    <w:basedOn w:val="Normal"/>
    <w:next w:val="Normal"/>
    <w:link w:val="IntenseQuoteChar"/>
    <w:uiPriority w:val="30"/>
    <w:qFormat/>
    <w:rsid w:val="00F71C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1C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1C38"/>
    <w:rPr>
      <w:smallCaps/>
      <w:color w:val="auto"/>
      <w:u w:val="single"/>
    </w:rPr>
  </w:style>
  <w:style w:type="character" w:styleId="IntenseReference">
    <w:name w:val="Intense Reference"/>
    <w:basedOn w:val="DefaultParagraphFont"/>
    <w:uiPriority w:val="32"/>
    <w:qFormat/>
    <w:rsid w:val="00F71C38"/>
    <w:rPr>
      <w:b/>
      <w:bCs/>
      <w:smallCaps/>
      <w:color w:val="auto"/>
      <w:spacing w:val="5"/>
      <w:u w:val="single"/>
    </w:rPr>
  </w:style>
  <w:style w:type="paragraph" w:customStyle="1" w:styleId="2ColumnHeading">
    <w:name w:val="2Column Heading"/>
    <w:basedOn w:val="BodyText"/>
    <w:qFormat/>
    <w:rsid w:val="00F71C38"/>
    <w:pPr>
      <w:spacing w:after="60"/>
      <w:ind w:left="-2268"/>
    </w:pPr>
    <w:rPr>
      <w:b/>
    </w:rPr>
  </w:style>
  <w:style w:type="paragraph" w:customStyle="1" w:styleId="Heading1TOC">
    <w:name w:val="Heading1 TOC"/>
    <w:basedOn w:val="Normal"/>
    <w:qFormat/>
    <w:rsid w:val="00F71C38"/>
    <w:pPr>
      <w:spacing w:before="240" w:after="120"/>
    </w:pPr>
    <w:rPr>
      <w:rFonts w:ascii="Times New Roman" w:hAnsi="Times New Roman"/>
      <w:b/>
      <w:sz w:val="32"/>
    </w:rPr>
  </w:style>
  <w:style w:type="paragraph" w:customStyle="1" w:styleId="Heading2TOC">
    <w:name w:val="Heading2 TOC"/>
    <w:basedOn w:val="Normal"/>
    <w:qFormat/>
    <w:rsid w:val="00F71C38"/>
    <w:pPr>
      <w:spacing w:before="240" w:after="60"/>
    </w:pPr>
    <w:rPr>
      <w:rFonts w:ascii="Times New Roman" w:hAnsi="Times New Roman"/>
      <w:b/>
      <w:sz w:val="28"/>
    </w:rPr>
  </w:style>
  <w:style w:type="character" w:customStyle="1" w:styleId="Underline">
    <w:name w:val="Underline"/>
    <w:basedOn w:val="DefaultParagraphFont"/>
    <w:qFormat/>
    <w:rsid w:val="00F71C38"/>
    <w:rPr>
      <w:u w:val="single"/>
    </w:rPr>
  </w:style>
  <w:style w:type="character" w:customStyle="1" w:styleId="BoldandItalics">
    <w:name w:val="Bold and Italics"/>
    <w:qFormat/>
    <w:rsid w:val="00F71C38"/>
    <w:rPr>
      <w:b/>
      <w:i/>
      <w:u w:val="none"/>
    </w:rPr>
  </w:style>
  <w:style w:type="paragraph" w:styleId="BalloonText">
    <w:name w:val="Balloon Text"/>
    <w:basedOn w:val="Normal"/>
    <w:link w:val="BalloonTextChar"/>
    <w:rsid w:val="00F71C38"/>
    <w:rPr>
      <w:rFonts w:ascii="Tahoma" w:hAnsi="Tahoma" w:cs="Tahoma"/>
      <w:sz w:val="16"/>
      <w:szCs w:val="16"/>
    </w:rPr>
  </w:style>
  <w:style w:type="character" w:customStyle="1" w:styleId="BalloonTextChar">
    <w:name w:val="Balloon Text Char"/>
    <w:basedOn w:val="DefaultParagraphFont"/>
    <w:link w:val="BalloonText"/>
    <w:rsid w:val="00F71C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1C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1C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1C38"/>
    <w:rPr>
      <w:b/>
      <w:color w:val="660033"/>
      <w:spacing w:val="0"/>
    </w:rPr>
  </w:style>
  <w:style w:type="paragraph" w:customStyle="1" w:styleId="Nameditemlist">
    <w:name w:val="Named item list"/>
    <w:basedOn w:val="BodyText"/>
    <w:qFormat/>
    <w:rsid w:val="00F71C38"/>
    <w:pPr>
      <w:tabs>
        <w:tab w:val="left" w:pos="2835"/>
      </w:tabs>
      <w:ind w:left="2835" w:hanging="2835"/>
    </w:pPr>
  </w:style>
  <w:style w:type="paragraph" w:customStyle="1" w:styleId="BodyTextnopadding">
    <w:name w:val="Body Text no padding"/>
    <w:basedOn w:val="BodyText"/>
    <w:qFormat/>
    <w:rsid w:val="00F71C38"/>
    <w:pPr>
      <w:spacing w:before="0" w:after="0"/>
    </w:pPr>
  </w:style>
  <w:style w:type="paragraph" w:customStyle="1" w:styleId="BodyTextBold">
    <w:name w:val="Body Text Bold"/>
    <w:basedOn w:val="BodyText"/>
    <w:qFormat/>
    <w:rsid w:val="00F71C38"/>
    <w:rPr>
      <w:b/>
    </w:rPr>
  </w:style>
  <w:style w:type="character" w:styleId="Hyperlink">
    <w:name w:val="Hyperlink"/>
    <w:basedOn w:val="DefaultParagraphFont"/>
    <w:uiPriority w:val="99"/>
    <w:unhideWhenUsed/>
    <w:rsid w:val="005961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988</Words>
  <Characters>6734</Characters>
  <Application>Microsoft Office Word</Application>
  <DocSecurity>0</DocSecurity>
  <Lines>240</Lines>
  <Paragraphs>157</Paragraphs>
  <ScaleCrop>false</ScaleCrop>
  <Company>Author-it Software Corporation Ltd.</Company>
  <LinksUpToDate>false</LinksUpToDate>
  <CharactersWithSpaces>7565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CPCSFS5015 Prepare documentation for annual fire systems inspections</dc:title>
  <dc:subject>Approved</dc:subject>
  <dc:creator>BuildSkills Australia</dc:creator>
  <cp:keywords>Release: 1</cp:keywords>
  <dc:description>Review Date: 12 April 2008</dc:description>
  <cp:lastModifiedBy>HSD_TPCMSd.prod</cp:lastModifiedBy>
  <cp:revision>3</cp:revision>
  <dcterms:created xsi:type="dcterms:W3CDTF">2025-03-01T11:14:00Z</dcterms:created>
  <dcterms:modified xsi:type="dcterms:W3CDTF">2025-03-01T11:14:00Z</dcterms:modified>
</cp:coreProperties>
</file>