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09C" w:rsidP="00C330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CPCSFS5015 Prepare documentation for annual fire systems inspections</w:t>
      </w:r>
      <w:r>
        <w:fldChar w:fldCharType="end"/>
      </w:r>
    </w:p>
    <w:p w:rsidR="00C3309C" w:rsidP="00C3309C">
      <w:pPr>
        <w:pStyle w:val="Version"/>
        <w:sectPr w:rsidSect="000548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8A7" w:rsidP="000548A7">
      <w:pPr>
        <w:pStyle w:val="SuperHeading"/>
      </w:pPr>
      <w:r w:rsidRPr="000548A7">
        <w:t>Assessment Requirements for CPCSFS5015 Prepare documentation for annual fire systems inspections</w:t>
      </w:r>
    </w:p>
    <w:p w:rsidR="00000000" w:rsidRPr="000548A7" w:rsidP="000548A7">
      <w:pPr>
        <w:pStyle w:val="Heading1"/>
      </w:pPr>
      <w:bookmarkStart w:id="1" w:name="O_1136662"/>
      <w:bookmarkEnd w:id="1"/>
      <w:r w:rsidRPr="000548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548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8A7">
            <w:pPr>
              <w:pStyle w:val="BodyText"/>
              <w:rPr>
                <w:lang w:val="en-NZ"/>
              </w:rPr>
            </w:pPr>
            <w:r w:rsidRPr="000548A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8A7" w:rsidP="000548A7">
            <w:pPr>
              <w:pStyle w:val="BodyText"/>
            </w:pPr>
            <w:r w:rsidRPr="000548A7">
              <w:t>This version first released with CPC Construction, Plumbing and Services Training Package Release 5.0.</w:t>
            </w:r>
          </w:p>
          <w:p w:rsidR="00000000" w:rsidRPr="000548A7" w:rsidP="000548A7">
            <w:pPr>
              <w:pStyle w:val="BodyText"/>
            </w:pPr>
            <w:r w:rsidRPr="000548A7">
              <w:t>Supersedes and is equivalent to CPCSFS5015A Assess documentation for annual fire systems certification inspections.  Updated to meet the Standards for Training Packages 2012.</w:t>
            </w:r>
          </w:p>
        </w:tc>
      </w:tr>
    </w:tbl>
    <w:p w:rsidR="00000000" w:rsidRPr="000548A7" w:rsidP="000548A7">
      <w:pPr>
        <w:pStyle w:val="BodyText"/>
      </w:pPr>
    </w:p>
    <w:p w:rsidR="00000000" w:rsidRPr="000548A7" w:rsidP="000548A7">
      <w:pPr>
        <w:pStyle w:val="AllowPageBreak"/>
      </w:pPr>
    </w:p>
    <w:p w:rsidR="00000000" w:rsidRPr="000548A7" w:rsidP="000548A7">
      <w:pPr>
        <w:pStyle w:val="Heading1"/>
      </w:pPr>
      <w:bookmarkStart w:id="2" w:name="O_1136665"/>
      <w:bookmarkEnd w:id="2"/>
      <w:r w:rsidRPr="000548A7">
        <w:t>Performance Evidence</w:t>
      </w:r>
    </w:p>
    <w:p w:rsidR="00000000" w:rsidRPr="000548A7" w:rsidP="00C3309C">
      <w:pPr>
        <w:pStyle w:val="BodyText"/>
      </w:pPr>
      <w:r w:rsidRPr="000548A7">
        <w:t xml:space="preserve">To demonstrate competency, a candidate </w:t>
      </w:r>
      <w:r w:rsidRPr="000548A7">
        <w:t>must meet the performance criteria of this unit by:</w:t>
      </w:r>
    </w:p>
    <w:p w:rsidR="00000000" w:rsidRPr="000548A7" w:rsidP="000548A7">
      <w:pPr>
        <w:pStyle w:val="ListBullet"/>
      </w:pPr>
      <w:r w:rsidRPr="000548A7">
        <w:t>preparing relevant documentation of annual fire systems inspections that apply to existing fire systems in a range of buildings, including:</w:t>
      </w:r>
    </w:p>
    <w:p w:rsidR="00000000" w:rsidRPr="000548A7" w:rsidP="000548A7">
      <w:pPr>
        <w:pStyle w:val="ListBullet2"/>
      </w:pPr>
      <w:r w:rsidRPr="000548A7">
        <w:t>commercial building</w:t>
      </w:r>
    </w:p>
    <w:p w:rsidR="00000000" w:rsidRPr="000548A7" w:rsidP="000548A7">
      <w:pPr>
        <w:pStyle w:val="ListBullet2"/>
      </w:pPr>
      <w:r w:rsidRPr="000548A7">
        <w:t>factory</w:t>
      </w:r>
    </w:p>
    <w:p w:rsidR="00000000" w:rsidRPr="000548A7" w:rsidP="000548A7">
      <w:pPr>
        <w:pStyle w:val="ListBullet2"/>
      </w:pPr>
      <w:r w:rsidRPr="000548A7">
        <w:t>residential nursing home</w:t>
      </w:r>
    </w:p>
    <w:p w:rsidR="00000000" w:rsidRPr="000548A7" w:rsidP="000548A7">
      <w:pPr>
        <w:pStyle w:val="ListBullet2"/>
      </w:pPr>
      <w:r w:rsidRPr="000548A7">
        <w:t>high-rise building.</w:t>
      </w:r>
    </w:p>
    <w:p w:rsidR="00000000" w:rsidRPr="000548A7" w:rsidP="00C3309C">
      <w:pPr>
        <w:pStyle w:val="BodyText"/>
      </w:pPr>
      <w:r w:rsidRPr="000548A7">
        <w:t>The activity should include preparation of fire safety schedules and inspection, testing and maintenance documentation.</w:t>
      </w:r>
    </w:p>
    <w:p w:rsidR="00000000" w:rsidRPr="000548A7" w:rsidP="000548A7">
      <w:pPr>
        <w:pStyle w:val="Heading1"/>
      </w:pPr>
      <w:bookmarkStart w:id="3" w:name="O_1136664"/>
      <w:bookmarkEnd w:id="3"/>
      <w:r w:rsidRPr="000548A7">
        <w:t>Knowledge Evidence</w:t>
      </w:r>
    </w:p>
    <w:p w:rsidR="00000000" w:rsidRPr="000548A7" w:rsidP="00C3309C">
      <w:pPr>
        <w:pStyle w:val="BodyText"/>
      </w:pPr>
      <w:r w:rsidRPr="000548A7">
        <w:t>To be competent in this unit, a candidate must demonstrate knowledge of:</w:t>
      </w:r>
    </w:p>
    <w:p w:rsidR="00000000" w:rsidRPr="000548A7" w:rsidP="000548A7">
      <w:pPr>
        <w:pStyle w:val="ListBullet"/>
      </w:pPr>
      <w:r w:rsidRPr="000548A7">
        <w:t>comp</w:t>
      </w:r>
      <w:r w:rsidRPr="000548A7">
        <w:t>liance documentation:</w:t>
      </w:r>
    </w:p>
    <w:p w:rsidR="00000000" w:rsidRPr="000548A7" w:rsidP="000548A7">
      <w:pPr>
        <w:pStyle w:val="ListBullet2"/>
      </w:pPr>
      <w:r w:rsidRPr="000548A7">
        <w:t>fire safety schedules</w:t>
      </w:r>
    </w:p>
    <w:p w:rsidR="00000000" w:rsidRPr="000548A7" w:rsidP="000548A7">
      <w:pPr>
        <w:pStyle w:val="ListBullet2"/>
      </w:pPr>
      <w:r w:rsidRPr="000548A7">
        <w:t>inspection and testing logbooks</w:t>
      </w:r>
    </w:p>
    <w:p w:rsidR="00000000" w:rsidRPr="000548A7" w:rsidP="000548A7">
      <w:pPr>
        <w:pStyle w:val="ListBullet2"/>
      </w:pPr>
      <w:r w:rsidRPr="000548A7">
        <w:t>maintenance, repair and replacement documentation</w:t>
      </w:r>
    </w:p>
    <w:p w:rsidR="00000000" w:rsidRPr="000548A7" w:rsidP="000548A7">
      <w:pPr>
        <w:pStyle w:val="ListBullet"/>
      </w:pPr>
      <w:r w:rsidRPr="000548A7">
        <w:t>computer software functions and operation, including relevant proprietary software</w:t>
      </w:r>
    </w:p>
    <w:p w:rsidR="00000000" w:rsidRPr="000548A7" w:rsidP="000548A7">
      <w:pPr>
        <w:pStyle w:val="ListBullet"/>
      </w:pPr>
      <w:r w:rsidRPr="000548A7">
        <w:t xml:space="preserve">reading and interpreting drawings and reports </w:t>
      </w:r>
    </w:p>
    <w:p w:rsidR="00000000" w:rsidRPr="000548A7" w:rsidP="000548A7">
      <w:pPr>
        <w:pStyle w:val="ListBullet"/>
      </w:pPr>
      <w:r w:rsidRPr="000548A7">
        <w:t>relevant current and historical legislation, codes and standards:</w:t>
      </w:r>
    </w:p>
    <w:p w:rsidR="00000000" w:rsidRPr="000548A7" w:rsidP="000548A7">
      <w:pPr>
        <w:pStyle w:val="ListBullet2"/>
      </w:pPr>
      <w:r w:rsidRPr="000548A7">
        <w:t>building Acts</w:t>
      </w:r>
    </w:p>
    <w:p w:rsidR="00000000" w:rsidRPr="000548A7" w:rsidP="000548A7">
      <w:pPr>
        <w:pStyle w:val="ListBullet2"/>
      </w:pPr>
      <w:r w:rsidRPr="000548A7">
        <w:t>building regulations</w:t>
      </w:r>
    </w:p>
    <w:p w:rsidR="00000000" w:rsidRPr="000548A7" w:rsidP="000548A7">
      <w:pPr>
        <w:pStyle w:val="ListBullet2"/>
      </w:pPr>
      <w:r w:rsidRPr="000548A7">
        <w:t xml:space="preserve">infrastructure supply regulations </w:t>
      </w:r>
    </w:p>
    <w:p w:rsidR="00000000" w:rsidRPr="000548A7" w:rsidP="000548A7">
      <w:pPr>
        <w:pStyle w:val="ListBullet2"/>
      </w:pPr>
      <w:r w:rsidRPr="000548A7">
        <w:t>the Building Code of Australia (BCA)</w:t>
      </w:r>
    </w:p>
    <w:p w:rsidR="00000000" w:rsidRPr="000548A7" w:rsidP="000548A7">
      <w:pPr>
        <w:pStyle w:val="ListBullet2"/>
      </w:pPr>
      <w:r w:rsidRPr="000548A7">
        <w:t>National Construction Code (NCC)</w:t>
      </w:r>
    </w:p>
    <w:p w:rsidR="00000000" w:rsidRPr="000548A7" w:rsidP="000548A7">
      <w:pPr>
        <w:pStyle w:val="ListBullet2"/>
      </w:pPr>
      <w:r w:rsidRPr="000548A7">
        <w:t>Au</w:t>
      </w:r>
      <w:r w:rsidRPr="000548A7">
        <w:t>stralian standards for fire systems</w:t>
      </w:r>
    </w:p>
    <w:p w:rsidR="00000000" w:rsidRPr="000548A7" w:rsidP="000548A7">
      <w:pPr>
        <w:pStyle w:val="ListBullet2"/>
      </w:pPr>
      <w:r w:rsidRPr="000548A7">
        <w:t>international standards for fire systems</w:t>
      </w:r>
    </w:p>
    <w:p w:rsidR="00000000" w:rsidRPr="000548A7" w:rsidP="000548A7">
      <w:pPr>
        <w:pStyle w:val="ListBullet2"/>
      </w:pPr>
      <w:r w:rsidRPr="000548A7">
        <w:t xml:space="preserve">jurisdictional authorities in addition to the BCA and NCC </w:t>
      </w:r>
    </w:p>
    <w:p w:rsidR="00000000" w:rsidRPr="000548A7" w:rsidP="000548A7">
      <w:pPr>
        <w:pStyle w:val="ListBullet2"/>
      </w:pPr>
      <w:r w:rsidRPr="000548A7">
        <w:t>other fire system standards commonly required by building insurers</w:t>
      </w:r>
    </w:p>
    <w:p w:rsidR="00000000" w:rsidRPr="000548A7" w:rsidP="000548A7">
      <w:pPr>
        <w:pStyle w:val="ListBullet"/>
      </w:pPr>
      <w:r w:rsidRPr="000548A7">
        <w:t>protection requirements for different buildings, inc</w:t>
      </w:r>
      <w:r w:rsidRPr="000548A7">
        <w:t>luding:</w:t>
      </w:r>
    </w:p>
    <w:p w:rsidR="00000000" w:rsidRPr="000548A7" w:rsidP="000548A7">
      <w:pPr>
        <w:pStyle w:val="ListBullet2"/>
      </w:pPr>
      <w:r w:rsidRPr="000548A7">
        <w:t xml:space="preserve">low-rise buildings </w:t>
      </w:r>
    </w:p>
    <w:p w:rsidR="00000000" w:rsidRPr="000548A7" w:rsidP="000548A7">
      <w:pPr>
        <w:pStyle w:val="ListBullet2"/>
      </w:pPr>
      <w:r w:rsidRPr="000548A7">
        <w:t>processing building applications</w:t>
      </w:r>
    </w:p>
    <w:p w:rsidR="00000000" w:rsidRPr="000548A7" w:rsidP="000548A7">
      <w:pPr>
        <w:pStyle w:val="ListBullet2"/>
      </w:pPr>
      <w:r w:rsidRPr="000548A7">
        <w:t>warehouse buildings under 13.7 m high</w:t>
      </w:r>
    </w:p>
    <w:p w:rsidR="00000000" w:rsidRPr="000548A7" w:rsidP="000548A7">
      <w:pPr>
        <w:pStyle w:val="ListBullet2"/>
      </w:pPr>
      <w:r w:rsidRPr="000548A7">
        <w:t>warehouse buildings over 13.7 m high</w:t>
      </w:r>
    </w:p>
    <w:p w:rsidR="00000000" w:rsidRPr="000548A7" w:rsidP="000548A7">
      <w:pPr>
        <w:pStyle w:val="ListBullet2"/>
      </w:pPr>
      <w:r w:rsidRPr="000548A7">
        <w:t>medium-rise buildings</w:t>
      </w:r>
    </w:p>
    <w:p w:rsidR="00000000" w:rsidRPr="000548A7" w:rsidP="000548A7">
      <w:pPr>
        <w:pStyle w:val="ListBullet2"/>
      </w:pPr>
      <w:r w:rsidRPr="000548A7">
        <w:t>high-rise buildings (over 25 metres)</w:t>
      </w:r>
    </w:p>
    <w:p w:rsidR="00000000" w:rsidRPr="000548A7" w:rsidP="000548A7">
      <w:pPr>
        <w:pStyle w:val="ListBullet2"/>
      </w:pPr>
      <w:r w:rsidRPr="000548A7">
        <w:t>buildings over 50 metres in height</w:t>
      </w:r>
    </w:p>
    <w:p w:rsidR="00000000" w:rsidRPr="000548A7" w:rsidP="000548A7">
      <w:pPr>
        <w:pStyle w:val="ListBullet"/>
      </w:pPr>
      <w:r w:rsidRPr="000548A7">
        <w:t>fire systems</w:t>
      </w:r>
      <w:r>
        <w:t>’</w:t>
      </w:r>
      <w:r w:rsidRPr="000548A7">
        <w:t xml:space="preserve"> technology and components:</w:t>
      </w:r>
    </w:p>
    <w:p w:rsidR="00000000" w:rsidRPr="000548A7" w:rsidP="000548A7">
      <w:pPr>
        <w:pStyle w:val="ListBullet2"/>
      </w:pPr>
      <w:r w:rsidRPr="000548A7">
        <w:t>water-based systems:</w:t>
      </w:r>
    </w:p>
    <w:p w:rsidR="00000000" w:rsidRPr="000548A7" w:rsidP="000548A7">
      <w:pPr>
        <w:pStyle w:val="ListBullet3"/>
      </w:pPr>
      <w:r w:rsidRPr="000548A7">
        <w:t>wet pipe sprinkler systems</w:t>
      </w:r>
    </w:p>
    <w:p w:rsidR="00000000" w:rsidRPr="000548A7" w:rsidP="000548A7">
      <w:pPr>
        <w:pStyle w:val="ListBullet3"/>
      </w:pPr>
      <w:r w:rsidRPr="000548A7">
        <w:t xml:space="preserve">deluge and drencher systems </w:t>
      </w:r>
    </w:p>
    <w:p w:rsidR="00000000" w:rsidRPr="000548A7" w:rsidP="000548A7">
      <w:pPr>
        <w:pStyle w:val="ListBullet3"/>
      </w:pPr>
      <w:r w:rsidRPr="000548A7">
        <w:t>dry pipe sprinkler systems</w:t>
      </w:r>
    </w:p>
    <w:p w:rsidR="00000000" w:rsidRPr="000548A7" w:rsidP="000548A7">
      <w:pPr>
        <w:pStyle w:val="ListBullet3"/>
      </w:pPr>
      <w:r w:rsidRPr="000548A7">
        <w:t>pre-action sprinkler systems</w:t>
      </w:r>
    </w:p>
    <w:p w:rsidR="00000000" w:rsidRPr="000548A7" w:rsidP="000548A7">
      <w:pPr>
        <w:pStyle w:val="ListBullet3"/>
      </w:pPr>
      <w:r w:rsidRPr="000548A7">
        <w:t>early suppression fast response (ESFR)</w:t>
      </w:r>
    </w:p>
    <w:p w:rsidR="00000000" w:rsidRPr="000548A7" w:rsidP="000548A7">
      <w:pPr>
        <w:pStyle w:val="ListBullet2"/>
      </w:pPr>
      <w:r w:rsidRPr="000548A7">
        <w:t>hydrants, hose reels and monitors</w:t>
      </w:r>
    </w:p>
    <w:p w:rsidR="00000000" w:rsidRPr="000548A7" w:rsidP="000548A7">
      <w:pPr>
        <w:pStyle w:val="ListBullet2"/>
      </w:pPr>
      <w:r w:rsidRPr="000548A7">
        <w:t>water supply tanks</w:t>
      </w:r>
    </w:p>
    <w:p w:rsidR="00000000" w:rsidRPr="000548A7" w:rsidP="000548A7">
      <w:pPr>
        <w:pStyle w:val="ListBullet2"/>
      </w:pPr>
      <w:r w:rsidRPr="000548A7">
        <w:t>fire pump sets</w:t>
      </w:r>
    </w:p>
    <w:p w:rsidR="00000000" w:rsidRPr="000548A7" w:rsidP="000548A7">
      <w:pPr>
        <w:pStyle w:val="ListBullet2"/>
      </w:pPr>
      <w:r w:rsidRPr="000548A7">
        <w:t>detection and warning systems:</w:t>
      </w:r>
    </w:p>
    <w:p w:rsidR="00000000" w:rsidRPr="000548A7" w:rsidP="000548A7">
      <w:pPr>
        <w:pStyle w:val="ListBullet3"/>
      </w:pPr>
      <w:r w:rsidRPr="000548A7">
        <w:t>occupant warning systems</w:t>
      </w:r>
    </w:p>
    <w:p w:rsidR="00000000" w:rsidRPr="000548A7" w:rsidP="000548A7">
      <w:pPr>
        <w:pStyle w:val="ListBullet3"/>
      </w:pPr>
      <w:r w:rsidRPr="000548A7">
        <w:t>emergency warning and intercommunications systems (EWIS)</w:t>
      </w:r>
    </w:p>
    <w:p w:rsidR="00000000" w:rsidRPr="000548A7" w:rsidP="000548A7">
      <w:pPr>
        <w:pStyle w:val="ListBullet3"/>
      </w:pPr>
      <w:r w:rsidRPr="000548A7">
        <w:t>fire detection and alarm systems</w:t>
      </w:r>
    </w:p>
    <w:p w:rsidR="00000000" w:rsidRPr="000548A7" w:rsidP="000548A7">
      <w:pPr>
        <w:pStyle w:val="ListBullet3"/>
      </w:pPr>
      <w:r w:rsidRPr="000548A7">
        <w:t>smoke control systems</w:t>
      </w:r>
    </w:p>
    <w:p w:rsidR="00000000" w:rsidRPr="000548A7" w:rsidP="000548A7">
      <w:pPr>
        <w:pStyle w:val="ListBullet3"/>
      </w:pPr>
      <w:r w:rsidRPr="000548A7">
        <w:t>emergency lighting systems</w:t>
      </w:r>
    </w:p>
    <w:p w:rsidR="00000000" w:rsidRPr="000548A7" w:rsidP="000548A7">
      <w:pPr>
        <w:pStyle w:val="ListBullet2"/>
      </w:pPr>
      <w:r w:rsidRPr="000548A7">
        <w:t>special hazard fire syste</w:t>
      </w:r>
      <w:r w:rsidRPr="000548A7">
        <w:t>ms:</w:t>
      </w:r>
    </w:p>
    <w:p w:rsidR="00000000" w:rsidRPr="000548A7" w:rsidP="000548A7">
      <w:pPr>
        <w:pStyle w:val="ListBullet2"/>
      </w:pPr>
      <w:r w:rsidRPr="000548A7">
        <w:t>foam systems (low expansion, medium expansion and high expansion)</w:t>
      </w:r>
    </w:p>
    <w:p w:rsidR="00000000" w:rsidRPr="000548A7" w:rsidP="000548A7">
      <w:pPr>
        <w:pStyle w:val="ListBullet2"/>
      </w:pPr>
      <w:r w:rsidRPr="000548A7">
        <w:t>gaseous agent systems (carbon dioxide, inert gas and halocarbon gases)</w:t>
      </w:r>
    </w:p>
    <w:p w:rsidR="00000000" w:rsidRPr="000548A7" w:rsidP="000548A7">
      <w:pPr>
        <w:pStyle w:val="ListBullet2"/>
      </w:pPr>
      <w:r w:rsidRPr="000548A7">
        <w:t>water spray systems (deluge, medium/high velocity water spray and high-speed deluge)</w:t>
      </w:r>
    </w:p>
    <w:p w:rsidR="00000000" w:rsidRPr="000548A7" w:rsidP="000548A7">
      <w:pPr>
        <w:pStyle w:val="ListBullet2"/>
      </w:pPr>
      <w:r w:rsidRPr="000548A7">
        <w:t>chemical powder systems</w:t>
      </w:r>
    </w:p>
    <w:p w:rsidR="00000000" w:rsidRPr="000548A7" w:rsidP="000548A7">
      <w:pPr>
        <w:pStyle w:val="ListBullet2"/>
      </w:pPr>
      <w:r w:rsidRPr="000548A7">
        <w:t>wet chemical systems</w:t>
      </w:r>
    </w:p>
    <w:p w:rsidR="00000000" w:rsidRPr="000548A7" w:rsidP="000548A7">
      <w:pPr>
        <w:pStyle w:val="ListBullet"/>
      </w:pPr>
      <w:r w:rsidRPr="000548A7">
        <w:t>characteristics and limitations of products and materials used in fire systems and issues relating to material compatibility</w:t>
      </w:r>
    </w:p>
    <w:p w:rsidR="00000000" w:rsidRPr="000548A7" w:rsidP="000548A7">
      <w:pPr>
        <w:pStyle w:val="ListBullet"/>
      </w:pPr>
      <w:r w:rsidRPr="000548A7">
        <w:t>interconnection of fire systems:</w:t>
      </w:r>
    </w:p>
    <w:p w:rsidR="00000000" w:rsidRPr="000548A7" w:rsidP="000548A7">
      <w:pPr>
        <w:pStyle w:val="ListBullet2"/>
      </w:pPr>
      <w:r w:rsidRPr="000548A7">
        <w:t>cause and effect matrix</w:t>
      </w:r>
    </w:p>
    <w:p w:rsidR="00000000" w:rsidRPr="000548A7" w:rsidP="000548A7">
      <w:pPr>
        <w:pStyle w:val="ListBullet2"/>
      </w:pPr>
      <w:r w:rsidRPr="000548A7">
        <w:t>interface with other services</w:t>
      </w:r>
    </w:p>
    <w:p w:rsidR="00000000" w:rsidRPr="000548A7" w:rsidP="000548A7">
      <w:pPr>
        <w:pStyle w:val="ListBullet"/>
      </w:pPr>
      <w:r w:rsidRPr="000548A7">
        <w:t xml:space="preserve">passive fire safety </w:t>
      </w:r>
      <w:r w:rsidRPr="000548A7">
        <w:t>elements:</w:t>
      </w:r>
    </w:p>
    <w:p w:rsidR="00000000" w:rsidRPr="000548A7" w:rsidP="000548A7">
      <w:pPr>
        <w:pStyle w:val="ListBullet2"/>
      </w:pPr>
      <w:r w:rsidRPr="000548A7">
        <w:t>identification of passive elements</w:t>
      </w:r>
    </w:p>
    <w:p w:rsidR="00000000" w:rsidRPr="000548A7" w:rsidP="000548A7">
      <w:pPr>
        <w:pStyle w:val="ListBullet2"/>
      </w:pPr>
      <w:r w:rsidRPr="000548A7">
        <w:t>requirements for safeguarding the integrity of passive fire element performance where penetrations have been made</w:t>
      </w:r>
    </w:p>
    <w:p w:rsidR="00000000" w:rsidRPr="000548A7" w:rsidP="000548A7">
      <w:pPr>
        <w:pStyle w:val="ListBullet"/>
      </w:pPr>
      <w:r w:rsidRPr="000548A7">
        <w:t>basic principles of structural engineering</w:t>
      </w:r>
    </w:p>
    <w:p w:rsidR="00000000" w:rsidRPr="000548A7" w:rsidP="000548A7">
      <w:pPr>
        <w:pStyle w:val="ListBullet"/>
      </w:pPr>
      <w:r w:rsidRPr="000548A7">
        <w:t xml:space="preserve">characteristics of building materials </w:t>
      </w:r>
    </w:p>
    <w:p w:rsidR="00000000" w:rsidRPr="000548A7" w:rsidP="000548A7">
      <w:pPr>
        <w:pStyle w:val="ListBullet"/>
      </w:pPr>
      <w:r w:rsidRPr="000548A7">
        <w:t>construction industry terminology</w:t>
      </w:r>
    </w:p>
    <w:p w:rsidR="00000000" w:rsidRPr="000548A7" w:rsidP="000548A7">
      <w:pPr>
        <w:pStyle w:val="ListBullet"/>
      </w:pPr>
      <w:r w:rsidRPr="000548A7">
        <w:t>sustainability requirements and ratings:</w:t>
      </w:r>
    </w:p>
    <w:p w:rsidR="00000000" w:rsidRPr="000548A7" w:rsidP="000548A7">
      <w:pPr>
        <w:pStyle w:val="ListBullet2"/>
      </w:pPr>
      <w:r w:rsidRPr="000548A7">
        <w:t>energy conservation</w:t>
      </w:r>
    </w:p>
    <w:p w:rsidR="00000000" w:rsidRPr="000548A7" w:rsidP="000548A7">
      <w:pPr>
        <w:pStyle w:val="ListBullet2"/>
      </w:pPr>
      <w:r w:rsidRPr="000548A7">
        <w:t>water conservation.</w:t>
      </w:r>
    </w:p>
    <w:p w:rsidR="00000000" w:rsidRPr="000548A7" w:rsidP="000548A7">
      <w:pPr>
        <w:pStyle w:val="AllowPageBreak"/>
      </w:pPr>
    </w:p>
    <w:p w:rsidR="00000000" w:rsidRPr="000548A7" w:rsidP="000548A7">
      <w:pPr>
        <w:pStyle w:val="Heading1"/>
      </w:pPr>
      <w:bookmarkStart w:id="4" w:name="O_1136663"/>
      <w:bookmarkEnd w:id="4"/>
      <w:r w:rsidRPr="000548A7">
        <w:t>Assessment Conditions</w:t>
      </w:r>
    </w:p>
    <w:p w:rsidR="00000000" w:rsidRPr="000548A7" w:rsidP="00C3309C">
      <w:pPr>
        <w:pStyle w:val="BodyText"/>
      </w:pPr>
      <w:r w:rsidRPr="000548A7">
        <w:t>Assessors must meet the requirements for assessors contained in the Standards for Registered Traini</w:t>
      </w:r>
      <w:r w:rsidRPr="000548A7">
        <w:t>ng Organisations.</w:t>
      </w:r>
    </w:p>
    <w:p w:rsidR="00000000" w:rsidRPr="000548A7" w:rsidP="00C3309C">
      <w:pPr>
        <w:pStyle w:val="BodyText"/>
      </w:pPr>
      <w:r w:rsidRPr="000548A7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0548A7" w:rsidP="000548A7">
      <w:pPr>
        <w:pStyle w:val="Heading1"/>
      </w:pPr>
      <w:bookmarkStart w:id="5" w:name="O_1136661"/>
      <w:bookmarkEnd w:id="5"/>
      <w:r w:rsidRPr="000548A7">
        <w:t>Links</w:t>
      </w:r>
    </w:p>
    <w:p w:rsidR="00000000" w:rsidRPr="000548A7" w:rsidP="00C3309C">
      <w:pPr>
        <w:pStyle w:val="BodyText"/>
      </w:pPr>
      <w:r w:rsidRPr="000548A7">
        <w:t>Co</w:t>
      </w:r>
      <w:r w:rsidRPr="000548A7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66E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548A7" w:rsidP="000548A7"/>
    <w:sectPr w:rsidSect="000548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A7" w:rsidRPr="00C3309C" w:rsidP="00C330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9C" w:rsidP="000548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309C" w:rsidP="000548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3309C" w:rsidP="000548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8A7" w:rsidRPr="00C3309C" w:rsidP="00C330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9C" w:rsidRPr="002D2AF8" w:rsidP="000548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CPCSFS5015 Prepare documentation for annual fire systems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3309C" w:rsidP="000548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DA9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D0A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9C2E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8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8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8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8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8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8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8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8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8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8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8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8A7"/>
  </w:style>
  <w:style w:type="character" w:customStyle="1" w:styleId="Heading1Char">
    <w:name w:val="Heading 1 Char"/>
    <w:basedOn w:val="DefaultParagraphFont"/>
    <w:link w:val="Heading1"/>
    <w:rsid w:val="000548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8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8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8A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48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48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8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48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548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8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8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8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8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8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8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8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8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8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8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8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8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8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8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8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48A7"/>
    <w:rPr>
      <w:b/>
      <w:spacing w:val="0"/>
    </w:rPr>
  </w:style>
  <w:style w:type="paragraph" w:customStyle="1" w:styleId="SuperTitle">
    <w:name w:val="SuperTitle"/>
    <w:basedOn w:val="Title"/>
    <w:rsid w:val="000548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8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8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8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8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8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8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8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8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8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8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8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8A7"/>
    <w:rPr>
      <w:i/>
    </w:rPr>
  </w:style>
  <w:style w:type="paragraph" w:styleId="Caption">
    <w:name w:val="caption"/>
    <w:basedOn w:val="BodyText"/>
    <w:next w:val="Normal"/>
    <w:qFormat/>
    <w:rsid w:val="000548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8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8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8A7"/>
  </w:style>
  <w:style w:type="paragraph" w:styleId="TableofFigures">
    <w:name w:val="table of figures"/>
    <w:basedOn w:val="Normal"/>
    <w:next w:val="Normal"/>
    <w:semiHidden/>
    <w:rsid w:val="000548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8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48A7"/>
    <w:rPr>
      <w:rFonts w:ascii="Wingdings" w:hAnsi="Wingdings"/>
    </w:rPr>
  </w:style>
  <w:style w:type="paragraph" w:customStyle="1" w:styleId="TableHeading">
    <w:name w:val="Table Heading"/>
    <w:basedOn w:val="HeadingBase"/>
    <w:rsid w:val="000548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8A7"/>
    <w:rPr>
      <w:color w:val="0033CC"/>
      <w:u w:val="none"/>
    </w:rPr>
  </w:style>
  <w:style w:type="paragraph" w:customStyle="1" w:styleId="BodyTextRight">
    <w:name w:val="Body Text Right"/>
    <w:basedOn w:val="BodyText"/>
    <w:rsid w:val="000548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8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8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8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8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8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8A7"/>
    <w:rPr>
      <w:sz w:val="32"/>
    </w:rPr>
  </w:style>
  <w:style w:type="paragraph" w:customStyle="1" w:styleId="HeadingProcedure">
    <w:name w:val="Heading Procedure"/>
    <w:basedOn w:val="HeadingBase"/>
    <w:next w:val="Normal"/>
    <w:rsid w:val="000548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8A7"/>
    <w:pPr>
      <w:spacing w:before="60" w:after="60"/>
    </w:pPr>
  </w:style>
  <w:style w:type="paragraph" w:styleId="ListContinue">
    <w:name w:val="List Continue"/>
    <w:basedOn w:val="List"/>
    <w:rsid w:val="000548A7"/>
    <w:pPr>
      <w:ind w:firstLine="0"/>
    </w:pPr>
  </w:style>
  <w:style w:type="paragraph" w:customStyle="1" w:styleId="ListNote">
    <w:name w:val="List Note"/>
    <w:basedOn w:val="List"/>
    <w:rsid w:val="000548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8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8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8A7"/>
    <w:rPr>
      <w:rFonts w:ascii="Courier New" w:hAnsi="Courier New"/>
    </w:rPr>
  </w:style>
  <w:style w:type="paragraph" w:customStyle="1" w:styleId="NoteBullet">
    <w:name w:val="Note Bullet"/>
    <w:basedOn w:val="Note"/>
    <w:rsid w:val="000548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8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8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8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8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48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8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8A7"/>
    <w:rPr>
      <w:b/>
      <w:smallCaps/>
    </w:rPr>
  </w:style>
  <w:style w:type="paragraph" w:customStyle="1" w:styleId="TableListNumber">
    <w:name w:val="Table List Number"/>
    <w:basedOn w:val="ListNumber"/>
    <w:rsid w:val="000548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8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8A7"/>
    <w:pPr>
      <w:numPr>
        <w:numId w:val="10"/>
      </w:numPr>
    </w:pPr>
  </w:style>
  <w:style w:type="paragraph" w:customStyle="1" w:styleId="ListAlpha2">
    <w:name w:val="List Alpha 2"/>
    <w:basedOn w:val="List2"/>
    <w:rsid w:val="000548A7"/>
    <w:pPr>
      <w:numPr>
        <w:numId w:val="9"/>
      </w:numPr>
    </w:pPr>
  </w:style>
  <w:style w:type="paragraph" w:styleId="List2">
    <w:name w:val="List 2"/>
    <w:basedOn w:val="BodyText"/>
    <w:rsid w:val="000548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8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8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8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48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48A7"/>
    <w:pPr>
      <w:numPr>
        <w:numId w:val="5"/>
      </w:numPr>
    </w:pPr>
  </w:style>
  <w:style w:type="paragraph" w:styleId="ListContinue2">
    <w:name w:val="List Continue 2"/>
    <w:basedOn w:val="List2"/>
    <w:rsid w:val="000548A7"/>
    <w:pPr>
      <w:ind w:firstLine="0"/>
    </w:pPr>
  </w:style>
  <w:style w:type="paragraph" w:styleId="ListContinue3">
    <w:name w:val="List Continue 3"/>
    <w:basedOn w:val="List3"/>
    <w:rsid w:val="000548A7"/>
    <w:pPr>
      <w:ind w:left="1021" w:firstLine="0"/>
    </w:pPr>
  </w:style>
  <w:style w:type="paragraph" w:styleId="ListContinue4">
    <w:name w:val="List Continue 4"/>
    <w:basedOn w:val="List4"/>
    <w:rsid w:val="000548A7"/>
    <w:pPr>
      <w:ind w:firstLine="0"/>
    </w:pPr>
  </w:style>
  <w:style w:type="paragraph" w:styleId="ListContinue5">
    <w:name w:val="List Continue 5"/>
    <w:basedOn w:val="List5"/>
    <w:rsid w:val="000548A7"/>
    <w:pPr>
      <w:ind w:firstLine="0"/>
    </w:pPr>
  </w:style>
  <w:style w:type="paragraph" w:styleId="ListNumber3">
    <w:name w:val="List Number 3"/>
    <w:basedOn w:val="List3"/>
    <w:rsid w:val="000548A7"/>
    <w:pPr>
      <w:numPr>
        <w:numId w:val="6"/>
      </w:numPr>
    </w:pPr>
  </w:style>
  <w:style w:type="paragraph" w:styleId="ListNumber4">
    <w:name w:val="List Number 4"/>
    <w:basedOn w:val="List4"/>
    <w:rsid w:val="000548A7"/>
    <w:pPr>
      <w:numPr>
        <w:numId w:val="7"/>
      </w:numPr>
    </w:pPr>
  </w:style>
  <w:style w:type="paragraph" w:styleId="ListNumber5">
    <w:name w:val="List Number 5"/>
    <w:basedOn w:val="List5"/>
    <w:rsid w:val="000548A7"/>
    <w:pPr>
      <w:numPr>
        <w:numId w:val="8"/>
      </w:numPr>
    </w:pPr>
  </w:style>
  <w:style w:type="paragraph" w:styleId="BlockText">
    <w:name w:val="Block Text"/>
    <w:basedOn w:val="Normal"/>
    <w:rsid w:val="000548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8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8A7"/>
    <w:rPr>
      <w:sz w:val="16"/>
      <w:vertAlign w:val="superscript"/>
    </w:rPr>
  </w:style>
  <w:style w:type="character" w:customStyle="1" w:styleId="Symbols">
    <w:name w:val="Symbols"/>
    <w:basedOn w:val="DefaultParagraphFont"/>
    <w:rsid w:val="000548A7"/>
    <w:rPr>
      <w:rFonts w:ascii="Symbol" w:hAnsi="Symbol"/>
    </w:rPr>
  </w:style>
  <w:style w:type="character" w:customStyle="1" w:styleId="MenuOptions">
    <w:name w:val="Menu Options"/>
    <w:basedOn w:val="DefaultParagraphFont"/>
    <w:rsid w:val="000548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8A7"/>
    <w:rPr>
      <w:b/>
    </w:rPr>
  </w:style>
  <w:style w:type="character" w:customStyle="1" w:styleId="Underlined">
    <w:name w:val="Underlined"/>
    <w:basedOn w:val="DefaultParagraphFont"/>
    <w:rsid w:val="000548A7"/>
    <w:rPr>
      <w:u w:val="single"/>
    </w:rPr>
  </w:style>
  <w:style w:type="paragraph" w:customStyle="1" w:styleId="TableBodyTextRight">
    <w:name w:val="Table Body Text Right"/>
    <w:basedOn w:val="TableBodyText"/>
    <w:rsid w:val="000548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8A7"/>
    <w:rPr>
      <w:sz w:val="18"/>
    </w:rPr>
  </w:style>
  <w:style w:type="paragraph" w:customStyle="1" w:styleId="BodySmallRight">
    <w:name w:val="Body Small Right"/>
    <w:basedOn w:val="BodyTextRight"/>
    <w:rsid w:val="000548A7"/>
    <w:rPr>
      <w:sz w:val="18"/>
      <w:szCs w:val="18"/>
    </w:rPr>
  </w:style>
  <w:style w:type="paragraph" w:customStyle="1" w:styleId="MarginEdition">
    <w:name w:val="Margin Edition"/>
    <w:basedOn w:val="MarginNote"/>
    <w:rsid w:val="000548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8A7"/>
    <w:rPr>
      <w:sz w:val="2"/>
      <w:szCs w:val="2"/>
    </w:rPr>
  </w:style>
  <w:style w:type="character" w:customStyle="1" w:styleId="Small">
    <w:name w:val="Small"/>
    <w:basedOn w:val="DefaultParagraphFont"/>
    <w:rsid w:val="000548A7"/>
    <w:rPr>
      <w:sz w:val="16"/>
    </w:rPr>
  </w:style>
  <w:style w:type="paragraph" w:customStyle="1" w:styleId="WideTable">
    <w:name w:val="Wide Table"/>
    <w:basedOn w:val="Normal"/>
    <w:rsid w:val="000548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8A7"/>
  </w:style>
  <w:style w:type="paragraph" w:styleId="Quote">
    <w:name w:val="Quote"/>
    <w:basedOn w:val="Heading1"/>
    <w:link w:val="QuoteChar"/>
    <w:qFormat/>
    <w:rsid w:val="000548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8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8A7"/>
    <w:pPr>
      <w:pageBreakBefore/>
    </w:pPr>
  </w:style>
  <w:style w:type="paragraph" w:customStyle="1" w:styleId="Border">
    <w:name w:val="Border"/>
    <w:basedOn w:val="Normal"/>
    <w:qFormat/>
    <w:rsid w:val="000548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8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8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8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8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8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8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8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8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8A7"/>
    <w:rPr>
      <w:u w:val="single"/>
    </w:rPr>
  </w:style>
  <w:style w:type="character" w:customStyle="1" w:styleId="BoldandItalics">
    <w:name w:val="Bold and Italics"/>
    <w:qFormat/>
    <w:rsid w:val="000548A7"/>
    <w:rPr>
      <w:b/>
      <w:i/>
      <w:u w:val="none"/>
    </w:rPr>
  </w:style>
  <w:style w:type="paragraph" w:styleId="BalloonText">
    <w:name w:val="Balloon Text"/>
    <w:basedOn w:val="Normal"/>
    <w:link w:val="BalloonTextChar"/>
    <w:rsid w:val="000548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8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8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8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8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8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8A7"/>
    <w:pPr>
      <w:spacing w:before="0" w:after="0"/>
    </w:pPr>
  </w:style>
  <w:style w:type="paragraph" w:customStyle="1" w:styleId="BodyTextBold">
    <w:name w:val="Body Text Bold"/>
    <w:basedOn w:val="BodyText"/>
    <w:qFormat/>
    <w:rsid w:val="000548A7"/>
    <w:rPr>
      <w:b/>
    </w:rPr>
  </w:style>
  <w:style w:type="character" w:styleId="Hyperlink">
    <w:name w:val="Hyperlink"/>
    <w:basedOn w:val="DefaultParagraphFont"/>
    <w:uiPriority w:val="99"/>
    <w:unhideWhenUsed/>
    <w:rsid w:val="00C330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3560</Characters>
  <Application>Microsoft Office Word</Application>
  <DocSecurity>0</DocSecurity>
  <Lines>107</Lines>
  <Paragraphs>94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CPCSFS5015 Prepare documentation for annual fire systems inspections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