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34F4" w:rsidP="005A34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CPCSFS5014 Conduct annual fire systems inspections</w:t>
      </w:r>
      <w:r>
        <w:fldChar w:fldCharType="end"/>
      </w:r>
    </w:p>
    <w:p w:rsidR="005A34F4" w:rsidP="005A34F4">
      <w:pPr>
        <w:pStyle w:val="Version"/>
        <w:sectPr w:rsidSect="00780D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0D70" w:rsidP="00780D70">
      <w:pPr>
        <w:pStyle w:val="SuperHeading"/>
      </w:pPr>
      <w:r w:rsidRPr="00780D70">
        <w:t>CPCSFS5014 Conduct annual fire systems inspections</w:t>
      </w:r>
    </w:p>
    <w:p w:rsidR="00000000" w:rsidRPr="00780D70" w:rsidP="00780D70">
      <w:pPr>
        <w:pStyle w:val="Heading1"/>
      </w:pPr>
      <w:bookmarkStart w:id="1" w:name="O_1136649"/>
      <w:bookmarkEnd w:id="1"/>
      <w:r w:rsidRPr="00780D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780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70">
            <w:pPr>
              <w:pStyle w:val="BodyText"/>
              <w:rPr>
                <w:lang w:val="en-NZ"/>
              </w:rPr>
            </w:pPr>
            <w:r w:rsidRPr="00780D70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D70" w:rsidP="00780D70">
            <w:pPr>
              <w:pStyle w:val="BodyText"/>
            </w:pPr>
            <w:r w:rsidRPr="00780D70">
              <w:t>This version first released with CPC Construction, Plumbing and Services Training Package Release 5.0.</w:t>
            </w:r>
          </w:p>
          <w:p w:rsidR="00000000" w:rsidRPr="00780D70" w:rsidP="00780D70">
            <w:pPr>
              <w:pStyle w:val="BodyText"/>
            </w:pPr>
            <w:r w:rsidRPr="00780D70">
              <w:t>Supersedes and is equivalent to CPCSFS5014A Conduct annual fire systems certification inspections.  Updated to me</w:t>
            </w:r>
            <w:r w:rsidRPr="00780D70">
              <w:t>et the Standards for Training Packages 2012.</w:t>
            </w:r>
          </w:p>
        </w:tc>
      </w:tr>
    </w:tbl>
    <w:p w:rsidR="00000000" w:rsidRPr="00780D70" w:rsidP="00780D70">
      <w:pPr>
        <w:pStyle w:val="BodyText"/>
      </w:pPr>
    </w:p>
    <w:p w:rsidR="00000000" w:rsidRPr="00780D70" w:rsidP="00780D70">
      <w:pPr>
        <w:pStyle w:val="AllowPageBreak"/>
      </w:pPr>
    </w:p>
    <w:p w:rsidR="00000000" w:rsidRPr="00780D70" w:rsidP="00780D70">
      <w:pPr>
        <w:pStyle w:val="Heading1"/>
      </w:pPr>
      <w:bookmarkStart w:id="2" w:name="O_1136655"/>
      <w:bookmarkEnd w:id="2"/>
      <w:r w:rsidRPr="00780D70">
        <w:t>Application</w:t>
      </w:r>
    </w:p>
    <w:p w:rsidR="00000000" w:rsidRPr="00780D70" w:rsidP="005A34F4">
      <w:pPr>
        <w:pStyle w:val="BodyText"/>
      </w:pPr>
      <w:r w:rsidRPr="00780D70">
        <w:t>This unit of competency specifies the outcomes required to assess all types of fire systems in all types of buildings to ensure that the systems comply with applicable legislatio</w:t>
      </w:r>
      <w:r w:rsidRPr="00780D70">
        <w:t>n and will perform in the event of a fire.</w:t>
      </w:r>
    </w:p>
    <w:p w:rsidR="00000000" w:rsidRPr="00780D70" w:rsidP="005A34F4">
      <w:pPr>
        <w:pStyle w:val="BodyText"/>
      </w:pPr>
      <w:r w:rsidRPr="00780D70">
        <w:t>This unit of competency supports the role of annual inspectors of fire systems with responsibility for inspecting existing fire systems; assessing compliance with the relevant applicable legislation, codes and sta</w:t>
      </w:r>
      <w:r w:rsidRPr="00780D70">
        <w:t>ndards; and advising whether they continue to perform to current fire safety standards.</w:t>
      </w:r>
    </w:p>
    <w:p w:rsidR="00000000" w:rsidRPr="00780D70" w:rsidP="005A34F4">
      <w:pPr>
        <w:pStyle w:val="BodyText"/>
      </w:pPr>
      <w:r w:rsidRPr="00780D70">
        <w:t>In some jurisdictions, this unit of competency may form part of accreditation, licensing, legislative, regulatory or certification requirements.</w:t>
      </w:r>
    </w:p>
    <w:p w:rsidR="00000000" w:rsidRPr="00780D70" w:rsidP="00780D70">
      <w:pPr>
        <w:pStyle w:val="Heading1"/>
      </w:pPr>
      <w:bookmarkStart w:id="3" w:name="O_1136654"/>
      <w:bookmarkEnd w:id="3"/>
      <w:r w:rsidRPr="00780D70">
        <w:t>Pre-</w:t>
      </w:r>
      <w:r w:rsidRPr="00780D70">
        <w:t>requisite Unit</w:t>
      </w:r>
    </w:p>
    <w:p w:rsidR="00000000" w:rsidRPr="00780D70" w:rsidP="005A34F4">
      <w:pPr>
        <w:pStyle w:val="BodyText"/>
      </w:pPr>
      <w:r w:rsidRPr="00780D70">
        <w:t>Nil.</w:t>
      </w:r>
    </w:p>
    <w:p w:rsidR="00000000" w:rsidRPr="00780D70" w:rsidP="00780D70">
      <w:pPr>
        <w:pStyle w:val="Heading1"/>
      </w:pPr>
      <w:bookmarkStart w:id="4" w:name="O_1136653"/>
      <w:bookmarkEnd w:id="4"/>
      <w:r w:rsidRPr="00780D70">
        <w:t>Unit Sector</w:t>
      </w:r>
    </w:p>
    <w:p w:rsidR="00000000" w:rsidRPr="00780D70" w:rsidP="005A34F4">
      <w:pPr>
        <w:pStyle w:val="BodyText"/>
      </w:pPr>
      <w:r w:rsidRPr="00780D70">
        <w:t>Plumbing and Fire Services</w:t>
      </w:r>
    </w:p>
    <w:p w:rsidR="00000000" w:rsidRPr="00780D70" w:rsidP="00780D70">
      <w:pPr>
        <w:pStyle w:val="Heading1"/>
      </w:pPr>
      <w:bookmarkStart w:id="5" w:name="O_1136652"/>
      <w:bookmarkEnd w:id="5"/>
      <w:r w:rsidRPr="00780D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80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70">
            <w:pPr>
              <w:pStyle w:val="BodyText"/>
              <w:rPr>
                <w:lang w:val="en-NZ"/>
              </w:rPr>
            </w:pPr>
            <w:r w:rsidRPr="00780D7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70">
            <w:pPr>
              <w:pStyle w:val="BodyText"/>
              <w:rPr>
                <w:lang w:val="en-NZ"/>
              </w:rPr>
            </w:pPr>
            <w:r w:rsidRPr="00780D70">
              <w:t>Performance criteria describe what needs to be done to demonstrate achievement of the element.</w:t>
            </w:r>
          </w:p>
        </w:tc>
      </w:tr>
      <w:tr w:rsidTr="00780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70">
            <w:pPr>
              <w:pStyle w:val="BodyText"/>
              <w:rPr>
                <w:lang w:val="en-NZ"/>
              </w:rPr>
            </w:pPr>
            <w:r w:rsidRPr="00780D7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70">
            <w:pPr>
              <w:pStyle w:val="BodyText"/>
              <w:rPr>
                <w:lang w:val="en-NZ"/>
              </w:rPr>
            </w:pPr>
            <w:r w:rsidRPr="00780D70">
              <w:t>Prepare for annual fire systems inspections.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70">
            <w:pPr>
              <w:pStyle w:val="BodyText"/>
              <w:rPr>
                <w:lang w:val="en-NZ"/>
              </w:rPr>
            </w:pPr>
            <w:r w:rsidRPr="00780D7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70">
            <w:pPr>
              <w:pStyle w:val="BodyText"/>
              <w:rPr>
                <w:lang w:val="en-NZ"/>
              </w:rPr>
            </w:pPr>
            <w:r w:rsidRPr="00780D70">
              <w:t xml:space="preserve">Schedule annual fire systems inspections in a timely manner and in consultation with relevant stakeholders, </w:t>
            </w:r>
            <w:r w:rsidRPr="00780D70">
              <w:t xml:space="preserve">as required. </w:t>
            </w:r>
          </w:p>
        </w:tc>
      </w:tr>
      <w:tr w:rsidTr="00780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70">
            <w:pPr>
              <w:pStyle w:val="BodyText"/>
              <w:rPr>
                <w:lang w:val="en-NZ"/>
              </w:rPr>
            </w:pPr>
            <w:r w:rsidRPr="00780D7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70">
            <w:pPr>
              <w:pStyle w:val="BodyText"/>
              <w:rPr>
                <w:lang w:val="en-NZ"/>
              </w:rPr>
            </w:pPr>
            <w:r w:rsidRPr="00780D70">
              <w:t xml:space="preserve">Obtain and review current building plans and identify and note modifications made to the building since the </w:t>
            </w:r>
            <w:r w:rsidRPr="00780D70">
              <w:t>last inspection.</w:t>
            </w:r>
          </w:p>
        </w:tc>
      </w:tr>
      <w:tr w:rsidTr="00780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70">
            <w:pPr>
              <w:pStyle w:val="BodyText"/>
              <w:rPr>
                <w:lang w:val="en-NZ"/>
              </w:rPr>
            </w:pPr>
            <w:r w:rsidRPr="00780D7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70">
            <w:pPr>
              <w:pStyle w:val="BodyText"/>
              <w:rPr>
                <w:lang w:val="en-NZ"/>
              </w:rPr>
            </w:pPr>
            <w:r w:rsidRPr="00780D70">
              <w:t>Review and use information regarding the current and historical legislation, codes and standards and fire engineered solutions applicable to fire systems to inform inspection planning.</w:t>
            </w:r>
          </w:p>
        </w:tc>
      </w:tr>
      <w:tr w:rsidTr="00780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70">
            <w:pPr>
              <w:pStyle w:val="BodyText"/>
              <w:rPr>
                <w:lang w:val="en-NZ"/>
              </w:rPr>
            </w:pPr>
            <w:r w:rsidRPr="00780D7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70">
            <w:pPr>
              <w:pStyle w:val="BodyText"/>
              <w:rPr>
                <w:lang w:val="en-NZ"/>
              </w:rPr>
            </w:pPr>
            <w:r w:rsidRPr="00780D70">
              <w:t>Review and use information regarding the validity of fire system</w:t>
            </w:r>
            <w:r w:rsidRPr="00780D70">
              <w:t>s</w:t>
            </w:r>
            <w:r>
              <w:t>’</w:t>
            </w:r>
            <w:r w:rsidRPr="00780D70">
              <w:t xml:space="preserve"> compliance documentation to inform inspection planning.</w:t>
            </w:r>
          </w:p>
        </w:tc>
      </w:tr>
      <w:tr w:rsidTr="00780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70">
            <w:pPr>
              <w:pStyle w:val="BodyText"/>
              <w:rPr>
                <w:lang w:val="en-NZ"/>
              </w:rPr>
            </w:pPr>
            <w:r w:rsidRPr="00780D7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70">
            <w:pPr>
              <w:pStyle w:val="BodyText"/>
              <w:rPr>
                <w:lang w:val="en-NZ"/>
              </w:rPr>
            </w:pPr>
            <w:r w:rsidRPr="00780D70">
              <w:t>Plan fire systems certification inspections to ensure efficient and comprehensive implementation.</w:t>
            </w:r>
          </w:p>
        </w:tc>
      </w:tr>
      <w:tr w:rsidTr="00780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70">
            <w:pPr>
              <w:pStyle w:val="BodyText"/>
              <w:rPr>
                <w:lang w:val="en-NZ"/>
              </w:rPr>
            </w:pPr>
          </w:p>
        </w:tc>
      </w:tr>
      <w:tr w:rsidTr="00780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70">
            <w:pPr>
              <w:pStyle w:val="BodyText"/>
              <w:rPr>
                <w:lang w:val="en-NZ"/>
              </w:rPr>
            </w:pPr>
            <w:r w:rsidRPr="00780D7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70">
            <w:pPr>
              <w:pStyle w:val="BodyText"/>
              <w:rPr>
                <w:lang w:val="en-NZ"/>
              </w:rPr>
            </w:pPr>
            <w:r w:rsidRPr="00780D70">
              <w:t>Conduct annual fire systems inspections.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70">
            <w:pPr>
              <w:pStyle w:val="BodyText"/>
              <w:rPr>
                <w:lang w:val="en-NZ"/>
              </w:rPr>
            </w:pPr>
            <w:r w:rsidRPr="00780D7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70">
            <w:pPr>
              <w:pStyle w:val="BodyText"/>
              <w:rPr>
                <w:lang w:val="en-NZ"/>
              </w:rPr>
            </w:pPr>
            <w:r w:rsidRPr="00780D70">
              <w:t xml:space="preserve">Inspect and assess each aspect of each fire system for compliance with the applicable current and historical legislation, codes, standards, regulatory requirements and document findings. </w:t>
            </w:r>
          </w:p>
        </w:tc>
      </w:tr>
      <w:tr w:rsidTr="00780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70">
            <w:pPr>
              <w:pStyle w:val="BodyText"/>
              <w:rPr>
                <w:lang w:val="en-NZ"/>
              </w:rPr>
            </w:pPr>
            <w:r w:rsidRPr="00780D7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70">
            <w:pPr>
              <w:pStyle w:val="BodyText"/>
              <w:rPr>
                <w:lang w:val="en-NZ"/>
              </w:rPr>
            </w:pPr>
            <w:r w:rsidRPr="00780D70">
              <w:t xml:space="preserve">Assess and record the current performance level of each fire </w:t>
            </w:r>
            <w:r w:rsidRPr="00780D70">
              <w:t>system.</w:t>
            </w:r>
          </w:p>
        </w:tc>
      </w:tr>
      <w:tr w:rsidTr="00780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70">
            <w:pPr>
              <w:pStyle w:val="BodyText"/>
              <w:rPr>
                <w:lang w:val="en-NZ"/>
              </w:rPr>
            </w:pPr>
          </w:p>
        </w:tc>
      </w:tr>
      <w:tr w:rsidTr="00780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70">
            <w:pPr>
              <w:pStyle w:val="BodyText"/>
              <w:rPr>
                <w:lang w:val="en-NZ"/>
              </w:rPr>
            </w:pPr>
            <w:r w:rsidRPr="00780D7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70">
            <w:pPr>
              <w:pStyle w:val="BodyText"/>
              <w:rPr>
                <w:lang w:val="en-NZ"/>
              </w:rPr>
            </w:pPr>
            <w:r w:rsidRPr="00780D70">
              <w:t>Produce annual fire systems inspection reports and communicate findings.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70">
            <w:pPr>
              <w:pStyle w:val="BodyText"/>
              <w:rPr>
                <w:lang w:val="en-NZ"/>
              </w:rPr>
            </w:pPr>
            <w:r w:rsidRPr="00780D7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70">
            <w:pPr>
              <w:pStyle w:val="BodyText"/>
              <w:rPr>
                <w:lang w:val="en-NZ"/>
              </w:rPr>
            </w:pPr>
            <w:r w:rsidRPr="00780D70">
              <w:t>Analyse the findings of inspections and identify and record works required to address shortfalls in fire systems</w:t>
            </w:r>
            <w:r>
              <w:t>’</w:t>
            </w:r>
            <w:r w:rsidRPr="00780D70">
              <w:t xml:space="preserve"> compliance or performance according to regulatory requirements.</w:t>
            </w:r>
          </w:p>
        </w:tc>
      </w:tr>
      <w:tr w:rsidTr="00780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70">
            <w:pPr>
              <w:pStyle w:val="BodyText"/>
              <w:rPr>
                <w:lang w:val="en-NZ"/>
              </w:rPr>
            </w:pPr>
            <w:r w:rsidRPr="00780D7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70">
            <w:pPr>
              <w:pStyle w:val="BodyText"/>
              <w:rPr>
                <w:lang w:val="en-NZ"/>
              </w:rPr>
            </w:pPr>
            <w:r w:rsidRPr="00780D70">
              <w:t>Produce and process reports according to regulatory requirements.</w:t>
            </w:r>
          </w:p>
        </w:tc>
      </w:tr>
      <w:tr w:rsidTr="00780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70">
            <w:pPr>
              <w:pStyle w:val="BodyText"/>
              <w:rPr>
                <w:lang w:val="en-NZ"/>
              </w:rPr>
            </w:pPr>
            <w:r w:rsidRPr="00780D7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D70" w:rsidP="00780D70">
            <w:pPr>
              <w:pStyle w:val="BodyText"/>
            </w:pPr>
            <w:r w:rsidRPr="00780D70">
              <w:t>Communicate the findings of the report to relevant stakeholders according to regulatory requirements, and carefully explain works required to rectify fire systems.</w:t>
            </w:r>
          </w:p>
        </w:tc>
      </w:tr>
    </w:tbl>
    <w:p w:rsidR="00000000" w:rsidRPr="00780D70" w:rsidP="00780D70">
      <w:pPr>
        <w:pStyle w:val="BodyText"/>
      </w:pPr>
    </w:p>
    <w:p w:rsidR="00000000" w:rsidRPr="00780D70" w:rsidP="00780D70">
      <w:pPr>
        <w:pStyle w:val="AllowPageBreak"/>
      </w:pPr>
    </w:p>
    <w:p w:rsidR="00000000" w:rsidRPr="00780D70" w:rsidP="00780D70">
      <w:pPr>
        <w:pStyle w:val="Heading1"/>
      </w:pPr>
      <w:bookmarkStart w:id="6" w:name="O_1136651"/>
      <w:bookmarkEnd w:id="6"/>
      <w:r w:rsidRPr="00780D70">
        <w:t>Foundation Skills</w:t>
      </w:r>
    </w:p>
    <w:p w:rsidR="00000000" w:rsidRPr="00780D70" w:rsidP="005A34F4">
      <w:pPr>
        <w:pStyle w:val="BodyText"/>
      </w:pPr>
      <w:r w:rsidRPr="00780D70">
        <w:t xml:space="preserve">Foundation skills essential to performance are explicit in the performance criteria of this unit of competency. </w:t>
      </w:r>
    </w:p>
    <w:p w:rsidR="00000000" w:rsidRPr="00780D70" w:rsidP="00780D70">
      <w:pPr>
        <w:pStyle w:val="Heading1"/>
      </w:pPr>
      <w:bookmarkStart w:id="7" w:name="O_1136650"/>
      <w:bookmarkEnd w:id="7"/>
      <w:r w:rsidRPr="00780D70">
        <w:t>Unit Mapping Information</w:t>
      </w:r>
    </w:p>
    <w:p w:rsidR="00000000" w:rsidRPr="00780D70" w:rsidP="005A34F4">
      <w:pPr>
        <w:pStyle w:val="BodyText"/>
      </w:pPr>
      <w:r w:rsidRPr="00780D70">
        <w:t>Supersedes and is equivalent to CPCSFS5014A Conduct annual fire systems certification inspections.</w:t>
      </w:r>
    </w:p>
    <w:p w:rsidR="00000000" w:rsidRPr="00780D70" w:rsidP="00780D70">
      <w:pPr>
        <w:pStyle w:val="Heading1"/>
      </w:pPr>
      <w:bookmarkStart w:id="8" w:name="O_1136643"/>
      <w:bookmarkEnd w:id="8"/>
      <w:r w:rsidRPr="00780D70">
        <w:t>Links</w:t>
      </w:r>
    </w:p>
    <w:p w:rsidR="00000000" w:rsidRPr="00780D70" w:rsidP="005A34F4">
      <w:pPr>
        <w:pStyle w:val="BodyText"/>
      </w:pPr>
      <w:r w:rsidRPr="00780D7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0715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80D70" w:rsidP="005A34F4">
      <w:pPr>
        <w:pStyle w:val="BodyText"/>
        <w:sectPr w:rsidSect="00780D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0D70" w:rsidP="00780D70">
      <w:pPr>
        <w:pStyle w:val="SuperHeading"/>
      </w:pPr>
      <w:r w:rsidRPr="00780D70">
        <w:t>Assessment Require</w:t>
      </w:r>
      <w:r w:rsidRPr="00780D70">
        <w:t>ments for CPCSFS5014 Conduct annual fire systems inspections</w:t>
      </w:r>
    </w:p>
    <w:p w:rsidR="00000000" w:rsidRPr="00780D70" w:rsidP="00780D70">
      <w:pPr>
        <w:pStyle w:val="Heading1"/>
      </w:pPr>
      <w:bookmarkStart w:id="9" w:name="O_1136645"/>
      <w:bookmarkEnd w:id="9"/>
      <w:r w:rsidRPr="00780D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780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70">
            <w:pPr>
              <w:pStyle w:val="BodyText"/>
              <w:rPr>
                <w:lang w:val="en-NZ"/>
              </w:rPr>
            </w:pPr>
            <w:r w:rsidRPr="00780D70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D70" w:rsidP="00780D70">
            <w:pPr>
              <w:pStyle w:val="BodyText"/>
            </w:pPr>
            <w:r w:rsidRPr="00780D70">
              <w:t>This version first released with CPC Construction, Plumbing and Services Training Package Release 5.0.</w:t>
            </w:r>
          </w:p>
          <w:p w:rsidR="00000000" w:rsidRPr="00780D70" w:rsidP="00780D70">
            <w:pPr>
              <w:pStyle w:val="BodyText"/>
            </w:pPr>
            <w:r w:rsidRPr="00780D70">
              <w:t>Supersedes and is equivalent to CPCSFS5014A</w:t>
            </w:r>
            <w:r w:rsidRPr="00780D70">
              <w:t xml:space="preserve"> Conduct annual fire systems certification inspections.  Updated to meet the Standards for Training Packages 2012.</w:t>
            </w:r>
          </w:p>
        </w:tc>
      </w:tr>
    </w:tbl>
    <w:p w:rsidR="00000000" w:rsidRPr="00780D70" w:rsidP="00780D70">
      <w:pPr>
        <w:pStyle w:val="BodyText"/>
      </w:pPr>
    </w:p>
    <w:p w:rsidR="00000000" w:rsidRPr="00780D70" w:rsidP="00780D70">
      <w:pPr>
        <w:pStyle w:val="AllowPageBreak"/>
      </w:pPr>
    </w:p>
    <w:p w:rsidR="00000000" w:rsidRPr="00780D70" w:rsidP="00780D70">
      <w:pPr>
        <w:pStyle w:val="Heading1"/>
      </w:pPr>
      <w:bookmarkStart w:id="10" w:name="O_1136648"/>
      <w:bookmarkEnd w:id="10"/>
      <w:r w:rsidRPr="00780D70">
        <w:t>Performance Evidence</w:t>
      </w:r>
    </w:p>
    <w:p w:rsidR="00000000" w:rsidRPr="00780D70" w:rsidP="005A34F4">
      <w:pPr>
        <w:pStyle w:val="BodyText"/>
      </w:pPr>
      <w:r w:rsidRPr="00780D70">
        <w:t>To demonstrate competency, a candidate must meet the performance criteria for this unit by:</w:t>
      </w:r>
    </w:p>
    <w:p w:rsidR="00000000" w:rsidRPr="00780D70" w:rsidP="00780D70">
      <w:pPr>
        <w:pStyle w:val="ListBullet"/>
      </w:pPr>
      <w:r w:rsidRPr="00780D70">
        <w:t>preparing for, conducting and reporting on annual fire systems inspections for four types of fire systems in buildings with different construction and modification histories, including:</w:t>
      </w:r>
    </w:p>
    <w:p w:rsidR="00000000" w:rsidRPr="00780D70" w:rsidP="00780D70">
      <w:pPr>
        <w:pStyle w:val="ListBullet2"/>
      </w:pPr>
      <w:r w:rsidRPr="00780D70">
        <w:t>commercial building</w:t>
      </w:r>
    </w:p>
    <w:p w:rsidR="00000000" w:rsidRPr="00780D70" w:rsidP="00780D70">
      <w:pPr>
        <w:pStyle w:val="ListBullet2"/>
      </w:pPr>
      <w:r w:rsidRPr="00780D70">
        <w:t>factory</w:t>
      </w:r>
    </w:p>
    <w:p w:rsidR="00000000" w:rsidRPr="00780D70" w:rsidP="00780D70">
      <w:pPr>
        <w:pStyle w:val="ListBullet2"/>
      </w:pPr>
      <w:r w:rsidRPr="00780D70">
        <w:t>residential nursing home</w:t>
      </w:r>
    </w:p>
    <w:p w:rsidR="00000000" w:rsidRPr="00780D70" w:rsidP="00780D70">
      <w:pPr>
        <w:pStyle w:val="ListBullet2"/>
      </w:pPr>
      <w:r w:rsidRPr="00780D70">
        <w:t>high-rise buildi</w:t>
      </w:r>
      <w:r w:rsidRPr="00780D70">
        <w:t>ng.</w:t>
      </w:r>
    </w:p>
    <w:p w:rsidR="00000000" w:rsidRPr="00780D70" w:rsidP="00780D70">
      <w:pPr>
        <w:pStyle w:val="AllowPageBreak"/>
      </w:pPr>
    </w:p>
    <w:p w:rsidR="00000000" w:rsidRPr="00780D70" w:rsidP="00780D70">
      <w:pPr>
        <w:pStyle w:val="Heading1"/>
      </w:pPr>
      <w:bookmarkStart w:id="11" w:name="O_1136647"/>
      <w:bookmarkEnd w:id="11"/>
      <w:r w:rsidRPr="00780D70">
        <w:t>Knowledge Evidence</w:t>
      </w:r>
    </w:p>
    <w:p w:rsidR="00000000" w:rsidRPr="00780D70" w:rsidP="005A34F4">
      <w:pPr>
        <w:pStyle w:val="BodyText"/>
      </w:pPr>
      <w:r w:rsidRPr="00780D70">
        <w:t>To be competent in this unit, a candidate must demonstrate knowledge of:</w:t>
      </w:r>
    </w:p>
    <w:p w:rsidR="00000000" w:rsidRPr="00780D70" w:rsidP="00780D70">
      <w:pPr>
        <w:pStyle w:val="ListBullet"/>
      </w:pPr>
      <w:r w:rsidRPr="00780D70">
        <w:t>auditing processes and protocols:</w:t>
      </w:r>
    </w:p>
    <w:p w:rsidR="00000000" w:rsidRPr="00780D70" w:rsidP="00780D70">
      <w:pPr>
        <w:pStyle w:val="ListBullet2"/>
      </w:pPr>
      <w:r w:rsidRPr="00780D70">
        <w:t>compliance documentation:</w:t>
      </w:r>
    </w:p>
    <w:p w:rsidR="00000000" w:rsidRPr="00780D70" w:rsidP="00780D70">
      <w:pPr>
        <w:pStyle w:val="ListBullet3"/>
      </w:pPr>
      <w:r w:rsidRPr="00780D70">
        <w:t>fire safety schedules</w:t>
      </w:r>
    </w:p>
    <w:p w:rsidR="00000000" w:rsidRPr="00780D70" w:rsidP="00780D70">
      <w:pPr>
        <w:pStyle w:val="ListBullet3"/>
      </w:pPr>
      <w:r w:rsidRPr="00780D70">
        <w:t>inspection and testing logbooks</w:t>
      </w:r>
    </w:p>
    <w:p w:rsidR="00000000" w:rsidRPr="00780D70" w:rsidP="00780D70">
      <w:pPr>
        <w:pStyle w:val="ListBullet3"/>
      </w:pPr>
      <w:r w:rsidRPr="00780D70">
        <w:t>maintenance, repair and replacement documentation</w:t>
      </w:r>
    </w:p>
    <w:p w:rsidR="00000000" w:rsidRPr="00780D70" w:rsidP="00780D70">
      <w:pPr>
        <w:pStyle w:val="ListBullet2"/>
      </w:pPr>
      <w:r w:rsidRPr="00780D70">
        <w:t>roles and responsibilities of relevant professional personnel:</w:t>
      </w:r>
    </w:p>
    <w:p w:rsidR="00000000" w:rsidRPr="00780D70" w:rsidP="00780D70">
      <w:pPr>
        <w:pStyle w:val="ListBullet3"/>
      </w:pPr>
      <w:r w:rsidRPr="00780D70">
        <w:t>fire engineer</w:t>
      </w:r>
    </w:p>
    <w:p w:rsidR="00000000" w:rsidRPr="00780D70" w:rsidP="00780D70">
      <w:pPr>
        <w:pStyle w:val="ListBullet3"/>
      </w:pPr>
      <w:r w:rsidRPr="00780D70">
        <w:t>fire brigade personnel</w:t>
      </w:r>
    </w:p>
    <w:p w:rsidR="00000000" w:rsidRPr="00780D70" w:rsidP="00780D70">
      <w:pPr>
        <w:pStyle w:val="ListBullet3"/>
      </w:pPr>
      <w:r w:rsidRPr="00780D70">
        <w:t>building surveyor or certifier</w:t>
      </w:r>
    </w:p>
    <w:p w:rsidR="00000000" w:rsidRPr="00780D70" w:rsidP="00780D70">
      <w:pPr>
        <w:pStyle w:val="ListBullet3"/>
      </w:pPr>
      <w:r w:rsidRPr="00780D70">
        <w:t>persons with regulatory authority</w:t>
      </w:r>
    </w:p>
    <w:p w:rsidR="00000000" w:rsidRPr="00780D70" w:rsidP="00780D70">
      <w:pPr>
        <w:pStyle w:val="ListBullet3"/>
      </w:pPr>
      <w:r w:rsidRPr="00780D70">
        <w:t>architect</w:t>
      </w:r>
    </w:p>
    <w:p w:rsidR="00000000" w:rsidRPr="00780D70" w:rsidP="00780D70">
      <w:pPr>
        <w:pStyle w:val="ListBullet3"/>
      </w:pPr>
      <w:r w:rsidRPr="00780D70">
        <w:t>structural engineer</w:t>
      </w:r>
    </w:p>
    <w:p w:rsidR="00000000" w:rsidRPr="00780D70" w:rsidP="00780D70">
      <w:pPr>
        <w:pStyle w:val="ListBullet3"/>
      </w:pPr>
      <w:r w:rsidRPr="00780D70">
        <w:t>fire syst</w:t>
      </w:r>
      <w:r w:rsidRPr="00780D70">
        <w:t>ems</w:t>
      </w:r>
      <w:r>
        <w:t>’</w:t>
      </w:r>
      <w:r w:rsidRPr="00780D70">
        <w:t xml:space="preserve"> designer</w:t>
      </w:r>
    </w:p>
    <w:p w:rsidR="00000000" w:rsidRPr="00780D70" w:rsidP="00780D70">
      <w:pPr>
        <w:pStyle w:val="ListBullet"/>
      </w:pPr>
      <w:r w:rsidRPr="00780D70">
        <w:t>computer software functions and operation:</w:t>
      </w:r>
    </w:p>
    <w:p w:rsidR="00000000" w:rsidRPr="00780D70" w:rsidP="00780D70">
      <w:pPr>
        <w:pStyle w:val="ListBullet2"/>
      </w:pPr>
      <w:r w:rsidRPr="00780D70">
        <w:t>word processing</w:t>
      </w:r>
    </w:p>
    <w:p w:rsidR="00000000" w:rsidRPr="00780D70" w:rsidP="00780D70">
      <w:pPr>
        <w:pStyle w:val="ListBullet2"/>
      </w:pPr>
      <w:r w:rsidRPr="00780D70">
        <w:t>spreadsheet</w:t>
      </w:r>
    </w:p>
    <w:p w:rsidR="00000000" w:rsidRPr="00780D70" w:rsidP="00780D70">
      <w:pPr>
        <w:pStyle w:val="ListBullet2"/>
      </w:pPr>
      <w:r w:rsidRPr="00780D70">
        <w:t>email</w:t>
      </w:r>
    </w:p>
    <w:p w:rsidR="00000000" w:rsidRPr="00780D70" w:rsidP="00780D70">
      <w:pPr>
        <w:pStyle w:val="ListBullet2"/>
      </w:pPr>
      <w:r w:rsidRPr="00780D70">
        <w:t>internet</w:t>
      </w:r>
    </w:p>
    <w:p w:rsidR="00000000" w:rsidRPr="00780D70" w:rsidP="00780D70">
      <w:pPr>
        <w:pStyle w:val="ListBullet"/>
      </w:pPr>
      <w:r w:rsidRPr="00780D70">
        <w:t xml:space="preserve">drawings, plans, reports and specifications </w:t>
      </w:r>
    </w:p>
    <w:p w:rsidR="00000000" w:rsidRPr="00780D70" w:rsidP="00780D70">
      <w:pPr>
        <w:pStyle w:val="ListBullet"/>
      </w:pPr>
      <w:r w:rsidRPr="00780D70">
        <w:t>types of buildings, including:</w:t>
      </w:r>
    </w:p>
    <w:p w:rsidR="00000000" w:rsidRPr="00780D70" w:rsidP="00780D70">
      <w:pPr>
        <w:pStyle w:val="ListBullet2"/>
      </w:pPr>
      <w:r w:rsidRPr="00780D70">
        <w:t xml:space="preserve">low-rise buildings </w:t>
      </w:r>
    </w:p>
    <w:p w:rsidR="00000000" w:rsidRPr="00780D70" w:rsidP="00780D70">
      <w:pPr>
        <w:pStyle w:val="ListBullet2"/>
      </w:pPr>
      <w:r w:rsidRPr="00780D70">
        <w:t>processing building applications</w:t>
      </w:r>
    </w:p>
    <w:p w:rsidR="00000000" w:rsidRPr="00780D70" w:rsidP="00780D70">
      <w:pPr>
        <w:pStyle w:val="ListBullet2"/>
      </w:pPr>
      <w:r w:rsidRPr="00780D70">
        <w:t>warehouse buil</w:t>
      </w:r>
      <w:r w:rsidRPr="00780D70">
        <w:t>dings under 13.7 m high</w:t>
      </w:r>
    </w:p>
    <w:p w:rsidR="00000000" w:rsidRPr="00780D70" w:rsidP="00780D70">
      <w:pPr>
        <w:pStyle w:val="ListBullet2"/>
      </w:pPr>
      <w:r w:rsidRPr="00780D70">
        <w:t>warehouse buildings over 13.7 m high</w:t>
      </w:r>
    </w:p>
    <w:p w:rsidR="00000000" w:rsidRPr="00780D70" w:rsidP="00780D70">
      <w:pPr>
        <w:pStyle w:val="ListBullet2"/>
      </w:pPr>
      <w:r w:rsidRPr="00780D70">
        <w:t>medium-rise buildings</w:t>
      </w:r>
    </w:p>
    <w:p w:rsidR="00000000" w:rsidRPr="00780D70" w:rsidP="00780D70">
      <w:pPr>
        <w:pStyle w:val="ListBullet2"/>
      </w:pPr>
      <w:r w:rsidRPr="00780D70">
        <w:t>high-rise buildings (over 25 metres)</w:t>
      </w:r>
    </w:p>
    <w:p w:rsidR="00000000" w:rsidRPr="00780D70" w:rsidP="00780D70">
      <w:pPr>
        <w:pStyle w:val="ListBullet2"/>
      </w:pPr>
      <w:r w:rsidRPr="00780D70">
        <w:t>buildings over 50 metres in height</w:t>
      </w:r>
    </w:p>
    <w:p w:rsidR="00000000" w:rsidRPr="00780D70" w:rsidP="00780D70">
      <w:pPr>
        <w:pStyle w:val="ListBullet"/>
      </w:pPr>
      <w:r w:rsidRPr="00780D70">
        <w:t>relevant current and historical legislation, codes and standards:</w:t>
      </w:r>
    </w:p>
    <w:p w:rsidR="00000000" w:rsidRPr="00780D70" w:rsidP="00780D70">
      <w:pPr>
        <w:pStyle w:val="ListBullet2"/>
      </w:pPr>
      <w:r w:rsidRPr="00780D70">
        <w:t>building Acts</w:t>
      </w:r>
    </w:p>
    <w:p w:rsidR="00000000" w:rsidRPr="00780D70" w:rsidP="00780D70">
      <w:pPr>
        <w:pStyle w:val="ListBullet2"/>
      </w:pPr>
      <w:r w:rsidRPr="00780D70">
        <w:t>building regulations</w:t>
      </w:r>
    </w:p>
    <w:p w:rsidR="00000000" w:rsidRPr="00780D70" w:rsidP="00780D70">
      <w:pPr>
        <w:pStyle w:val="ListBullet2"/>
      </w:pPr>
      <w:r w:rsidRPr="00780D70">
        <w:t xml:space="preserve">infrastructure supply regulations </w:t>
      </w:r>
    </w:p>
    <w:p w:rsidR="00000000" w:rsidRPr="00780D70" w:rsidP="00780D70">
      <w:pPr>
        <w:pStyle w:val="ListBullet2"/>
      </w:pPr>
      <w:r w:rsidRPr="00780D70">
        <w:t>the Building Code of Australia (BCA)</w:t>
      </w:r>
    </w:p>
    <w:p w:rsidR="00000000" w:rsidRPr="00780D70" w:rsidP="00780D70">
      <w:pPr>
        <w:pStyle w:val="ListBullet2"/>
      </w:pPr>
      <w:r w:rsidRPr="00780D70">
        <w:t>National Construction Code (NCC)</w:t>
      </w:r>
    </w:p>
    <w:p w:rsidR="00000000" w:rsidRPr="00780D70" w:rsidP="00780D70">
      <w:pPr>
        <w:pStyle w:val="ListBullet2"/>
      </w:pPr>
      <w:r w:rsidRPr="00780D70">
        <w:t>Australian standards for fire systems</w:t>
      </w:r>
    </w:p>
    <w:p w:rsidR="00000000" w:rsidRPr="00780D70" w:rsidP="00780D70">
      <w:pPr>
        <w:pStyle w:val="ListBullet2"/>
      </w:pPr>
      <w:r w:rsidRPr="00780D70">
        <w:t>international standards for fire systems</w:t>
      </w:r>
    </w:p>
    <w:p w:rsidR="00000000" w:rsidRPr="00780D70" w:rsidP="00780D70">
      <w:pPr>
        <w:pStyle w:val="ListBullet2"/>
      </w:pPr>
      <w:r w:rsidRPr="00780D70">
        <w:t>other fire system standards commonly required by bu</w:t>
      </w:r>
      <w:r w:rsidRPr="00780D70">
        <w:t>ilding insurers</w:t>
      </w:r>
    </w:p>
    <w:p w:rsidR="00000000" w:rsidRPr="00780D70" w:rsidP="00780D70">
      <w:pPr>
        <w:pStyle w:val="ListBullet2"/>
      </w:pPr>
      <w:r w:rsidRPr="00780D70">
        <w:t>jurisdictional authorities in addition to the BCA and NCC</w:t>
      </w:r>
    </w:p>
    <w:p w:rsidR="00000000" w:rsidRPr="00780D70" w:rsidP="00780D70">
      <w:pPr>
        <w:pStyle w:val="ListBullet"/>
      </w:pPr>
      <w:r w:rsidRPr="00780D70">
        <w:t>protection requirements for different buildings</w:t>
      </w:r>
    </w:p>
    <w:p w:rsidR="00000000" w:rsidRPr="00780D70" w:rsidP="00780D70">
      <w:pPr>
        <w:pStyle w:val="ListBullet"/>
      </w:pPr>
      <w:r w:rsidRPr="00780D70">
        <w:t>fire systems</w:t>
      </w:r>
      <w:r>
        <w:t>’</w:t>
      </w:r>
      <w:r w:rsidRPr="00780D70">
        <w:t xml:space="preserve"> technology and components:</w:t>
      </w:r>
    </w:p>
    <w:p w:rsidR="00000000" w:rsidRPr="00780D70" w:rsidP="00780D70">
      <w:pPr>
        <w:pStyle w:val="ListBullet2"/>
      </w:pPr>
      <w:r w:rsidRPr="00780D70">
        <w:t>water-based systems, including:</w:t>
      </w:r>
    </w:p>
    <w:p w:rsidR="00000000" w:rsidRPr="00780D70" w:rsidP="00780D70">
      <w:pPr>
        <w:pStyle w:val="ListBullet3"/>
      </w:pPr>
      <w:r w:rsidRPr="00780D70">
        <w:t>wet pipe sprinkler systems</w:t>
      </w:r>
    </w:p>
    <w:p w:rsidR="00000000" w:rsidRPr="00780D70" w:rsidP="00780D70">
      <w:pPr>
        <w:pStyle w:val="ListBullet3"/>
      </w:pPr>
      <w:r w:rsidRPr="00780D70">
        <w:t>deluge and drencher systems</w:t>
      </w:r>
    </w:p>
    <w:p w:rsidR="00000000" w:rsidRPr="00780D70" w:rsidP="00780D70">
      <w:pPr>
        <w:pStyle w:val="ListBullet3"/>
      </w:pPr>
      <w:r w:rsidRPr="00780D70">
        <w:t>dry pipe sprinkler systems</w:t>
      </w:r>
    </w:p>
    <w:p w:rsidR="00000000" w:rsidRPr="00780D70" w:rsidP="00780D70">
      <w:pPr>
        <w:pStyle w:val="ListBullet3"/>
      </w:pPr>
      <w:r w:rsidRPr="00780D70">
        <w:t>pre-action sprinkler systems</w:t>
      </w:r>
    </w:p>
    <w:p w:rsidR="00000000" w:rsidRPr="00780D70" w:rsidP="00780D70">
      <w:pPr>
        <w:pStyle w:val="ListBullet3"/>
      </w:pPr>
      <w:r w:rsidRPr="00780D70">
        <w:t>early suppression fast response (ESFR)</w:t>
      </w:r>
    </w:p>
    <w:p w:rsidR="00000000" w:rsidRPr="00780D70" w:rsidP="00780D70">
      <w:pPr>
        <w:pStyle w:val="ListBullet3"/>
      </w:pPr>
      <w:r w:rsidRPr="00780D70">
        <w:t>hydrants, hose reels and monitors</w:t>
      </w:r>
    </w:p>
    <w:p w:rsidR="00000000" w:rsidRPr="00780D70" w:rsidP="00780D70">
      <w:pPr>
        <w:pStyle w:val="ListBullet3"/>
      </w:pPr>
      <w:r w:rsidRPr="00780D70">
        <w:t>water supply tanks</w:t>
      </w:r>
    </w:p>
    <w:p w:rsidR="00000000" w:rsidRPr="00780D70" w:rsidP="00780D70">
      <w:pPr>
        <w:pStyle w:val="ListBullet3"/>
      </w:pPr>
      <w:r w:rsidRPr="00780D70">
        <w:t>fire pump sets</w:t>
      </w:r>
    </w:p>
    <w:p w:rsidR="00000000" w:rsidRPr="00780D70" w:rsidP="00780D70">
      <w:pPr>
        <w:pStyle w:val="ListBullet2"/>
      </w:pPr>
      <w:r w:rsidRPr="00780D70">
        <w:t>hydrants, hose reels and monitors</w:t>
      </w:r>
    </w:p>
    <w:p w:rsidR="00000000" w:rsidRPr="00780D70" w:rsidP="00780D70">
      <w:pPr>
        <w:pStyle w:val="ListBullet2"/>
      </w:pPr>
      <w:r w:rsidRPr="00780D70">
        <w:t>water supply tanks</w:t>
      </w:r>
    </w:p>
    <w:p w:rsidR="00000000" w:rsidRPr="00780D70" w:rsidP="00780D70">
      <w:pPr>
        <w:pStyle w:val="ListBullet2"/>
      </w:pPr>
      <w:r w:rsidRPr="00780D70">
        <w:t>fire pump sets</w:t>
      </w:r>
    </w:p>
    <w:p w:rsidR="00000000" w:rsidRPr="00780D70" w:rsidP="00780D70">
      <w:pPr>
        <w:pStyle w:val="ListBullet2"/>
      </w:pPr>
      <w:r w:rsidRPr="00780D70">
        <w:t>detection and warning sy</w:t>
      </w:r>
      <w:r w:rsidRPr="00780D70">
        <w:t>stems:</w:t>
      </w:r>
    </w:p>
    <w:p w:rsidR="00000000" w:rsidRPr="00780D70" w:rsidP="00780D70">
      <w:pPr>
        <w:pStyle w:val="ListBullet3"/>
      </w:pPr>
      <w:r w:rsidRPr="00780D70">
        <w:t>occupant warning systems</w:t>
      </w:r>
    </w:p>
    <w:p w:rsidR="00000000" w:rsidRPr="00780D70" w:rsidP="00780D70">
      <w:pPr>
        <w:pStyle w:val="ListBullet3"/>
      </w:pPr>
      <w:r w:rsidRPr="00780D70">
        <w:t>emergency warning and intercommunications systems (EWIS)</w:t>
      </w:r>
    </w:p>
    <w:p w:rsidR="00000000" w:rsidRPr="00780D70" w:rsidP="00780D70">
      <w:pPr>
        <w:pStyle w:val="ListBullet3"/>
      </w:pPr>
      <w:r w:rsidRPr="00780D70">
        <w:t>fire detection and alarm systems</w:t>
      </w:r>
    </w:p>
    <w:p w:rsidR="00000000" w:rsidRPr="00780D70" w:rsidP="00780D70">
      <w:pPr>
        <w:pStyle w:val="ListBullet3"/>
      </w:pPr>
      <w:r w:rsidRPr="00780D70">
        <w:t>smoke control systems</w:t>
      </w:r>
    </w:p>
    <w:p w:rsidR="00000000" w:rsidRPr="00780D70" w:rsidP="00780D70">
      <w:pPr>
        <w:pStyle w:val="ListBullet3"/>
      </w:pPr>
      <w:r w:rsidRPr="00780D70">
        <w:t>emergency lighting systems</w:t>
      </w:r>
    </w:p>
    <w:p w:rsidR="00000000" w:rsidRPr="00780D70" w:rsidP="00780D70">
      <w:pPr>
        <w:pStyle w:val="ListBullet2"/>
      </w:pPr>
      <w:r w:rsidRPr="00780D70">
        <w:t>special hazard fire systems:</w:t>
      </w:r>
    </w:p>
    <w:p w:rsidR="00000000" w:rsidRPr="00780D70" w:rsidP="00780D70">
      <w:pPr>
        <w:pStyle w:val="ListBullet3"/>
      </w:pPr>
      <w:r w:rsidRPr="00780D70">
        <w:t>foam systems (low expansion, medium expansion and high expansion)</w:t>
      </w:r>
    </w:p>
    <w:p w:rsidR="00000000" w:rsidRPr="00780D70" w:rsidP="00780D70">
      <w:pPr>
        <w:pStyle w:val="ListBullet3"/>
      </w:pPr>
      <w:r w:rsidRPr="00780D70">
        <w:t>gaseous agent systems (carbon dioxide, inert gas and halocarbon gases)</w:t>
      </w:r>
    </w:p>
    <w:p w:rsidR="00000000" w:rsidRPr="00780D70" w:rsidP="00780D70">
      <w:pPr>
        <w:pStyle w:val="ListBullet3"/>
      </w:pPr>
      <w:r w:rsidRPr="00780D70">
        <w:t>water spray systems (deluge, medium/high velocity water spray and high-speed deluge)</w:t>
      </w:r>
    </w:p>
    <w:p w:rsidR="00000000" w:rsidRPr="00780D70" w:rsidP="00780D70">
      <w:pPr>
        <w:pStyle w:val="ListBullet3"/>
      </w:pPr>
      <w:r w:rsidRPr="00780D70">
        <w:t>chemical powder systems</w:t>
      </w:r>
    </w:p>
    <w:p w:rsidR="00000000" w:rsidRPr="00780D70" w:rsidP="00780D70">
      <w:pPr>
        <w:pStyle w:val="ListBullet3"/>
      </w:pPr>
      <w:r w:rsidRPr="00780D70">
        <w:t>wet chemic</w:t>
      </w:r>
      <w:r w:rsidRPr="00780D70">
        <w:t>al systems</w:t>
      </w:r>
    </w:p>
    <w:p w:rsidR="00000000" w:rsidRPr="00780D70" w:rsidP="00780D70">
      <w:pPr>
        <w:pStyle w:val="ListBullet"/>
      </w:pPr>
      <w:r w:rsidRPr="00780D70">
        <w:t>characteristics and limitations of products and materials used in fire systems and issues relating to material compatibility</w:t>
      </w:r>
    </w:p>
    <w:p w:rsidR="00000000" w:rsidRPr="00780D70" w:rsidP="00780D70">
      <w:pPr>
        <w:pStyle w:val="ListBullet"/>
      </w:pPr>
      <w:r w:rsidRPr="00780D70">
        <w:t>interconnection of fire systems:</w:t>
      </w:r>
    </w:p>
    <w:p w:rsidR="00000000" w:rsidRPr="00780D70" w:rsidP="00780D70">
      <w:pPr>
        <w:pStyle w:val="ListBullet2"/>
      </w:pPr>
      <w:r w:rsidRPr="00780D70">
        <w:t>cause and effect matrix</w:t>
      </w:r>
    </w:p>
    <w:p w:rsidR="00000000" w:rsidRPr="00780D70" w:rsidP="00780D70">
      <w:pPr>
        <w:pStyle w:val="ListBullet2"/>
      </w:pPr>
      <w:r w:rsidRPr="00780D70">
        <w:t>interface with other services</w:t>
      </w:r>
    </w:p>
    <w:p w:rsidR="00000000" w:rsidRPr="00780D70" w:rsidP="00780D70">
      <w:pPr>
        <w:pStyle w:val="ListBullet"/>
      </w:pPr>
      <w:r w:rsidRPr="00780D70">
        <w:t>passive fire safety elements:</w:t>
      </w:r>
    </w:p>
    <w:p w:rsidR="00000000" w:rsidRPr="00780D70" w:rsidP="00780D70">
      <w:pPr>
        <w:pStyle w:val="ListBullet2"/>
      </w:pPr>
      <w:r w:rsidRPr="00780D70">
        <w:t>identification of passive elements</w:t>
      </w:r>
    </w:p>
    <w:p w:rsidR="00000000" w:rsidRPr="00780D70" w:rsidP="00780D70">
      <w:pPr>
        <w:pStyle w:val="ListBullet2"/>
      </w:pPr>
      <w:r w:rsidRPr="00780D70">
        <w:t>requirements for safeguarding the integrity of passive fire element performance where penetrations have been made</w:t>
      </w:r>
    </w:p>
    <w:p w:rsidR="00000000" w:rsidRPr="00780D70" w:rsidP="00780D70">
      <w:pPr>
        <w:pStyle w:val="ListBullet"/>
      </w:pPr>
      <w:r w:rsidRPr="00780D70">
        <w:t>basic principles of structural engineering</w:t>
      </w:r>
    </w:p>
    <w:p w:rsidR="00000000" w:rsidRPr="00780D70" w:rsidP="00780D70">
      <w:pPr>
        <w:pStyle w:val="ListBullet"/>
      </w:pPr>
      <w:r w:rsidRPr="00780D70">
        <w:t xml:space="preserve">characteristics of building materials </w:t>
      </w:r>
    </w:p>
    <w:p w:rsidR="00000000" w:rsidRPr="00780D70" w:rsidP="00780D70">
      <w:pPr>
        <w:pStyle w:val="ListBullet"/>
      </w:pPr>
      <w:r w:rsidRPr="00780D70">
        <w:t>construction industry t</w:t>
      </w:r>
      <w:r w:rsidRPr="00780D70">
        <w:t>erminology</w:t>
      </w:r>
    </w:p>
    <w:p w:rsidR="00000000" w:rsidRPr="00780D70" w:rsidP="00780D70">
      <w:pPr>
        <w:pStyle w:val="ListBullet"/>
      </w:pPr>
      <w:r w:rsidRPr="00780D70">
        <w:t>contractual processes.</w:t>
      </w:r>
    </w:p>
    <w:p w:rsidR="00000000" w:rsidRPr="00780D70" w:rsidP="00780D70">
      <w:pPr>
        <w:pStyle w:val="AllowPageBreak"/>
      </w:pPr>
    </w:p>
    <w:p w:rsidR="00000000" w:rsidRPr="00780D70" w:rsidP="00780D70">
      <w:pPr>
        <w:pStyle w:val="Heading1"/>
      </w:pPr>
      <w:bookmarkStart w:id="12" w:name="O_1136646"/>
      <w:bookmarkEnd w:id="12"/>
      <w:r w:rsidRPr="00780D70">
        <w:t>Assessment Conditions</w:t>
      </w:r>
    </w:p>
    <w:p w:rsidR="00000000" w:rsidRPr="00780D70" w:rsidP="005A34F4">
      <w:pPr>
        <w:pStyle w:val="BodyText"/>
      </w:pPr>
      <w:r w:rsidRPr="00780D70">
        <w:t>Assessors must meet the requirements for assessors contained in the Standards for Registered Training Organisations.</w:t>
      </w:r>
    </w:p>
    <w:p w:rsidR="00000000" w:rsidRPr="00780D70" w:rsidP="005A34F4">
      <w:pPr>
        <w:pStyle w:val="BodyText"/>
      </w:pPr>
      <w:r w:rsidRPr="00780D70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780D70" w:rsidP="00780D70">
      <w:pPr>
        <w:pStyle w:val="Heading1"/>
      </w:pPr>
      <w:bookmarkStart w:id="13" w:name="O_1136644"/>
      <w:bookmarkEnd w:id="13"/>
      <w:r w:rsidRPr="00780D70">
        <w:t>Links</w:t>
      </w:r>
    </w:p>
    <w:p w:rsidR="00000000" w:rsidRPr="00780D70" w:rsidP="005A34F4">
      <w:pPr>
        <w:pStyle w:val="BodyText"/>
      </w:pPr>
      <w:r w:rsidRPr="00780D70">
        <w:t>Companion volumes to</w:t>
      </w:r>
      <w:r w:rsidRPr="00780D70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0715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80D70" w:rsidP="00780D70"/>
    <w:sectPr w:rsidSect="00780D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D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D70" w:rsidRPr="005A34F4" w:rsidP="005A34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D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4F4" w:rsidP="00780D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A34F4" w:rsidP="00780D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A34F4" w:rsidP="00780D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D70" w:rsidP="00780D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34F4">
      <w:t>Approved</w:t>
    </w:r>
    <w:r w:rsidR="005A34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34F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34F4">
      <w:rPr>
        <w:noProof/>
      </w:rPr>
      <w:t>5</w:t>
    </w:r>
    <w:r>
      <w:rPr>
        <w:noProof/>
      </w:rPr>
      <w:fldChar w:fldCharType="end"/>
    </w:r>
  </w:p>
  <w:p w:rsidR="00780D70" w:rsidP="00780D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34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34F4">
      <w:t>BuildSkills Australia</w:t>
    </w:r>
    <w:r w:rsidR="005A34F4">
      <w:fldChar w:fldCharType="end"/>
    </w:r>
  </w:p>
  <w:p w:rsidR="00780D70" w:rsidP="00780D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D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4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0D70" w:rsidRPr="005A34F4" w:rsidP="005A34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D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4F4" w:rsidRPr="002D2AF8" w:rsidP="00780D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CPCSFS5014 Conduct annual fire systems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A34F4" w:rsidP="00780D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D70" w:rsidRPr="002D2AF8" w:rsidP="00780D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34F4">
      <w:t>CPCSFS5014 Conduct annual fire systems inspections</w:t>
    </w:r>
    <w:r w:rsidR="005A34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34F4">
      <w:rPr>
        <w:noProof/>
      </w:rPr>
      <w:t>2 March 2025</w:t>
    </w:r>
    <w:r>
      <w:fldChar w:fldCharType="end"/>
    </w:r>
  </w:p>
  <w:p w:rsidR="00780D70" w:rsidP="00780D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5806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6237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0A78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D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0D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0D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0D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0D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0D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0D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0D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0D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0D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0D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0D70"/>
  </w:style>
  <w:style w:type="character" w:customStyle="1" w:styleId="Heading1Char">
    <w:name w:val="Heading 1 Char"/>
    <w:basedOn w:val="DefaultParagraphFont"/>
    <w:link w:val="Heading1"/>
    <w:rsid w:val="00780D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0D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0D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0D7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0D7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0D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0D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80D7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80D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0D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0D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0D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0D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0D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0D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0D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0D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0D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0D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0D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0D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0D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0D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0D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0D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0D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0D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0D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0D70"/>
    <w:rPr>
      <w:b/>
      <w:spacing w:val="0"/>
    </w:rPr>
  </w:style>
  <w:style w:type="paragraph" w:customStyle="1" w:styleId="SuperTitle">
    <w:name w:val="SuperTitle"/>
    <w:basedOn w:val="Title"/>
    <w:rsid w:val="00780D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0D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0D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0D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0D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0D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0D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0D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0D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0D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0D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0D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0D70"/>
    <w:rPr>
      <w:i/>
    </w:rPr>
  </w:style>
  <w:style w:type="paragraph" w:styleId="Caption">
    <w:name w:val="caption"/>
    <w:basedOn w:val="BodyText"/>
    <w:next w:val="Normal"/>
    <w:qFormat/>
    <w:rsid w:val="00780D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0D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0D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0D70"/>
  </w:style>
  <w:style w:type="paragraph" w:styleId="TableofFigures">
    <w:name w:val="table of figures"/>
    <w:basedOn w:val="Normal"/>
    <w:next w:val="Normal"/>
    <w:semiHidden/>
    <w:rsid w:val="00780D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0D7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80D70"/>
    <w:rPr>
      <w:rFonts w:ascii="Wingdings" w:hAnsi="Wingdings"/>
    </w:rPr>
  </w:style>
  <w:style w:type="paragraph" w:customStyle="1" w:styleId="TableHeading">
    <w:name w:val="Table Heading"/>
    <w:basedOn w:val="HeadingBase"/>
    <w:rsid w:val="00780D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0D70"/>
    <w:rPr>
      <w:color w:val="0033CC"/>
      <w:u w:val="none"/>
    </w:rPr>
  </w:style>
  <w:style w:type="paragraph" w:customStyle="1" w:styleId="BodyTextRight">
    <w:name w:val="Body Text Right"/>
    <w:basedOn w:val="BodyText"/>
    <w:rsid w:val="00780D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0D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0D7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0D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0D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0D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0D70"/>
    <w:rPr>
      <w:sz w:val="32"/>
    </w:rPr>
  </w:style>
  <w:style w:type="paragraph" w:customStyle="1" w:styleId="HeadingProcedure">
    <w:name w:val="Heading Procedure"/>
    <w:basedOn w:val="HeadingBase"/>
    <w:next w:val="Normal"/>
    <w:rsid w:val="00780D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0D70"/>
    <w:pPr>
      <w:spacing w:before="60" w:after="60"/>
    </w:pPr>
  </w:style>
  <w:style w:type="paragraph" w:styleId="ListContinue">
    <w:name w:val="List Continue"/>
    <w:basedOn w:val="List"/>
    <w:rsid w:val="00780D70"/>
    <w:pPr>
      <w:ind w:firstLine="0"/>
    </w:pPr>
  </w:style>
  <w:style w:type="paragraph" w:customStyle="1" w:styleId="ListNote">
    <w:name w:val="List Note"/>
    <w:basedOn w:val="List"/>
    <w:rsid w:val="00780D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0D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0D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0D70"/>
    <w:rPr>
      <w:rFonts w:ascii="Courier New" w:hAnsi="Courier New"/>
    </w:rPr>
  </w:style>
  <w:style w:type="paragraph" w:customStyle="1" w:styleId="NoteBullet">
    <w:name w:val="Note Bullet"/>
    <w:basedOn w:val="Note"/>
    <w:rsid w:val="00780D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0D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0D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0D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0D7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80D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0D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0D70"/>
    <w:rPr>
      <w:b/>
      <w:smallCaps/>
    </w:rPr>
  </w:style>
  <w:style w:type="paragraph" w:customStyle="1" w:styleId="TableListNumber">
    <w:name w:val="Table List Number"/>
    <w:basedOn w:val="ListNumber"/>
    <w:rsid w:val="00780D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0D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0D70"/>
    <w:pPr>
      <w:numPr>
        <w:numId w:val="10"/>
      </w:numPr>
    </w:pPr>
  </w:style>
  <w:style w:type="paragraph" w:customStyle="1" w:styleId="ListAlpha2">
    <w:name w:val="List Alpha 2"/>
    <w:basedOn w:val="List2"/>
    <w:rsid w:val="00780D70"/>
    <w:pPr>
      <w:numPr>
        <w:numId w:val="9"/>
      </w:numPr>
    </w:pPr>
  </w:style>
  <w:style w:type="paragraph" w:styleId="List2">
    <w:name w:val="List 2"/>
    <w:basedOn w:val="BodyText"/>
    <w:rsid w:val="00780D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0D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0D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0D7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80D7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80D70"/>
    <w:pPr>
      <w:numPr>
        <w:numId w:val="5"/>
      </w:numPr>
    </w:pPr>
  </w:style>
  <w:style w:type="paragraph" w:styleId="ListContinue2">
    <w:name w:val="List Continue 2"/>
    <w:basedOn w:val="List2"/>
    <w:rsid w:val="00780D70"/>
    <w:pPr>
      <w:ind w:firstLine="0"/>
    </w:pPr>
  </w:style>
  <w:style w:type="paragraph" w:styleId="ListContinue3">
    <w:name w:val="List Continue 3"/>
    <w:basedOn w:val="List3"/>
    <w:rsid w:val="00780D70"/>
    <w:pPr>
      <w:ind w:left="1021" w:firstLine="0"/>
    </w:pPr>
  </w:style>
  <w:style w:type="paragraph" w:styleId="ListContinue4">
    <w:name w:val="List Continue 4"/>
    <w:basedOn w:val="List4"/>
    <w:rsid w:val="00780D70"/>
    <w:pPr>
      <w:ind w:firstLine="0"/>
    </w:pPr>
  </w:style>
  <w:style w:type="paragraph" w:styleId="ListContinue5">
    <w:name w:val="List Continue 5"/>
    <w:basedOn w:val="List5"/>
    <w:rsid w:val="00780D70"/>
    <w:pPr>
      <w:ind w:firstLine="0"/>
    </w:pPr>
  </w:style>
  <w:style w:type="paragraph" w:styleId="ListNumber3">
    <w:name w:val="List Number 3"/>
    <w:basedOn w:val="List3"/>
    <w:rsid w:val="00780D70"/>
    <w:pPr>
      <w:numPr>
        <w:numId w:val="6"/>
      </w:numPr>
    </w:pPr>
  </w:style>
  <w:style w:type="paragraph" w:styleId="ListNumber4">
    <w:name w:val="List Number 4"/>
    <w:basedOn w:val="List4"/>
    <w:rsid w:val="00780D70"/>
    <w:pPr>
      <w:numPr>
        <w:numId w:val="7"/>
      </w:numPr>
    </w:pPr>
  </w:style>
  <w:style w:type="paragraph" w:styleId="ListNumber5">
    <w:name w:val="List Number 5"/>
    <w:basedOn w:val="List5"/>
    <w:rsid w:val="00780D70"/>
    <w:pPr>
      <w:numPr>
        <w:numId w:val="8"/>
      </w:numPr>
    </w:pPr>
  </w:style>
  <w:style w:type="paragraph" w:styleId="BlockText">
    <w:name w:val="Block Text"/>
    <w:basedOn w:val="Normal"/>
    <w:rsid w:val="00780D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0D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0D70"/>
    <w:rPr>
      <w:sz w:val="16"/>
      <w:vertAlign w:val="superscript"/>
    </w:rPr>
  </w:style>
  <w:style w:type="character" w:customStyle="1" w:styleId="Symbols">
    <w:name w:val="Symbols"/>
    <w:basedOn w:val="DefaultParagraphFont"/>
    <w:rsid w:val="00780D70"/>
    <w:rPr>
      <w:rFonts w:ascii="Symbol" w:hAnsi="Symbol"/>
    </w:rPr>
  </w:style>
  <w:style w:type="character" w:customStyle="1" w:styleId="MenuOptions">
    <w:name w:val="Menu Options"/>
    <w:basedOn w:val="DefaultParagraphFont"/>
    <w:rsid w:val="00780D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0D70"/>
    <w:rPr>
      <w:b/>
    </w:rPr>
  </w:style>
  <w:style w:type="character" w:customStyle="1" w:styleId="Underlined">
    <w:name w:val="Underlined"/>
    <w:basedOn w:val="DefaultParagraphFont"/>
    <w:rsid w:val="00780D70"/>
    <w:rPr>
      <w:u w:val="single"/>
    </w:rPr>
  </w:style>
  <w:style w:type="paragraph" w:customStyle="1" w:styleId="TableBodyTextRight">
    <w:name w:val="Table Body Text Right"/>
    <w:basedOn w:val="TableBodyText"/>
    <w:rsid w:val="00780D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0D70"/>
    <w:rPr>
      <w:sz w:val="18"/>
    </w:rPr>
  </w:style>
  <w:style w:type="paragraph" w:customStyle="1" w:styleId="BodySmallRight">
    <w:name w:val="Body Small Right"/>
    <w:basedOn w:val="BodyTextRight"/>
    <w:rsid w:val="00780D70"/>
    <w:rPr>
      <w:sz w:val="18"/>
      <w:szCs w:val="18"/>
    </w:rPr>
  </w:style>
  <w:style w:type="paragraph" w:customStyle="1" w:styleId="MarginEdition">
    <w:name w:val="Margin Edition"/>
    <w:basedOn w:val="MarginNote"/>
    <w:rsid w:val="00780D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0D70"/>
    <w:rPr>
      <w:sz w:val="2"/>
      <w:szCs w:val="2"/>
    </w:rPr>
  </w:style>
  <w:style w:type="character" w:customStyle="1" w:styleId="Small">
    <w:name w:val="Small"/>
    <w:basedOn w:val="DefaultParagraphFont"/>
    <w:rsid w:val="00780D70"/>
    <w:rPr>
      <w:sz w:val="16"/>
    </w:rPr>
  </w:style>
  <w:style w:type="paragraph" w:customStyle="1" w:styleId="WideTable">
    <w:name w:val="Wide Table"/>
    <w:basedOn w:val="Normal"/>
    <w:rsid w:val="00780D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0D70"/>
  </w:style>
  <w:style w:type="paragraph" w:styleId="Quote">
    <w:name w:val="Quote"/>
    <w:basedOn w:val="Heading1"/>
    <w:link w:val="QuoteChar"/>
    <w:qFormat/>
    <w:rsid w:val="00780D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0D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0D70"/>
    <w:pPr>
      <w:pageBreakBefore/>
    </w:pPr>
  </w:style>
  <w:style w:type="paragraph" w:customStyle="1" w:styleId="Border">
    <w:name w:val="Border"/>
    <w:basedOn w:val="Normal"/>
    <w:qFormat/>
    <w:rsid w:val="00780D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0D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D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D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0D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0D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0D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0D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0D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0D70"/>
    <w:rPr>
      <w:u w:val="single"/>
    </w:rPr>
  </w:style>
  <w:style w:type="character" w:customStyle="1" w:styleId="BoldandItalics">
    <w:name w:val="Bold and Italics"/>
    <w:qFormat/>
    <w:rsid w:val="00780D70"/>
    <w:rPr>
      <w:b/>
      <w:i/>
      <w:u w:val="none"/>
    </w:rPr>
  </w:style>
  <w:style w:type="paragraph" w:styleId="BalloonText">
    <w:name w:val="Balloon Text"/>
    <w:basedOn w:val="Normal"/>
    <w:link w:val="BalloonTextChar"/>
    <w:rsid w:val="00780D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D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0D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0D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0D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0D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0D70"/>
    <w:pPr>
      <w:spacing w:before="0" w:after="0"/>
    </w:pPr>
  </w:style>
  <w:style w:type="paragraph" w:customStyle="1" w:styleId="BodyTextBold">
    <w:name w:val="Body Text Bold"/>
    <w:basedOn w:val="BodyText"/>
    <w:qFormat/>
    <w:rsid w:val="00780D70"/>
    <w:rPr>
      <w:b/>
    </w:rPr>
  </w:style>
  <w:style w:type="character" w:styleId="Hyperlink">
    <w:name w:val="Hyperlink"/>
    <w:basedOn w:val="DefaultParagraphFont"/>
    <w:uiPriority w:val="99"/>
    <w:unhideWhenUsed/>
    <w:rsid w:val="005A34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974</Words>
  <Characters>6567</Characters>
  <Application>Microsoft Office Word</Application>
  <DocSecurity>0</DocSecurity>
  <Lines>243</Lines>
  <Paragraphs>167</Paragraphs>
  <ScaleCrop>false</ScaleCrop>
  <Company>Author-it Software Corporation Ltd.</Company>
  <LinksUpToDate>false</LinksUpToDate>
  <CharactersWithSpaces>7374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CPCSFS5014 Conduct annual fire systems inspections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2025-03-01T22:19:00Z</dcterms:created>
  <dcterms:modified xsi:type="dcterms:W3CDTF">2025-03-01T22:19:00Z</dcterms:modified>
</cp:coreProperties>
</file>