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0B4" w:rsidP="00E570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CPCSFS5011 Provide design documentation and review and support fire system installation processes</w:t>
      </w:r>
      <w:r>
        <w:fldChar w:fldCharType="end"/>
      </w:r>
    </w:p>
    <w:p w:rsidR="00E570B4" w:rsidP="00E570B4">
      <w:pPr>
        <w:pStyle w:val="Version"/>
        <w:sectPr w:rsidSect="008C77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7B3" w:rsidP="008C77B3">
      <w:pPr>
        <w:pStyle w:val="SuperHeading"/>
      </w:pPr>
      <w:r w:rsidRPr="008C77B3">
        <w:t>Assessment Requirements for CPCSFS5011 Provide design documentation and review and support fire system installation processes</w:t>
      </w:r>
    </w:p>
    <w:p w:rsidR="00000000" w:rsidRPr="008C77B3" w:rsidP="008C77B3">
      <w:pPr>
        <w:pStyle w:val="Heading1"/>
      </w:pPr>
      <w:bookmarkStart w:id="1" w:name="O_1136611"/>
      <w:bookmarkEnd w:id="1"/>
      <w:r w:rsidRPr="008C77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C7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B3">
            <w:pPr>
              <w:pStyle w:val="BodyText"/>
              <w:rPr>
                <w:lang w:val="en-NZ"/>
              </w:rPr>
            </w:pPr>
            <w:r w:rsidRPr="008C77B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7B3" w:rsidP="008C77B3">
            <w:pPr>
              <w:pStyle w:val="BodyText"/>
            </w:pPr>
            <w:r w:rsidRPr="008C77B3">
              <w:t>This version first released with CPC Construction, Plumbing and Services Training Package Release 5.0.</w:t>
            </w:r>
          </w:p>
          <w:p w:rsidR="00000000" w:rsidRPr="008C77B3" w:rsidP="008C77B3">
            <w:pPr>
              <w:pStyle w:val="BodyText"/>
            </w:pPr>
            <w:r w:rsidRPr="008C77B3">
              <w:t xml:space="preserve">Supersedes and is equivalent to CPCSFS5011A Provide design documentation and review and support fire system installation processes.  Updated to meet the </w:t>
            </w:r>
            <w:r w:rsidRPr="008C77B3">
              <w:t>Standards for Training Packages 2012.</w:t>
            </w:r>
          </w:p>
        </w:tc>
      </w:tr>
    </w:tbl>
    <w:p w:rsidR="00000000" w:rsidRPr="008C77B3" w:rsidP="008C77B3">
      <w:pPr>
        <w:pStyle w:val="BodyText"/>
      </w:pPr>
    </w:p>
    <w:p w:rsidR="00000000" w:rsidRPr="008C77B3" w:rsidP="008C77B3">
      <w:pPr>
        <w:pStyle w:val="AllowPageBreak"/>
      </w:pPr>
    </w:p>
    <w:p w:rsidR="00000000" w:rsidRPr="008C77B3" w:rsidP="008C77B3">
      <w:pPr>
        <w:pStyle w:val="Heading1"/>
      </w:pPr>
      <w:bookmarkStart w:id="2" w:name="O_1136614"/>
      <w:bookmarkEnd w:id="2"/>
      <w:r w:rsidRPr="008C77B3">
        <w:t>Performance Evidence</w:t>
      </w:r>
    </w:p>
    <w:p w:rsidR="00000000" w:rsidRPr="008C77B3" w:rsidP="00E570B4">
      <w:pPr>
        <w:pStyle w:val="BodyText"/>
      </w:pPr>
      <w:r w:rsidRPr="008C77B3">
        <w:t>To demonstrate competency, a candidate must meet the performance criteria for this unit by:</w:t>
      </w:r>
    </w:p>
    <w:p w:rsidR="00000000" w:rsidRPr="008C77B3" w:rsidP="008C77B3">
      <w:pPr>
        <w:pStyle w:val="ListBullet"/>
      </w:pPr>
      <w:r w:rsidRPr="008C77B3">
        <w:t>preparing accurate documentation and provision of ongoing support for the installat</w:t>
      </w:r>
      <w:r w:rsidRPr="008C77B3">
        <w:t>ion of fire systems in four projects and buildings, including for a:</w:t>
      </w:r>
    </w:p>
    <w:p w:rsidR="00000000" w:rsidRPr="008C77B3" w:rsidP="008C77B3">
      <w:pPr>
        <w:pStyle w:val="ListBullet2"/>
      </w:pPr>
      <w:r w:rsidRPr="008C77B3">
        <w:t>commercial building</w:t>
      </w:r>
    </w:p>
    <w:p w:rsidR="00000000" w:rsidRPr="008C77B3" w:rsidP="008C77B3">
      <w:pPr>
        <w:pStyle w:val="ListBullet2"/>
      </w:pPr>
      <w:r w:rsidRPr="008C77B3">
        <w:t>factory</w:t>
      </w:r>
    </w:p>
    <w:p w:rsidR="00000000" w:rsidRPr="008C77B3" w:rsidP="008C77B3">
      <w:pPr>
        <w:pStyle w:val="ListBullet2"/>
      </w:pPr>
      <w:r w:rsidRPr="008C77B3">
        <w:t>residential nursing home</w:t>
      </w:r>
    </w:p>
    <w:p w:rsidR="00000000" w:rsidRPr="008C77B3" w:rsidP="008C77B3">
      <w:pPr>
        <w:pStyle w:val="ListBullet2"/>
      </w:pPr>
      <w:r w:rsidRPr="008C77B3">
        <w:t>high-rise building.</w:t>
      </w:r>
    </w:p>
    <w:p w:rsidR="00000000" w:rsidRPr="008C77B3" w:rsidP="008C77B3">
      <w:pPr>
        <w:pStyle w:val="AllowPageBreak"/>
      </w:pPr>
    </w:p>
    <w:p w:rsidR="00000000" w:rsidRPr="008C77B3" w:rsidP="008C77B3">
      <w:pPr>
        <w:pStyle w:val="Heading1"/>
      </w:pPr>
      <w:bookmarkStart w:id="3" w:name="O_1136613"/>
      <w:bookmarkEnd w:id="3"/>
      <w:r w:rsidRPr="008C77B3">
        <w:t>Knowledge Evidence</w:t>
      </w:r>
    </w:p>
    <w:p w:rsidR="00000000" w:rsidRPr="008C77B3" w:rsidP="00E570B4">
      <w:pPr>
        <w:pStyle w:val="BodyText"/>
      </w:pPr>
      <w:r w:rsidRPr="008C77B3">
        <w:t>To be competent in this unit, a candidate must demonstrate knowledge of:</w:t>
      </w:r>
    </w:p>
    <w:p w:rsidR="00000000" w:rsidRPr="008C77B3" w:rsidP="008C77B3">
      <w:pPr>
        <w:pStyle w:val="ListBullet"/>
      </w:pPr>
      <w:r w:rsidRPr="008C77B3">
        <w:t xml:space="preserve">reading and interpreting drawings, plans, reports and specifications </w:t>
      </w:r>
    </w:p>
    <w:p w:rsidR="00000000" w:rsidRPr="008C77B3" w:rsidP="008C77B3">
      <w:pPr>
        <w:pStyle w:val="ListBullet"/>
      </w:pPr>
      <w:r w:rsidRPr="008C77B3">
        <w:t>file sharing and storage processes</w:t>
      </w:r>
    </w:p>
    <w:p w:rsidR="00000000" w:rsidRPr="008C77B3" w:rsidP="008C77B3">
      <w:pPr>
        <w:pStyle w:val="ListBullet"/>
      </w:pPr>
      <w:r w:rsidRPr="008C77B3">
        <w:t>communication processes</w:t>
      </w:r>
    </w:p>
    <w:p w:rsidR="00000000" w:rsidRPr="008C77B3" w:rsidP="008C77B3">
      <w:pPr>
        <w:pStyle w:val="ListBullet"/>
      </w:pPr>
      <w:r w:rsidRPr="008C77B3">
        <w:t>workplace design tools and processes</w:t>
      </w:r>
    </w:p>
    <w:p w:rsidR="00000000" w:rsidRPr="008C77B3" w:rsidP="008C77B3">
      <w:pPr>
        <w:pStyle w:val="ListBullet"/>
      </w:pPr>
      <w:r w:rsidRPr="008C77B3">
        <w:t>level of accuracy required in detailed design drawings</w:t>
      </w:r>
    </w:p>
    <w:p w:rsidR="00000000" w:rsidRPr="008C77B3" w:rsidP="008C77B3">
      <w:pPr>
        <w:pStyle w:val="ListBullet"/>
      </w:pPr>
      <w:r w:rsidRPr="008C77B3">
        <w:t>naming conventions for design drawi</w:t>
      </w:r>
      <w:r w:rsidRPr="008C77B3">
        <w:t>ngs and drawing register</w:t>
      </w:r>
    </w:p>
    <w:p w:rsidR="00000000" w:rsidRPr="008C77B3" w:rsidP="008C77B3">
      <w:pPr>
        <w:pStyle w:val="ListBullet"/>
      </w:pPr>
      <w:r w:rsidRPr="008C77B3">
        <w:t>computer software functions and operation:</w:t>
      </w:r>
    </w:p>
    <w:p w:rsidR="00000000" w:rsidRPr="008C77B3" w:rsidP="008C77B3">
      <w:pPr>
        <w:pStyle w:val="ListBullet2"/>
      </w:pPr>
      <w:r w:rsidRPr="008C77B3">
        <w:t>word processing</w:t>
      </w:r>
    </w:p>
    <w:p w:rsidR="00000000" w:rsidRPr="008C77B3" w:rsidP="008C77B3">
      <w:pPr>
        <w:pStyle w:val="ListBullet2"/>
      </w:pPr>
      <w:r w:rsidRPr="008C77B3">
        <w:t>spreadsheet</w:t>
      </w:r>
    </w:p>
    <w:p w:rsidR="00000000" w:rsidRPr="008C77B3" w:rsidP="008C77B3">
      <w:pPr>
        <w:pStyle w:val="ListBullet2"/>
      </w:pPr>
      <w:r w:rsidRPr="008C77B3">
        <w:t>email</w:t>
      </w:r>
    </w:p>
    <w:p w:rsidR="00000000" w:rsidRPr="008C77B3" w:rsidP="008C77B3">
      <w:pPr>
        <w:pStyle w:val="ListBullet2"/>
      </w:pPr>
      <w:r w:rsidRPr="008C77B3">
        <w:t>internet</w:t>
      </w:r>
    </w:p>
    <w:p w:rsidR="00000000" w:rsidRPr="008C77B3" w:rsidP="008C77B3">
      <w:pPr>
        <w:pStyle w:val="ListBullet2"/>
      </w:pPr>
      <w:r w:rsidRPr="008C77B3">
        <w:t>proprietary project management software</w:t>
      </w:r>
    </w:p>
    <w:p w:rsidR="00000000" w:rsidRPr="008C77B3" w:rsidP="008C77B3">
      <w:pPr>
        <w:pStyle w:val="ListBullet"/>
      </w:pPr>
      <w:r w:rsidRPr="008C77B3">
        <w:t>relevant current legislation, codes and standards:</w:t>
      </w:r>
    </w:p>
    <w:p w:rsidR="00000000" w:rsidRPr="008C77B3" w:rsidP="008C77B3">
      <w:pPr>
        <w:pStyle w:val="ListBullet2"/>
      </w:pPr>
      <w:r w:rsidRPr="008C77B3">
        <w:t>building Acts</w:t>
      </w:r>
    </w:p>
    <w:p w:rsidR="00000000" w:rsidRPr="008C77B3" w:rsidP="008C77B3">
      <w:pPr>
        <w:pStyle w:val="ListBullet2"/>
      </w:pPr>
      <w:r w:rsidRPr="008C77B3">
        <w:t>building regulations</w:t>
      </w:r>
    </w:p>
    <w:p w:rsidR="00000000" w:rsidRPr="008C77B3" w:rsidP="008C77B3">
      <w:pPr>
        <w:pStyle w:val="ListBullet2"/>
      </w:pPr>
      <w:r w:rsidRPr="008C77B3">
        <w:t xml:space="preserve">infrastructure supply regulations </w:t>
      </w:r>
    </w:p>
    <w:p w:rsidR="00000000" w:rsidRPr="008C77B3" w:rsidP="008C77B3">
      <w:pPr>
        <w:pStyle w:val="ListBullet2"/>
      </w:pPr>
      <w:r w:rsidRPr="008C77B3">
        <w:t>the Building Code of Australia (BCA)</w:t>
      </w:r>
    </w:p>
    <w:p w:rsidR="00000000" w:rsidRPr="008C77B3" w:rsidP="008C77B3">
      <w:pPr>
        <w:pStyle w:val="ListBullet2"/>
      </w:pPr>
      <w:r w:rsidRPr="008C77B3">
        <w:t>National Construction Code (NCC)</w:t>
      </w:r>
    </w:p>
    <w:p w:rsidR="00000000" w:rsidRPr="008C77B3" w:rsidP="008C77B3">
      <w:pPr>
        <w:pStyle w:val="ListBullet2"/>
      </w:pPr>
      <w:r w:rsidRPr="008C77B3">
        <w:t>Australian standards for fire systems</w:t>
      </w:r>
    </w:p>
    <w:p w:rsidR="00000000" w:rsidRPr="008C77B3" w:rsidP="008C77B3">
      <w:pPr>
        <w:pStyle w:val="ListBullet2"/>
      </w:pPr>
      <w:r w:rsidRPr="008C77B3">
        <w:t>international standards for fire systems</w:t>
      </w:r>
    </w:p>
    <w:p w:rsidR="00000000" w:rsidRPr="008C77B3" w:rsidP="008C77B3">
      <w:pPr>
        <w:pStyle w:val="ListBullet2"/>
      </w:pPr>
      <w:r w:rsidRPr="008C77B3">
        <w:t xml:space="preserve">jurisdictional authorities in addition to the BCA and NCC </w:t>
      </w:r>
    </w:p>
    <w:p w:rsidR="00000000" w:rsidRPr="008C77B3" w:rsidP="008C77B3">
      <w:pPr>
        <w:pStyle w:val="ListBullet2"/>
      </w:pPr>
      <w:r w:rsidRPr="008C77B3">
        <w:t>other fire system standards commonly required by building insurers</w:t>
      </w:r>
    </w:p>
    <w:p w:rsidR="00000000" w:rsidRPr="008C77B3" w:rsidP="008C77B3">
      <w:pPr>
        <w:pStyle w:val="ListBullet"/>
      </w:pPr>
      <w:r w:rsidRPr="008C77B3">
        <w:t>protection requirements for different buildings, including:</w:t>
      </w:r>
    </w:p>
    <w:p w:rsidR="00000000" w:rsidRPr="008C77B3" w:rsidP="008C77B3">
      <w:pPr>
        <w:pStyle w:val="ListBullet2"/>
      </w:pPr>
      <w:r w:rsidRPr="008C77B3">
        <w:t xml:space="preserve">low-rise buildings </w:t>
      </w:r>
    </w:p>
    <w:p w:rsidR="00000000" w:rsidRPr="008C77B3" w:rsidP="008C77B3">
      <w:pPr>
        <w:pStyle w:val="ListBullet2"/>
      </w:pPr>
      <w:r w:rsidRPr="008C77B3">
        <w:t>processing building applications</w:t>
      </w:r>
    </w:p>
    <w:p w:rsidR="00000000" w:rsidRPr="008C77B3" w:rsidP="008C77B3">
      <w:pPr>
        <w:pStyle w:val="ListBullet2"/>
      </w:pPr>
      <w:r w:rsidRPr="008C77B3">
        <w:t>warehouse buildings under 13.7 m high</w:t>
      </w:r>
    </w:p>
    <w:p w:rsidR="00000000" w:rsidRPr="008C77B3" w:rsidP="008C77B3">
      <w:pPr>
        <w:pStyle w:val="ListBullet2"/>
      </w:pPr>
      <w:r w:rsidRPr="008C77B3">
        <w:t>warehouse buildings over 13.7 m high</w:t>
      </w:r>
    </w:p>
    <w:p w:rsidR="00000000" w:rsidRPr="008C77B3" w:rsidP="008C77B3">
      <w:pPr>
        <w:pStyle w:val="ListBullet2"/>
      </w:pPr>
      <w:r w:rsidRPr="008C77B3">
        <w:t>medium-rise buildings</w:t>
      </w:r>
    </w:p>
    <w:p w:rsidR="00000000" w:rsidRPr="008C77B3" w:rsidP="008C77B3">
      <w:pPr>
        <w:pStyle w:val="ListBullet2"/>
      </w:pPr>
      <w:r w:rsidRPr="008C77B3">
        <w:t>high-rise buildings (over 25 metres)</w:t>
      </w:r>
    </w:p>
    <w:p w:rsidR="00000000" w:rsidRPr="008C77B3" w:rsidP="008C77B3">
      <w:pPr>
        <w:pStyle w:val="ListBullet2"/>
      </w:pPr>
      <w:r w:rsidRPr="008C77B3">
        <w:t>buildings over 50 metres in height</w:t>
      </w:r>
    </w:p>
    <w:p w:rsidR="00000000" w:rsidRPr="008C77B3" w:rsidP="008C77B3">
      <w:pPr>
        <w:pStyle w:val="ListBullet"/>
      </w:pPr>
      <w:r w:rsidRPr="008C77B3">
        <w:t>fire systems</w:t>
      </w:r>
      <w:r>
        <w:t>’</w:t>
      </w:r>
      <w:r w:rsidRPr="008C77B3">
        <w:t xml:space="preserve"> technology and components:</w:t>
      </w:r>
    </w:p>
    <w:p w:rsidR="00000000" w:rsidRPr="008C77B3" w:rsidP="008C77B3">
      <w:pPr>
        <w:pStyle w:val="ListBullet2"/>
      </w:pPr>
      <w:r w:rsidRPr="008C77B3">
        <w:t>water-based systems:</w:t>
      </w:r>
    </w:p>
    <w:p w:rsidR="00000000" w:rsidRPr="008C77B3" w:rsidP="008C77B3">
      <w:pPr>
        <w:pStyle w:val="ListBullet3"/>
      </w:pPr>
      <w:r w:rsidRPr="008C77B3">
        <w:t>wet pipe sprinkler systems</w:t>
      </w:r>
    </w:p>
    <w:p w:rsidR="00000000" w:rsidRPr="008C77B3" w:rsidP="008C77B3">
      <w:pPr>
        <w:pStyle w:val="ListBullet3"/>
      </w:pPr>
      <w:r w:rsidRPr="008C77B3">
        <w:t>deluge and drencher systems</w:t>
      </w:r>
    </w:p>
    <w:p w:rsidR="00000000" w:rsidRPr="008C77B3" w:rsidP="008C77B3">
      <w:pPr>
        <w:pStyle w:val="ListBullet3"/>
      </w:pPr>
      <w:r w:rsidRPr="008C77B3">
        <w:t>dry pipe sprinkler systems</w:t>
      </w:r>
    </w:p>
    <w:p w:rsidR="00000000" w:rsidRPr="008C77B3" w:rsidP="008C77B3">
      <w:pPr>
        <w:pStyle w:val="ListBullet3"/>
      </w:pPr>
      <w:r w:rsidRPr="008C77B3">
        <w:t>pre-action sprinkler systems</w:t>
      </w:r>
    </w:p>
    <w:p w:rsidR="00000000" w:rsidRPr="008C77B3" w:rsidP="008C77B3">
      <w:pPr>
        <w:pStyle w:val="ListBullet3"/>
      </w:pPr>
      <w:r w:rsidRPr="008C77B3">
        <w:t>early suppression fast response (ESFR)</w:t>
      </w:r>
    </w:p>
    <w:p w:rsidR="00000000" w:rsidRPr="008C77B3" w:rsidP="008C77B3">
      <w:pPr>
        <w:pStyle w:val="ListBullet3"/>
      </w:pPr>
      <w:r w:rsidRPr="008C77B3">
        <w:t>gaseous suppression systems</w:t>
      </w:r>
    </w:p>
    <w:p w:rsidR="00000000" w:rsidRPr="008C77B3" w:rsidP="008C77B3">
      <w:pPr>
        <w:pStyle w:val="ListBullet3"/>
      </w:pPr>
      <w:r w:rsidRPr="008C77B3">
        <w:t>water spray systems</w:t>
      </w:r>
    </w:p>
    <w:p w:rsidR="00000000" w:rsidRPr="008C77B3" w:rsidP="008C77B3">
      <w:pPr>
        <w:pStyle w:val="ListBullet3"/>
      </w:pPr>
      <w:r w:rsidRPr="008C77B3">
        <w:t>water mist systems</w:t>
      </w:r>
    </w:p>
    <w:p w:rsidR="00000000" w:rsidRPr="008C77B3" w:rsidP="008C77B3">
      <w:pPr>
        <w:pStyle w:val="ListBullet3"/>
      </w:pPr>
      <w:r w:rsidRPr="008C77B3">
        <w:t>wet chemical suppression systems</w:t>
      </w:r>
    </w:p>
    <w:p w:rsidR="00000000" w:rsidRPr="008C77B3" w:rsidP="008C77B3">
      <w:pPr>
        <w:pStyle w:val="ListBullet3"/>
      </w:pPr>
      <w:r w:rsidRPr="008C77B3">
        <w:t>foam suppression systems</w:t>
      </w:r>
    </w:p>
    <w:p w:rsidR="00000000" w:rsidRPr="008C77B3" w:rsidP="008C77B3">
      <w:pPr>
        <w:pStyle w:val="ListBullet2"/>
      </w:pPr>
      <w:r w:rsidRPr="008C77B3">
        <w:t>hydrants, hose reels and monitors</w:t>
      </w:r>
    </w:p>
    <w:p w:rsidR="00000000" w:rsidRPr="008C77B3" w:rsidP="008C77B3">
      <w:pPr>
        <w:pStyle w:val="ListBullet2"/>
      </w:pPr>
      <w:r w:rsidRPr="008C77B3">
        <w:t>water supply tanks</w:t>
      </w:r>
    </w:p>
    <w:p w:rsidR="00000000" w:rsidRPr="008C77B3" w:rsidP="008C77B3">
      <w:pPr>
        <w:pStyle w:val="ListBullet2"/>
      </w:pPr>
      <w:r w:rsidRPr="008C77B3">
        <w:t>fire pump</w:t>
      </w:r>
      <w:r w:rsidRPr="008C77B3">
        <w:t xml:space="preserve"> sets</w:t>
      </w:r>
    </w:p>
    <w:p w:rsidR="00000000" w:rsidRPr="008C77B3" w:rsidP="008C77B3">
      <w:pPr>
        <w:pStyle w:val="ListBullet2"/>
      </w:pPr>
      <w:r w:rsidRPr="008C77B3">
        <w:t>detection and warning systems:</w:t>
      </w:r>
    </w:p>
    <w:p w:rsidR="00000000" w:rsidRPr="008C77B3" w:rsidP="008C77B3">
      <w:pPr>
        <w:pStyle w:val="ListBullet3"/>
      </w:pPr>
      <w:r w:rsidRPr="008C77B3">
        <w:t>occupant warning systems</w:t>
      </w:r>
    </w:p>
    <w:p w:rsidR="00000000" w:rsidRPr="008C77B3" w:rsidP="008C77B3">
      <w:pPr>
        <w:pStyle w:val="ListBullet3"/>
      </w:pPr>
      <w:r w:rsidRPr="008C77B3">
        <w:t>emergency warning and intercommunications systems (EWIS)</w:t>
      </w:r>
    </w:p>
    <w:p w:rsidR="00000000" w:rsidRPr="008C77B3" w:rsidP="008C77B3">
      <w:pPr>
        <w:pStyle w:val="ListBullet3"/>
      </w:pPr>
      <w:r w:rsidRPr="008C77B3">
        <w:t>fire detection and alarm systems</w:t>
      </w:r>
    </w:p>
    <w:p w:rsidR="00000000" w:rsidRPr="008C77B3" w:rsidP="008C77B3">
      <w:pPr>
        <w:pStyle w:val="ListBullet3"/>
      </w:pPr>
      <w:r w:rsidRPr="008C77B3">
        <w:t>smoke control systems</w:t>
      </w:r>
    </w:p>
    <w:p w:rsidR="00000000" w:rsidRPr="008C77B3" w:rsidP="008C77B3">
      <w:pPr>
        <w:pStyle w:val="ListBullet3"/>
      </w:pPr>
      <w:r w:rsidRPr="008C77B3">
        <w:t>emergency lighting systems</w:t>
      </w:r>
    </w:p>
    <w:p w:rsidR="00000000" w:rsidRPr="008C77B3" w:rsidP="008C77B3">
      <w:pPr>
        <w:pStyle w:val="ListBullet"/>
      </w:pPr>
      <w:r w:rsidRPr="008C77B3">
        <w:t>purpose and operation of fire systems:</w:t>
      </w:r>
    </w:p>
    <w:p w:rsidR="00000000" w:rsidRPr="008C77B3" w:rsidP="008C77B3">
      <w:pPr>
        <w:pStyle w:val="ListBullet2"/>
      </w:pPr>
      <w:r w:rsidRPr="008C77B3">
        <w:t>layout</w:t>
      </w:r>
    </w:p>
    <w:p w:rsidR="00000000" w:rsidRPr="008C77B3" w:rsidP="008C77B3">
      <w:pPr>
        <w:pStyle w:val="ListBullet2"/>
      </w:pPr>
      <w:r w:rsidRPr="008C77B3">
        <w:t>special products and hazards</w:t>
      </w:r>
    </w:p>
    <w:p w:rsidR="00000000" w:rsidRPr="008C77B3" w:rsidP="008C77B3">
      <w:pPr>
        <w:pStyle w:val="ListBullet2"/>
      </w:pPr>
      <w:r w:rsidRPr="008C77B3">
        <w:t>system operation</w:t>
      </w:r>
    </w:p>
    <w:p w:rsidR="00000000" w:rsidRPr="008C77B3" w:rsidP="008C77B3">
      <w:pPr>
        <w:pStyle w:val="ListBullet2"/>
      </w:pPr>
      <w:r w:rsidRPr="008C77B3">
        <w:t>performance requirements</w:t>
      </w:r>
    </w:p>
    <w:p w:rsidR="00000000" w:rsidRPr="008C77B3" w:rsidP="008C77B3">
      <w:pPr>
        <w:pStyle w:val="ListBullet2"/>
      </w:pPr>
      <w:r w:rsidRPr="008C77B3">
        <w:t>maintenance standards</w:t>
      </w:r>
    </w:p>
    <w:p w:rsidR="00000000" w:rsidRPr="008C77B3" w:rsidP="008C77B3">
      <w:pPr>
        <w:pStyle w:val="ListBullet2"/>
      </w:pPr>
      <w:r w:rsidRPr="008C77B3">
        <w:t xml:space="preserve">system activation and operation </w:t>
      </w:r>
    </w:p>
    <w:p w:rsidR="00000000" w:rsidRPr="008C77B3" w:rsidP="008C77B3">
      <w:pPr>
        <w:pStyle w:val="ListBullet"/>
      </w:pPr>
      <w:r w:rsidRPr="008C77B3">
        <w:t>characteristics and limitations of products and materials used in fire systems and issues relating to material compatibility</w:t>
      </w:r>
    </w:p>
    <w:p w:rsidR="00000000" w:rsidRPr="008C77B3" w:rsidP="008C77B3">
      <w:pPr>
        <w:pStyle w:val="ListBullet"/>
      </w:pPr>
      <w:r w:rsidRPr="008C77B3">
        <w:t>pass</w:t>
      </w:r>
      <w:r w:rsidRPr="008C77B3">
        <w:t>ive fire safety elements:</w:t>
      </w:r>
    </w:p>
    <w:p w:rsidR="00000000" w:rsidRPr="008C77B3" w:rsidP="008C77B3">
      <w:pPr>
        <w:pStyle w:val="ListBullet2"/>
      </w:pPr>
      <w:r w:rsidRPr="008C77B3">
        <w:t>identification of passive elements</w:t>
      </w:r>
    </w:p>
    <w:p w:rsidR="00000000" w:rsidRPr="008C77B3" w:rsidP="008C77B3">
      <w:pPr>
        <w:pStyle w:val="ListBullet2"/>
      </w:pPr>
      <w:r w:rsidRPr="008C77B3">
        <w:t>impact of fire systems design on passive elements</w:t>
      </w:r>
    </w:p>
    <w:p w:rsidR="00000000" w:rsidRPr="008C77B3" w:rsidP="008C77B3">
      <w:pPr>
        <w:pStyle w:val="ListBullet2"/>
      </w:pPr>
      <w:r w:rsidRPr="008C77B3">
        <w:t>specifications required to safeguard integrity of passive fire element performance where penetrations are necessitated by the fire systems desig</w:t>
      </w:r>
      <w:r w:rsidRPr="008C77B3">
        <w:t>n</w:t>
      </w:r>
    </w:p>
    <w:p w:rsidR="00000000" w:rsidRPr="008C77B3" w:rsidP="008C77B3">
      <w:pPr>
        <w:pStyle w:val="ListBullet"/>
      </w:pPr>
      <w:r w:rsidRPr="008C77B3">
        <w:t>basic principles of structural engineering</w:t>
      </w:r>
    </w:p>
    <w:p w:rsidR="00000000" w:rsidRPr="008C77B3" w:rsidP="008C77B3">
      <w:pPr>
        <w:pStyle w:val="ListBullet"/>
      </w:pPr>
      <w:r w:rsidRPr="008C77B3">
        <w:t xml:space="preserve">characteristics of building materials </w:t>
      </w:r>
    </w:p>
    <w:p w:rsidR="00000000" w:rsidRPr="008C77B3" w:rsidP="008C77B3">
      <w:pPr>
        <w:pStyle w:val="ListBullet"/>
      </w:pPr>
      <w:r w:rsidRPr="008C77B3">
        <w:t>construction industry terminology</w:t>
      </w:r>
    </w:p>
    <w:p w:rsidR="00000000" w:rsidRPr="008C77B3" w:rsidP="008C77B3">
      <w:pPr>
        <w:pStyle w:val="ListBullet"/>
      </w:pPr>
      <w:r w:rsidRPr="008C77B3">
        <w:t>roles and responsibilities of relevant building project personnel:</w:t>
      </w:r>
    </w:p>
    <w:p w:rsidR="00000000" w:rsidRPr="008C77B3" w:rsidP="008C77B3">
      <w:pPr>
        <w:pStyle w:val="ListBullet2"/>
      </w:pPr>
      <w:r w:rsidRPr="008C77B3">
        <w:t>architect</w:t>
      </w:r>
    </w:p>
    <w:p w:rsidR="00000000" w:rsidRPr="008C77B3" w:rsidP="008C77B3">
      <w:pPr>
        <w:pStyle w:val="ListBullet2"/>
      </w:pPr>
      <w:r w:rsidRPr="008C77B3">
        <w:t>lead contractor</w:t>
      </w:r>
    </w:p>
    <w:p w:rsidR="00000000" w:rsidRPr="008C77B3" w:rsidP="008C77B3">
      <w:pPr>
        <w:pStyle w:val="ListBullet2"/>
      </w:pPr>
      <w:r w:rsidRPr="008C77B3">
        <w:t>mechanical engineer</w:t>
      </w:r>
    </w:p>
    <w:p w:rsidR="00000000" w:rsidRPr="008C77B3" w:rsidP="008C77B3">
      <w:pPr>
        <w:pStyle w:val="ListBullet2"/>
      </w:pPr>
      <w:r w:rsidRPr="008C77B3">
        <w:t>hydraulic engineer</w:t>
      </w:r>
    </w:p>
    <w:p w:rsidR="00000000" w:rsidRPr="008C77B3" w:rsidP="008C77B3">
      <w:pPr>
        <w:pStyle w:val="ListBullet2"/>
      </w:pPr>
      <w:r w:rsidRPr="008C77B3">
        <w:t>electrical engineer</w:t>
      </w:r>
    </w:p>
    <w:p w:rsidR="00000000" w:rsidRPr="008C77B3" w:rsidP="008C77B3">
      <w:pPr>
        <w:pStyle w:val="ListBullet"/>
      </w:pPr>
      <w:r w:rsidRPr="008C77B3">
        <w:t>on-site issues, including technical, that can arise during the construction phase and impose changes to the designs of fire systems and other services:</w:t>
      </w:r>
    </w:p>
    <w:p w:rsidR="00000000" w:rsidRPr="008C77B3" w:rsidP="008C77B3">
      <w:pPr>
        <w:pStyle w:val="ListBullet2"/>
      </w:pPr>
      <w:r w:rsidRPr="008C77B3">
        <w:t>installation issues:</w:t>
      </w:r>
    </w:p>
    <w:p w:rsidR="00000000" w:rsidRPr="008C77B3" w:rsidP="008C77B3">
      <w:pPr>
        <w:pStyle w:val="ListBullet3"/>
      </w:pPr>
      <w:r w:rsidRPr="008C77B3">
        <w:t xml:space="preserve">discrepancies between designed and actual structure </w:t>
      </w:r>
    </w:p>
    <w:p w:rsidR="00000000" w:rsidRPr="008C77B3" w:rsidP="008C77B3">
      <w:pPr>
        <w:pStyle w:val="ListBullet3"/>
      </w:pPr>
      <w:r w:rsidRPr="008C77B3">
        <w:t>discrepancies between designed and actual systems for other services:</w:t>
      </w:r>
    </w:p>
    <w:p w:rsidR="00000000" w:rsidRPr="008C77B3" w:rsidP="008C77B3">
      <w:pPr>
        <w:pStyle w:val="ListBullet4"/>
      </w:pPr>
      <w:r w:rsidRPr="008C77B3">
        <w:t>mechanical</w:t>
      </w:r>
    </w:p>
    <w:p w:rsidR="00000000" w:rsidRPr="008C77B3" w:rsidP="008C77B3">
      <w:pPr>
        <w:pStyle w:val="ListBullet4"/>
      </w:pPr>
      <w:r w:rsidRPr="008C77B3">
        <w:t>hydraulic</w:t>
      </w:r>
    </w:p>
    <w:p w:rsidR="00000000" w:rsidRPr="008C77B3" w:rsidP="008C77B3">
      <w:pPr>
        <w:pStyle w:val="ListBullet4"/>
      </w:pPr>
      <w:r w:rsidRPr="008C77B3">
        <w:t>electrical</w:t>
      </w:r>
    </w:p>
    <w:p w:rsidR="00000000" w:rsidRPr="008C77B3" w:rsidP="008C77B3">
      <w:pPr>
        <w:pStyle w:val="ListBullet3"/>
      </w:pPr>
      <w:r w:rsidRPr="008C77B3">
        <w:t>errors in supplied materials and components</w:t>
      </w:r>
    </w:p>
    <w:p w:rsidR="00000000" w:rsidRPr="008C77B3" w:rsidP="008C77B3">
      <w:pPr>
        <w:pStyle w:val="ListBullet3"/>
      </w:pPr>
      <w:r w:rsidRPr="008C77B3">
        <w:t xml:space="preserve">scheduling and sequencing changes </w:t>
      </w:r>
    </w:p>
    <w:p w:rsidR="00000000" w:rsidRPr="008C77B3" w:rsidP="008C77B3">
      <w:pPr>
        <w:pStyle w:val="ListBullet3"/>
      </w:pPr>
      <w:r w:rsidRPr="008C77B3">
        <w:t>problems with access to installation locations of fire system components</w:t>
      </w:r>
    </w:p>
    <w:p w:rsidR="00000000" w:rsidRPr="008C77B3" w:rsidP="008C77B3">
      <w:pPr>
        <w:pStyle w:val="ListBullet2"/>
      </w:pPr>
      <w:r w:rsidRPr="008C77B3">
        <w:t>installation implications:</w:t>
      </w:r>
    </w:p>
    <w:p w:rsidR="00000000" w:rsidRPr="008C77B3" w:rsidP="008C77B3">
      <w:pPr>
        <w:pStyle w:val="ListBullet3"/>
      </w:pPr>
      <w:r w:rsidRPr="008C77B3">
        <w:t>on-site work health and safety (WHS) risks</w:t>
      </w:r>
    </w:p>
    <w:p w:rsidR="00000000" w:rsidRPr="008C77B3" w:rsidP="008C77B3">
      <w:pPr>
        <w:pStyle w:val="ListBullet3"/>
      </w:pPr>
      <w:r w:rsidRPr="008C77B3">
        <w:t>manual handling</w:t>
      </w:r>
    </w:p>
    <w:p w:rsidR="00000000" w:rsidRPr="008C77B3" w:rsidP="008C77B3">
      <w:pPr>
        <w:pStyle w:val="ListBullet3"/>
      </w:pPr>
      <w:r w:rsidRPr="008C77B3">
        <w:t>confined spaces</w:t>
      </w:r>
    </w:p>
    <w:p w:rsidR="00000000" w:rsidRPr="008C77B3" w:rsidP="008C77B3">
      <w:pPr>
        <w:pStyle w:val="ListBullet3"/>
      </w:pPr>
      <w:r w:rsidRPr="008C77B3">
        <w:t>working at height</w:t>
      </w:r>
    </w:p>
    <w:p w:rsidR="00000000" w:rsidRPr="008C77B3" w:rsidP="008C77B3">
      <w:pPr>
        <w:pStyle w:val="ListBullet"/>
      </w:pPr>
      <w:r w:rsidRPr="008C77B3">
        <w:t>installation methods:</w:t>
      </w:r>
    </w:p>
    <w:p w:rsidR="00000000" w:rsidRPr="008C77B3" w:rsidP="008C77B3">
      <w:pPr>
        <w:pStyle w:val="ListBullet2"/>
      </w:pPr>
      <w:r w:rsidRPr="008C77B3">
        <w:t>access requirements:</w:t>
      </w:r>
    </w:p>
    <w:p w:rsidR="00000000" w:rsidRPr="008C77B3" w:rsidP="008C77B3">
      <w:pPr>
        <w:pStyle w:val="ListBullet3"/>
      </w:pPr>
      <w:r w:rsidRPr="008C77B3">
        <w:t>height of pipe</w:t>
      </w:r>
    </w:p>
    <w:p w:rsidR="00000000" w:rsidRPr="008C77B3" w:rsidP="008C77B3">
      <w:pPr>
        <w:pStyle w:val="ListBullet3"/>
      </w:pPr>
      <w:r w:rsidRPr="008C77B3">
        <w:t>length of pipe</w:t>
      </w:r>
    </w:p>
    <w:p w:rsidR="00000000" w:rsidRPr="008C77B3" w:rsidP="008C77B3">
      <w:pPr>
        <w:pStyle w:val="ListBullet3"/>
      </w:pPr>
      <w:r w:rsidRPr="008C77B3">
        <w:t>weight of materials</w:t>
      </w:r>
    </w:p>
    <w:p w:rsidR="00000000" w:rsidRPr="008C77B3" w:rsidP="008C77B3">
      <w:pPr>
        <w:pStyle w:val="ListBullet3"/>
      </w:pPr>
      <w:r w:rsidRPr="008C77B3">
        <w:t>distance from beams</w:t>
      </w:r>
    </w:p>
    <w:p w:rsidR="00000000" w:rsidRPr="008C77B3" w:rsidP="008C77B3">
      <w:pPr>
        <w:pStyle w:val="ListBullet3"/>
      </w:pPr>
      <w:r w:rsidRPr="008C77B3">
        <w:t>distance from walls</w:t>
      </w:r>
    </w:p>
    <w:p w:rsidR="00000000" w:rsidRPr="008C77B3" w:rsidP="008C77B3">
      <w:pPr>
        <w:pStyle w:val="ListBullet2"/>
      </w:pPr>
      <w:r w:rsidRPr="008C77B3">
        <w:t>WHS requirements</w:t>
      </w:r>
    </w:p>
    <w:p w:rsidR="00000000" w:rsidRPr="008C77B3" w:rsidP="008C77B3">
      <w:pPr>
        <w:pStyle w:val="ListBullet"/>
      </w:pPr>
      <w:r w:rsidRPr="008C77B3">
        <w:t>sustainability requirements and ratings:</w:t>
      </w:r>
    </w:p>
    <w:p w:rsidR="00000000" w:rsidRPr="008C77B3" w:rsidP="008C77B3">
      <w:pPr>
        <w:pStyle w:val="ListBullet2"/>
      </w:pPr>
      <w:r w:rsidRPr="008C77B3">
        <w:t>energy conservation</w:t>
      </w:r>
    </w:p>
    <w:p w:rsidR="00000000" w:rsidRPr="008C77B3" w:rsidP="008C77B3">
      <w:pPr>
        <w:pStyle w:val="ListBullet2"/>
      </w:pPr>
      <w:r w:rsidRPr="008C77B3">
        <w:t>water conservation</w:t>
      </w:r>
    </w:p>
    <w:p w:rsidR="00000000" w:rsidRPr="008C77B3" w:rsidP="008C77B3">
      <w:pPr>
        <w:pStyle w:val="ListBullet"/>
      </w:pPr>
      <w:r w:rsidRPr="008C77B3">
        <w:t>mathematic principles, equations and calculation methods relevant to the system type.</w:t>
      </w:r>
    </w:p>
    <w:p w:rsidR="00000000" w:rsidRPr="008C77B3" w:rsidP="008C77B3">
      <w:pPr>
        <w:pStyle w:val="AllowPageBreak"/>
      </w:pPr>
    </w:p>
    <w:p w:rsidR="00000000" w:rsidRPr="008C77B3" w:rsidP="008C77B3">
      <w:pPr>
        <w:pStyle w:val="Heading1"/>
      </w:pPr>
      <w:bookmarkStart w:id="4" w:name="O_1136612"/>
      <w:bookmarkEnd w:id="4"/>
      <w:r w:rsidRPr="008C77B3">
        <w:t>Assessment Conditions</w:t>
      </w:r>
    </w:p>
    <w:p w:rsidR="00000000" w:rsidRPr="008C77B3" w:rsidP="00E570B4">
      <w:pPr>
        <w:pStyle w:val="BodyText"/>
      </w:pPr>
      <w:r w:rsidRPr="008C77B3">
        <w:t>Assessors must meet the requirements for assessors contained in the Standards for Registered Training Organisations.</w:t>
      </w:r>
    </w:p>
    <w:p w:rsidR="00000000" w:rsidRPr="008C77B3" w:rsidP="00E570B4">
      <w:pPr>
        <w:pStyle w:val="BodyText"/>
      </w:pPr>
      <w:r w:rsidRPr="008C77B3">
        <w:t>This unit must be assessed in the workplace or a close simulation using realistic workplace conditions, materials, activities, responsibili</w:t>
      </w:r>
      <w:r w:rsidRPr="008C77B3">
        <w:t>ties, procedures, safety requirements and environmental considerations.</w:t>
      </w:r>
    </w:p>
    <w:p w:rsidR="00000000" w:rsidRPr="008C77B3" w:rsidP="008C77B3">
      <w:pPr>
        <w:pStyle w:val="Heading1"/>
      </w:pPr>
      <w:bookmarkStart w:id="5" w:name="O_1136610"/>
      <w:bookmarkEnd w:id="5"/>
      <w:r w:rsidRPr="008C77B3">
        <w:t>Links</w:t>
      </w:r>
    </w:p>
    <w:p w:rsidR="00000000" w:rsidRPr="008C77B3" w:rsidP="00E570B4">
      <w:pPr>
        <w:pStyle w:val="BodyText"/>
      </w:pPr>
      <w:r w:rsidRPr="008C77B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3473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C77B3" w:rsidP="008C77B3"/>
    <w:sectPr w:rsidSect="008C77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B3" w:rsidRPr="00E570B4" w:rsidP="00E570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0B4" w:rsidP="008C77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70B4" w:rsidP="008C77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570B4" w:rsidP="008C77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0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7B3" w:rsidRPr="00E570B4" w:rsidP="00E570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0B4" w:rsidRPr="002D2AF8" w:rsidP="008C77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CPCSFS5011 Provide design documentation and review and support fire system installation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570B4" w:rsidP="008C77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F228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881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9C88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7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7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7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7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7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7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7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7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7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7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7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7B3"/>
  </w:style>
  <w:style w:type="character" w:customStyle="1" w:styleId="Heading1Char">
    <w:name w:val="Heading 1 Char"/>
    <w:basedOn w:val="DefaultParagraphFont"/>
    <w:link w:val="Heading1"/>
    <w:rsid w:val="008C77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7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7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7B3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77B3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77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7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C77B3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7B3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8C77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7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7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7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7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7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7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7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7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7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7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7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7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7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7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7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77B3"/>
    <w:rPr>
      <w:b/>
      <w:spacing w:val="0"/>
    </w:rPr>
  </w:style>
  <w:style w:type="paragraph" w:customStyle="1" w:styleId="SuperTitle">
    <w:name w:val="SuperTitle"/>
    <w:basedOn w:val="Title"/>
    <w:rsid w:val="008C77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7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7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7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7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7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7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7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7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7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7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7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7B3"/>
    <w:rPr>
      <w:i/>
    </w:rPr>
  </w:style>
  <w:style w:type="paragraph" w:styleId="Caption">
    <w:name w:val="caption"/>
    <w:basedOn w:val="BodyText"/>
    <w:next w:val="Normal"/>
    <w:qFormat/>
    <w:rsid w:val="008C77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7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7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7B3"/>
  </w:style>
  <w:style w:type="paragraph" w:styleId="TableofFigures">
    <w:name w:val="table of figures"/>
    <w:basedOn w:val="Normal"/>
    <w:next w:val="Normal"/>
    <w:semiHidden/>
    <w:rsid w:val="008C77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7B3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8C77B3"/>
    <w:rPr>
      <w:rFonts w:ascii="Wingdings" w:hAnsi="Wingdings"/>
    </w:rPr>
  </w:style>
  <w:style w:type="paragraph" w:customStyle="1" w:styleId="TableHeading">
    <w:name w:val="Table Heading"/>
    <w:basedOn w:val="HeadingBase"/>
    <w:rsid w:val="008C77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7B3"/>
    <w:rPr>
      <w:color w:val="0033CC"/>
      <w:u w:val="none"/>
    </w:rPr>
  </w:style>
  <w:style w:type="paragraph" w:customStyle="1" w:styleId="BodyTextRight">
    <w:name w:val="Body Text Right"/>
    <w:basedOn w:val="BodyText"/>
    <w:rsid w:val="008C77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7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7B3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7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7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7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7B3"/>
    <w:rPr>
      <w:sz w:val="32"/>
    </w:rPr>
  </w:style>
  <w:style w:type="paragraph" w:customStyle="1" w:styleId="HeadingProcedure">
    <w:name w:val="Heading Procedure"/>
    <w:basedOn w:val="HeadingBase"/>
    <w:next w:val="Normal"/>
    <w:rsid w:val="008C77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7B3"/>
    <w:pPr>
      <w:spacing w:before="60" w:after="60"/>
    </w:pPr>
  </w:style>
  <w:style w:type="paragraph" w:styleId="ListContinue">
    <w:name w:val="List Continue"/>
    <w:basedOn w:val="List"/>
    <w:rsid w:val="008C77B3"/>
    <w:pPr>
      <w:ind w:firstLine="0"/>
    </w:pPr>
  </w:style>
  <w:style w:type="paragraph" w:customStyle="1" w:styleId="ListNote">
    <w:name w:val="List Note"/>
    <w:basedOn w:val="List"/>
    <w:rsid w:val="008C77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7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7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7B3"/>
    <w:rPr>
      <w:rFonts w:ascii="Courier New" w:hAnsi="Courier New"/>
    </w:rPr>
  </w:style>
  <w:style w:type="paragraph" w:customStyle="1" w:styleId="NoteBullet">
    <w:name w:val="Note Bullet"/>
    <w:basedOn w:val="Note"/>
    <w:rsid w:val="008C77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7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7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7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7B3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C77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7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7B3"/>
    <w:rPr>
      <w:b/>
      <w:smallCaps/>
    </w:rPr>
  </w:style>
  <w:style w:type="paragraph" w:customStyle="1" w:styleId="TableListNumber">
    <w:name w:val="Table List Number"/>
    <w:basedOn w:val="ListNumber"/>
    <w:rsid w:val="008C77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7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7B3"/>
    <w:pPr>
      <w:numPr>
        <w:numId w:val="11"/>
      </w:numPr>
    </w:pPr>
  </w:style>
  <w:style w:type="paragraph" w:customStyle="1" w:styleId="ListAlpha2">
    <w:name w:val="List Alpha 2"/>
    <w:basedOn w:val="List2"/>
    <w:rsid w:val="008C77B3"/>
    <w:pPr>
      <w:numPr>
        <w:numId w:val="10"/>
      </w:numPr>
    </w:pPr>
  </w:style>
  <w:style w:type="paragraph" w:styleId="List2">
    <w:name w:val="List 2"/>
    <w:basedOn w:val="BodyText"/>
    <w:rsid w:val="008C77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7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7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7B3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8C77B3"/>
    <w:pPr>
      <w:numPr>
        <w:numId w:val="6"/>
      </w:numPr>
    </w:pPr>
  </w:style>
  <w:style w:type="paragraph" w:styleId="ListContinue2">
    <w:name w:val="List Continue 2"/>
    <w:basedOn w:val="List2"/>
    <w:rsid w:val="008C77B3"/>
    <w:pPr>
      <w:ind w:firstLine="0"/>
    </w:pPr>
  </w:style>
  <w:style w:type="paragraph" w:styleId="ListContinue3">
    <w:name w:val="List Continue 3"/>
    <w:basedOn w:val="List3"/>
    <w:rsid w:val="008C77B3"/>
    <w:pPr>
      <w:ind w:left="1021" w:firstLine="0"/>
    </w:pPr>
  </w:style>
  <w:style w:type="paragraph" w:styleId="ListContinue4">
    <w:name w:val="List Continue 4"/>
    <w:basedOn w:val="List4"/>
    <w:rsid w:val="008C77B3"/>
    <w:pPr>
      <w:ind w:firstLine="0"/>
    </w:pPr>
  </w:style>
  <w:style w:type="paragraph" w:styleId="ListContinue5">
    <w:name w:val="List Continue 5"/>
    <w:basedOn w:val="List5"/>
    <w:rsid w:val="008C77B3"/>
    <w:pPr>
      <w:ind w:firstLine="0"/>
    </w:pPr>
  </w:style>
  <w:style w:type="paragraph" w:styleId="ListNumber3">
    <w:name w:val="List Number 3"/>
    <w:basedOn w:val="List3"/>
    <w:rsid w:val="008C77B3"/>
    <w:pPr>
      <w:numPr>
        <w:numId w:val="7"/>
      </w:numPr>
    </w:pPr>
  </w:style>
  <w:style w:type="paragraph" w:styleId="ListNumber4">
    <w:name w:val="List Number 4"/>
    <w:basedOn w:val="List4"/>
    <w:rsid w:val="008C77B3"/>
    <w:pPr>
      <w:numPr>
        <w:numId w:val="8"/>
      </w:numPr>
    </w:pPr>
  </w:style>
  <w:style w:type="paragraph" w:styleId="ListNumber5">
    <w:name w:val="List Number 5"/>
    <w:basedOn w:val="List5"/>
    <w:rsid w:val="008C77B3"/>
    <w:pPr>
      <w:numPr>
        <w:numId w:val="9"/>
      </w:numPr>
    </w:pPr>
  </w:style>
  <w:style w:type="paragraph" w:styleId="BlockText">
    <w:name w:val="Block Text"/>
    <w:basedOn w:val="Normal"/>
    <w:rsid w:val="008C77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7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7B3"/>
    <w:rPr>
      <w:sz w:val="16"/>
      <w:vertAlign w:val="superscript"/>
    </w:rPr>
  </w:style>
  <w:style w:type="character" w:customStyle="1" w:styleId="Symbols">
    <w:name w:val="Symbols"/>
    <w:basedOn w:val="DefaultParagraphFont"/>
    <w:rsid w:val="008C77B3"/>
    <w:rPr>
      <w:rFonts w:ascii="Symbol" w:hAnsi="Symbol"/>
    </w:rPr>
  </w:style>
  <w:style w:type="character" w:customStyle="1" w:styleId="MenuOptions">
    <w:name w:val="Menu Options"/>
    <w:basedOn w:val="DefaultParagraphFont"/>
    <w:rsid w:val="008C77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7B3"/>
    <w:rPr>
      <w:b/>
    </w:rPr>
  </w:style>
  <w:style w:type="character" w:customStyle="1" w:styleId="Underlined">
    <w:name w:val="Underlined"/>
    <w:basedOn w:val="DefaultParagraphFont"/>
    <w:rsid w:val="008C77B3"/>
    <w:rPr>
      <w:u w:val="single"/>
    </w:rPr>
  </w:style>
  <w:style w:type="paragraph" w:customStyle="1" w:styleId="TableBodyTextRight">
    <w:name w:val="Table Body Text Right"/>
    <w:basedOn w:val="TableBodyText"/>
    <w:rsid w:val="008C77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7B3"/>
    <w:rPr>
      <w:sz w:val="18"/>
    </w:rPr>
  </w:style>
  <w:style w:type="paragraph" w:customStyle="1" w:styleId="BodySmallRight">
    <w:name w:val="Body Small Right"/>
    <w:basedOn w:val="BodyTextRight"/>
    <w:rsid w:val="008C77B3"/>
    <w:rPr>
      <w:sz w:val="18"/>
      <w:szCs w:val="18"/>
    </w:rPr>
  </w:style>
  <w:style w:type="paragraph" w:customStyle="1" w:styleId="MarginEdition">
    <w:name w:val="Margin Edition"/>
    <w:basedOn w:val="MarginNote"/>
    <w:rsid w:val="008C77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7B3"/>
    <w:rPr>
      <w:sz w:val="2"/>
      <w:szCs w:val="2"/>
    </w:rPr>
  </w:style>
  <w:style w:type="character" w:customStyle="1" w:styleId="Small">
    <w:name w:val="Small"/>
    <w:basedOn w:val="DefaultParagraphFont"/>
    <w:rsid w:val="008C77B3"/>
    <w:rPr>
      <w:sz w:val="16"/>
    </w:rPr>
  </w:style>
  <w:style w:type="paragraph" w:customStyle="1" w:styleId="WideTable">
    <w:name w:val="Wide Table"/>
    <w:basedOn w:val="Normal"/>
    <w:rsid w:val="008C77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7B3"/>
  </w:style>
  <w:style w:type="paragraph" w:styleId="Quote">
    <w:name w:val="Quote"/>
    <w:basedOn w:val="Heading1"/>
    <w:link w:val="QuoteChar"/>
    <w:qFormat/>
    <w:rsid w:val="008C77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7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7B3"/>
    <w:pPr>
      <w:pageBreakBefore/>
    </w:pPr>
  </w:style>
  <w:style w:type="paragraph" w:customStyle="1" w:styleId="Border">
    <w:name w:val="Border"/>
    <w:basedOn w:val="Normal"/>
    <w:qFormat/>
    <w:rsid w:val="008C77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7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7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7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7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7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7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7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7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7B3"/>
    <w:rPr>
      <w:u w:val="single"/>
    </w:rPr>
  </w:style>
  <w:style w:type="character" w:customStyle="1" w:styleId="BoldandItalics">
    <w:name w:val="Bold and Italics"/>
    <w:qFormat/>
    <w:rsid w:val="008C77B3"/>
    <w:rPr>
      <w:b/>
      <w:i/>
      <w:u w:val="none"/>
    </w:rPr>
  </w:style>
  <w:style w:type="paragraph" w:styleId="BalloonText">
    <w:name w:val="Balloon Text"/>
    <w:basedOn w:val="Normal"/>
    <w:link w:val="BalloonTextChar"/>
    <w:rsid w:val="008C7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7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7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7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7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7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7B3"/>
    <w:pPr>
      <w:spacing w:before="0" w:after="0"/>
    </w:pPr>
  </w:style>
  <w:style w:type="paragraph" w:customStyle="1" w:styleId="BodyTextBold">
    <w:name w:val="Body Text Bold"/>
    <w:basedOn w:val="BodyText"/>
    <w:qFormat/>
    <w:rsid w:val="008C77B3"/>
    <w:rPr>
      <w:b/>
    </w:rPr>
  </w:style>
  <w:style w:type="character" w:styleId="Hyperlink">
    <w:name w:val="Hyperlink"/>
    <w:basedOn w:val="DefaultParagraphFont"/>
    <w:uiPriority w:val="99"/>
    <w:unhideWhenUsed/>
    <w:rsid w:val="00E570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639</Words>
  <Characters>4504</Characters>
  <Application>Microsoft Office Word</Application>
  <DocSecurity>0</DocSecurity>
  <Lines>145</Lines>
  <Paragraphs>138</Paragraphs>
  <ScaleCrop>false</ScaleCrop>
  <Company>Author-it Software Corporation Ltd.</Company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CPCSFS5011 Provide design documentation and review and support fire system installation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2024-12-24T01:01:00Z</dcterms:modified>
</cp:coreProperties>
</file>