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127" w:rsidP="00CD6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CPCSFS5010 Provide documentation and support for fabrication of fire sprinkler systems</w:t>
      </w:r>
      <w:r>
        <w:fldChar w:fldCharType="end"/>
      </w:r>
    </w:p>
    <w:p w:rsidR="00CD6127" w:rsidP="00CD6127">
      <w:pPr>
        <w:pStyle w:val="Version"/>
        <w:sectPr w:rsidSect="007B3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315" w:rsidP="007B3315">
      <w:pPr>
        <w:pStyle w:val="SuperHeading"/>
      </w:pPr>
      <w:r w:rsidRPr="007B3315">
        <w:t>Assessment Requirements for CPCSFS5010 Provide documentation and support for fabrication of fire sprinkler systems</w:t>
      </w:r>
    </w:p>
    <w:p w:rsidR="00000000" w:rsidRPr="007B3315" w:rsidP="007B3315">
      <w:pPr>
        <w:pStyle w:val="Heading1"/>
      </w:pPr>
      <w:bookmarkStart w:id="1" w:name="O_1136594"/>
      <w:bookmarkEnd w:id="1"/>
      <w:r w:rsidRPr="007B33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B3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315">
            <w:pPr>
              <w:pStyle w:val="BodyText"/>
              <w:rPr>
                <w:lang w:val="en-NZ"/>
              </w:rPr>
            </w:pPr>
            <w:r w:rsidRPr="007B331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315" w:rsidP="007B3315">
            <w:pPr>
              <w:pStyle w:val="BodyText"/>
            </w:pPr>
            <w:r w:rsidRPr="007B3315">
              <w:t>This version first released with CPC Construction, Plu</w:t>
            </w:r>
            <w:r w:rsidRPr="007B3315">
              <w:t>mbing and Services Training Package Release 5.0.</w:t>
            </w:r>
          </w:p>
          <w:p w:rsidR="00000000" w:rsidRPr="007B3315" w:rsidP="007B3315">
            <w:pPr>
              <w:pStyle w:val="BodyText"/>
            </w:pPr>
            <w:r w:rsidRPr="007B3315">
              <w:t>Supersedes and is equivalent to CPCSFS5010A Provide documentation and support for fabrication of fire sprinkler systems.  Updated to meet the Standards for Training Packages 2012.</w:t>
            </w:r>
          </w:p>
        </w:tc>
      </w:tr>
    </w:tbl>
    <w:p w:rsidR="00000000" w:rsidRPr="007B3315" w:rsidP="007B3315">
      <w:pPr>
        <w:pStyle w:val="BodyText"/>
      </w:pPr>
    </w:p>
    <w:p w:rsidR="00000000" w:rsidRPr="007B3315" w:rsidP="007B3315">
      <w:pPr>
        <w:pStyle w:val="AllowPageBreak"/>
      </w:pPr>
    </w:p>
    <w:p w:rsidR="00000000" w:rsidRPr="007B3315" w:rsidP="007B3315">
      <w:pPr>
        <w:pStyle w:val="Heading1"/>
      </w:pPr>
      <w:bookmarkStart w:id="2" w:name="O_1136597"/>
      <w:bookmarkEnd w:id="2"/>
      <w:r w:rsidRPr="007B3315">
        <w:t>Perfor</w:t>
      </w:r>
      <w:r w:rsidRPr="007B3315">
        <w:t>mance Evidence</w:t>
      </w:r>
    </w:p>
    <w:p w:rsidR="00000000" w:rsidRPr="007B3315" w:rsidP="00CD6127">
      <w:pPr>
        <w:pStyle w:val="BodyText"/>
      </w:pPr>
      <w:r w:rsidRPr="007B3315">
        <w:t xml:space="preserve">To demonstrate competency, a candidate must meet the performance criteria for this unit by: </w:t>
      </w:r>
    </w:p>
    <w:p w:rsidR="00000000" w:rsidRPr="007B3315" w:rsidP="007B3315">
      <w:pPr>
        <w:pStyle w:val="ListBullet"/>
      </w:pPr>
      <w:r w:rsidRPr="007B3315">
        <w:t xml:space="preserve">producing pipe fabrication documentation for fire sprinkler system design projects for four types of buildings including a: </w:t>
      </w:r>
    </w:p>
    <w:p w:rsidR="00000000" w:rsidRPr="007B3315" w:rsidP="007B3315">
      <w:pPr>
        <w:pStyle w:val="ListBullet2"/>
      </w:pPr>
      <w:r w:rsidRPr="007B3315">
        <w:t>commercial building</w:t>
      </w:r>
    </w:p>
    <w:p w:rsidR="00000000" w:rsidRPr="007B3315" w:rsidP="007B3315">
      <w:pPr>
        <w:pStyle w:val="ListBullet2"/>
      </w:pPr>
      <w:r w:rsidRPr="007B3315">
        <w:t>factory</w:t>
      </w:r>
    </w:p>
    <w:p w:rsidR="00000000" w:rsidRPr="007B3315" w:rsidP="007B3315">
      <w:pPr>
        <w:pStyle w:val="ListBullet2"/>
      </w:pPr>
      <w:r w:rsidRPr="007B3315">
        <w:t>residential nursing home</w:t>
      </w:r>
    </w:p>
    <w:p w:rsidR="00000000" w:rsidRPr="007B3315" w:rsidP="007B3315">
      <w:pPr>
        <w:pStyle w:val="ListBullet2"/>
      </w:pPr>
      <w:r w:rsidRPr="007B3315">
        <w:t>high-rise building.</w:t>
      </w:r>
    </w:p>
    <w:p w:rsidR="00000000" w:rsidRPr="007B3315" w:rsidP="007B3315">
      <w:pPr>
        <w:pStyle w:val="AllowPageBreak"/>
      </w:pPr>
    </w:p>
    <w:p w:rsidR="00000000" w:rsidRPr="007B3315" w:rsidP="007B3315">
      <w:pPr>
        <w:pStyle w:val="Heading1"/>
      </w:pPr>
      <w:bookmarkStart w:id="3" w:name="O_1136596"/>
      <w:bookmarkEnd w:id="3"/>
      <w:r w:rsidRPr="007B3315">
        <w:t>Knowledge Evidence</w:t>
      </w:r>
    </w:p>
    <w:p w:rsidR="00000000" w:rsidRPr="007B3315" w:rsidP="00CD6127">
      <w:pPr>
        <w:pStyle w:val="BodyText"/>
      </w:pPr>
      <w:r w:rsidRPr="007B3315">
        <w:t>To be competent in this unit, a candidate must demonstrate knowledge of:</w:t>
      </w:r>
    </w:p>
    <w:p w:rsidR="00000000" w:rsidRPr="007B3315" w:rsidP="007B3315">
      <w:pPr>
        <w:pStyle w:val="ListBullet"/>
      </w:pPr>
      <w:r w:rsidRPr="007B3315">
        <w:t>workplace design tools and processes</w:t>
      </w:r>
    </w:p>
    <w:p w:rsidR="00000000" w:rsidRPr="007B3315" w:rsidP="007B3315">
      <w:pPr>
        <w:pStyle w:val="ListBullet"/>
      </w:pPr>
      <w:r w:rsidRPr="007B3315">
        <w:t>level of accuracy required in detailed design drawings</w:t>
      </w:r>
    </w:p>
    <w:p w:rsidR="00000000" w:rsidRPr="007B3315" w:rsidP="007B3315">
      <w:pPr>
        <w:pStyle w:val="ListBullet"/>
      </w:pPr>
      <w:r w:rsidRPr="007B3315">
        <w:t>naming conventions for design drawings and drawing register</w:t>
      </w:r>
    </w:p>
    <w:p w:rsidR="00000000" w:rsidRPr="007B3315" w:rsidP="007B3315">
      <w:pPr>
        <w:pStyle w:val="ListBullet"/>
      </w:pPr>
      <w:r w:rsidRPr="007B3315">
        <w:t>relevant current legislation, codes and standards:</w:t>
      </w:r>
    </w:p>
    <w:p w:rsidR="00000000" w:rsidRPr="007B3315" w:rsidP="007B3315">
      <w:pPr>
        <w:pStyle w:val="ListBullet2"/>
      </w:pPr>
      <w:r w:rsidRPr="007B3315">
        <w:t>building Acts</w:t>
      </w:r>
    </w:p>
    <w:p w:rsidR="00000000" w:rsidRPr="007B3315" w:rsidP="007B3315">
      <w:pPr>
        <w:pStyle w:val="ListBullet2"/>
      </w:pPr>
      <w:r w:rsidRPr="007B3315">
        <w:t>building regulations</w:t>
      </w:r>
    </w:p>
    <w:p w:rsidR="00000000" w:rsidRPr="007B3315" w:rsidP="007B3315">
      <w:pPr>
        <w:pStyle w:val="ListBullet2"/>
      </w:pPr>
      <w:r w:rsidRPr="007B3315">
        <w:t xml:space="preserve">infrastructure supply regulations </w:t>
      </w:r>
    </w:p>
    <w:p w:rsidR="00000000" w:rsidRPr="007B3315" w:rsidP="007B3315">
      <w:pPr>
        <w:pStyle w:val="ListBullet2"/>
      </w:pPr>
      <w:r w:rsidRPr="007B3315">
        <w:t>the Building Code of Australia (BCA)</w:t>
      </w:r>
    </w:p>
    <w:p w:rsidR="00000000" w:rsidRPr="007B3315" w:rsidP="007B3315">
      <w:pPr>
        <w:pStyle w:val="ListBullet2"/>
      </w:pPr>
      <w:r w:rsidRPr="007B3315">
        <w:t>National Construction Code (NCC)</w:t>
      </w:r>
    </w:p>
    <w:p w:rsidR="00000000" w:rsidRPr="007B3315" w:rsidP="007B3315">
      <w:pPr>
        <w:pStyle w:val="ListBullet2"/>
      </w:pPr>
      <w:r w:rsidRPr="007B3315">
        <w:t>Australian standards for fire systems</w:t>
      </w:r>
    </w:p>
    <w:p w:rsidR="00000000" w:rsidRPr="007B3315" w:rsidP="007B3315">
      <w:pPr>
        <w:pStyle w:val="ListBullet2"/>
      </w:pPr>
      <w:r w:rsidRPr="007B3315">
        <w:t>international standards for fire systems</w:t>
      </w:r>
    </w:p>
    <w:p w:rsidR="00000000" w:rsidRPr="007B3315" w:rsidP="007B3315">
      <w:pPr>
        <w:pStyle w:val="ListBullet2"/>
      </w:pPr>
      <w:r w:rsidRPr="007B3315">
        <w:t xml:space="preserve">jurisdictional authorities in addition to the BCA and NCC </w:t>
      </w:r>
    </w:p>
    <w:p w:rsidR="00000000" w:rsidRPr="007B3315" w:rsidP="007B3315">
      <w:pPr>
        <w:pStyle w:val="ListBullet2"/>
      </w:pPr>
      <w:r w:rsidRPr="007B3315">
        <w:t>other fire system standards commonly required by building insurers</w:t>
      </w:r>
    </w:p>
    <w:p w:rsidR="00000000" w:rsidRPr="007B3315" w:rsidP="007B3315">
      <w:pPr>
        <w:pStyle w:val="ListBullet"/>
      </w:pPr>
      <w:r w:rsidRPr="007B3315">
        <w:t>protection requirements for different buildings, i</w:t>
      </w:r>
      <w:r w:rsidRPr="007B3315">
        <w:t>ncluding:</w:t>
      </w:r>
    </w:p>
    <w:p w:rsidR="00000000" w:rsidRPr="007B3315" w:rsidP="007B3315">
      <w:pPr>
        <w:pStyle w:val="ListBullet2"/>
      </w:pPr>
      <w:r w:rsidRPr="007B3315">
        <w:t xml:space="preserve">low-rise buildings </w:t>
      </w:r>
    </w:p>
    <w:p w:rsidR="00000000" w:rsidRPr="007B3315" w:rsidP="007B3315">
      <w:pPr>
        <w:pStyle w:val="ListBullet2"/>
      </w:pPr>
      <w:r w:rsidRPr="007B3315">
        <w:t>processing building applications</w:t>
      </w:r>
    </w:p>
    <w:p w:rsidR="00000000" w:rsidRPr="007B3315" w:rsidP="007B3315">
      <w:pPr>
        <w:pStyle w:val="ListBullet2"/>
      </w:pPr>
      <w:r w:rsidRPr="007B3315">
        <w:t>warehouse buildings under 13.7 m high</w:t>
      </w:r>
    </w:p>
    <w:p w:rsidR="00000000" w:rsidRPr="007B3315" w:rsidP="007B3315">
      <w:pPr>
        <w:pStyle w:val="ListBullet2"/>
      </w:pPr>
      <w:r w:rsidRPr="007B3315">
        <w:t>warehouse buildings over 13.7 m high</w:t>
      </w:r>
    </w:p>
    <w:p w:rsidR="00000000" w:rsidRPr="007B3315" w:rsidP="007B3315">
      <w:pPr>
        <w:pStyle w:val="ListBullet2"/>
      </w:pPr>
      <w:r w:rsidRPr="007B3315">
        <w:t>medium-rise buildings</w:t>
      </w:r>
    </w:p>
    <w:p w:rsidR="00000000" w:rsidRPr="007B3315" w:rsidP="007B3315">
      <w:pPr>
        <w:pStyle w:val="ListBullet2"/>
      </w:pPr>
      <w:r w:rsidRPr="007B3315">
        <w:t>high-rise buildings (over 25 metres)</w:t>
      </w:r>
    </w:p>
    <w:p w:rsidR="00000000" w:rsidRPr="007B3315" w:rsidP="007B3315">
      <w:pPr>
        <w:pStyle w:val="ListBullet2"/>
      </w:pPr>
      <w:r w:rsidRPr="007B3315">
        <w:t>buildings over 50 metres in height</w:t>
      </w:r>
    </w:p>
    <w:p w:rsidR="00000000" w:rsidRPr="007B3315" w:rsidP="007B3315">
      <w:pPr>
        <w:pStyle w:val="ListBullet"/>
      </w:pPr>
      <w:r w:rsidRPr="007B3315">
        <w:t>fire systems</w:t>
      </w:r>
      <w:r>
        <w:t>’</w:t>
      </w:r>
      <w:r w:rsidRPr="007B3315">
        <w:t xml:space="preserve"> technology and components, including water-based systems:</w:t>
      </w:r>
    </w:p>
    <w:p w:rsidR="00000000" w:rsidRPr="007B3315" w:rsidP="007B3315">
      <w:pPr>
        <w:pStyle w:val="ListBullet2"/>
      </w:pPr>
      <w:r w:rsidRPr="007B3315">
        <w:t>wet pipe sprinkler systems</w:t>
      </w:r>
    </w:p>
    <w:p w:rsidR="00000000" w:rsidRPr="007B3315" w:rsidP="007B3315">
      <w:pPr>
        <w:pStyle w:val="ListBullet2"/>
      </w:pPr>
      <w:r w:rsidRPr="007B3315">
        <w:t>deluge and drencher systems</w:t>
      </w:r>
    </w:p>
    <w:p w:rsidR="00000000" w:rsidRPr="007B3315" w:rsidP="007B3315">
      <w:pPr>
        <w:pStyle w:val="ListBullet2"/>
      </w:pPr>
      <w:r w:rsidRPr="007B3315">
        <w:t>dry pipe sprinkler systems</w:t>
      </w:r>
    </w:p>
    <w:p w:rsidR="00000000" w:rsidRPr="007B3315" w:rsidP="007B3315">
      <w:pPr>
        <w:pStyle w:val="ListBullet2"/>
      </w:pPr>
      <w:r w:rsidRPr="007B3315">
        <w:t>pre-action sprinkler systems</w:t>
      </w:r>
    </w:p>
    <w:p w:rsidR="00000000" w:rsidRPr="007B3315" w:rsidP="007B3315">
      <w:pPr>
        <w:pStyle w:val="ListBullet2"/>
      </w:pPr>
      <w:r w:rsidRPr="007B3315">
        <w:t>early suppression fast response (ESFR)</w:t>
      </w:r>
    </w:p>
    <w:p w:rsidR="00000000" w:rsidRPr="007B3315" w:rsidP="007B3315">
      <w:pPr>
        <w:pStyle w:val="ListBullet2"/>
      </w:pPr>
      <w:r w:rsidRPr="007B3315">
        <w:t>gaseous suppression systems</w:t>
      </w:r>
    </w:p>
    <w:p w:rsidR="00000000" w:rsidRPr="007B3315" w:rsidP="007B3315">
      <w:pPr>
        <w:pStyle w:val="ListBullet2"/>
      </w:pPr>
      <w:r w:rsidRPr="007B3315">
        <w:t>water</w:t>
      </w:r>
      <w:r w:rsidRPr="007B3315">
        <w:t xml:space="preserve"> spray systems</w:t>
      </w:r>
    </w:p>
    <w:p w:rsidR="00000000" w:rsidRPr="007B3315" w:rsidP="007B3315">
      <w:pPr>
        <w:pStyle w:val="ListBullet2"/>
      </w:pPr>
      <w:r w:rsidRPr="007B3315">
        <w:t>water mist systems</w:t>
      </w:r>
    </w:p>
    <w:p w:rsidR="00000000" w:rsidRPr="007B3315" w:rsidP="007B3315">
      <w:pPr>
        <w:pStyle w:val="ListBullet2"/>
      </w:pPr>
      <w:r w:rsidRPr="007B3315">
        <w:t>wet chemical suppression systems</w:t>
      </w:r>
    </w:p>
    <w:p w:rsidR="00000000" w:rsidRPr="007B3315" w:rsidP="007B3315">
      <w:pPr>
        <w:pStyle w:val="ListBullet2"/>
      </w:pPr>
      <w:r w:rsidRPr="007B3315">
        <w:t>foam suppression systems</w:t>
      </w:r>
    </w:p>
    <w:p w:rsidR="00000000" w:rsidRPr="007B3315" w:rsidP="007B3315">
      <w:pPr>
        <w:pStyle w:val="ListBullet2"/>
      </w:pPr>
      <w:r w:rsidRPr="007B3315">
        <w:t>hangers</w:t>
      </w:r>
    </w:p>
    <w:p w:rsidR="00000000" w:rsidRPr="007B3315" w:rsidP="007B3315">
      <w:pPr>
        <w:pStyle w:val="ListBullet2"/>
      </w:pPr>
      <w:r w:rsidRPr="007B3315">
        <w:t>sprinkler heads</w:t>
      </w:r>
    </w:p>
    <w:p w:rsidR="00000000" w:rsidRPr="007B3315" w:rsidP="007B3315">
      <w:pPr>
        <w:pStyle w:val="ListBullet2"/>
      </w:pPr>
      <w:r w:rsidRPr="007B3315">
        <w:t>nozzles</w:t>
      </w:r>
    </w:p>
    <w:p w:rsidR="00000000" w:rsidRPr="007B3315" w:rsidP="007B3315">
      <w:pPr>
        <w:pStyle w:val="ListBullet2"/>
      </w:pPr>
      <w:r w:rsidRPr="007B3315">
        <w:t>elbows</w:t>
      </w:r>
    </w:p>
    <w:p w:rsidR="00000000" w:rsidRPr="007B3315" w:rsidP="007B3315">
      <w:pPr>
        <w:pStyle w:val="ListBullet2"/>
      </w:pPr>
      <w:r w:rsidRPr="007B3315">
        <w:t>tees</w:t>
      </w:r>
    </w:p>
    <w:p w:rsidR="00000000" w:rsidRPr="007B3315" w:rsidP="007B3315">
      <w:pPr>
        <w:pStyle w:val="ListBullet2"/>
      </w:pPr>
      <w:r w:rsidRPr="007B3315">
        <w:t>pumps</w:t>
      </w:r>
    </w:p>
    <w:p w:rsidR="00000000" w:rsidRPr="007B3315" w:rsidP="007B3315">
      <w:pPr>
        <w:pStyle w:val="ListBullet2"/>
      </w:pPr>
      <w:r w:rsidRPr="007B3315">
        <w:t>tanks</w:t>
      </w:r>
    </w:p>
    <w:p w:rsidR="00000000" w:rsidRPr="007B3315" w:rsidP="007B3315">
      <w:pPr>
        <w:pStyle w:val="ListBullet"/>
      </w:pPr>
      <w:r w:rsidRPr="007B3315">
        <w:t>purpose and operation of fire systems:</w:t>
      </w:r>
    </w:p>
    <w:p w:rsidR="00000000" w:rsidRPr="007B3315" w:rsidP="007B3315">
      <w:pPr>
        <w:pStyle w:val="ListBullet2"/>
      </w:pPr>
      <w:r w:rsidRPr="007B3315">
        <w:t>layout</w:t>
      </w:r>
    </w:p>
    <w:p w:rsidR="00000000" w:rsidRPr="007B3315" w:rsidP="007B3315">
      <w:pPr>
        <w:pStyle w:val="ListBullet2"/>
      </w:pPr>
      <w:r w:rsidRPr="007B3315">
        <w:t>location:</w:t>
      </w:r>
    </w:p>
    <w:p w:rsidR="00000000" w:rsidRPr="007B3315" w:rsidP="007B3315">
      <w:pPr>
        <w:pStyle w:val="ListBullet3"/>
      </w:pPr>
      <w:r w:rsidRPr="007B3315">
        <w:t>ceiling space</w:t>
      </w:r>
    </w:p>
    <w:p w:rsidR="00000000" w:rsidRPr="007B3315" w:rsidP="007B3315">
      <w:pPr>
        <w:pStyle w:val="ListBullet3"/>
      </w:pPr>
      <w:r w:rsidRPr="007B3315">
        <w:t>roof space</w:t>
      </w:r>
    </w:p>
    <w:p w:rsidR="00000000" w:rsidRPr="007B3315" w:rsidP="007B3315">
      <w:pPr>
        <w:pStyle w:val="ListBullet3"/>
      </w:pPr>
      <w:r w:rsidRPr="007B3315">
        <w:t>under-floor</w:t>
      </w:r>
    </w:p>
    <w:p w:rsidR="00000000" w:rsidRPr="007B3315" w:rsidP="007B3315">
      <w:pPr>
        <w:pStyle w:val="ListBullet3"/>
      </w:pPr>
      <w:r w:rsidRPr="007B3315">
        <w:t>under-soffit</w:t>
      </w:r>
    </w:p>
    <w:p w:rsidR="00000000" w:rsidRPr="007B3315" w:rsidP="007B3315">
      <w:pPr>
        <w:pStyle w:val="ListBullet2"/>
      </w:pPr>
      <w:r w:rsidRPr="007B3315">
        <w:t>special products and hazards</w:t>
      </w:r>
    </w:p>
    <w:p w:rsidR="00000000" w:rsidRPr="007B3315" w:rsidP="007B3315">
      <w:pPr>
        <w:pStyle w:val="ListBullet2"/>
      </w:pPr>
      <w:r w:rsidRPr="007B3315">
        <w:t>system operation:</w:t>
      </w:r>
    </w:p>
    <w:p w:rsidR="00000000" w:rsidRPr="007B3315" w:rsidP="007B3315">
      <w:pPr>
        <w:pStyle w:val="ListBullet3"/>
      </w:pPr>
      <w:r w:rsidRPr="007B3315">
        <w:t>deluge and drencher systems</w:t>
      </w:r>
    </w:p>
    <w:p w:rsidR="00000000" w:rsidRPr="007B3315" w:rsidP="007B3315">
      <w:pPr>
        <w:pStyle w:val="ListBullet3"/>
      </w:pPr>
      <w:r w:rsidRPr="007B3315">
        <w:t>dry pipe sprinkler systems</w:t>
      </w:r>
    </w:p>
    <w:p w:rsidR="00000000" w:rsidRPr="007B3315" w:rsidP="007B3315">
      <w:pPr>
        <w:pStyle w:val="ListBullet3"/>
      </w:pPr>
      <w:r w:rsidRPr="007B3315">
        <w:t>pre-action sprinkler systems</w:t>
      </w:r>
    </w:p>
    <w:p w:rsidR="00000000" w:rsidRPr="007B3315" w:rsidP="007B3315">
      <w:pPr>
        <w:pStyle w:val="ListBullet3"/>
      </w:pPr>
      <w:r w:rsidRPr="007B3315">
        <w:t>ESFR</w:t>
      </w:r>
    </w:p>
    <w:p w:rsidR="00000000" w:rsidRPr="007B3315" w:rsidP="007B3315">
      <w:pPr>
        <w:pStyle w:val="ListBullet3"/>
      </w:pPr>
      <w:r w:rsidRPr="007B3315">
        <w:t>gaseous suppression systems</w:t>
      </w:r>
    </w:p>
    <w:p w:rsidR="00000000" w:rsidRPr="007B3315" w:rsidP="007B3315">
      <w:pPr>
        <w:pStyle w:val="ListBullet3"/>
      </w:pPr>
      <w:r w:rsidRPr="007B3315">
        <w:t>water spray systems</w:t>
      </w:r>
    </w:p>
    <w:p w:rsidR="00000000" w:rsidRPr="007B3315" w:rsidP="007B3315">
      <w:pPr>
        <w:pStyle w:val="ListBullet3"/>
      </w:pPr>
      <w:r w:rsidRPr="007B3315">
        <w:t>water mist systems</w:t>
      </w:r>
    </w:p>
    <w:p w:rsidR="00000000" w:rsidRPr="007B3315" w:rsidP="007B3315">
      <w:pPr>
        <w:pStyle w:val="ListBullet3"/>
      </w:pPr>
      <w:r w:rsidRPr="007B3315">
        <w:t>foam suppression systems</w:t>
      </w:r>
    </w:p>
    <w:p w:rsidR="00000000" w:rsidRPr="007B3315" w:rsidP="007B3315">
      <w:pPr>
        <w:pStyle w:val="ListBullet2"/>
      </w:pPr>
      <w:r w:rsidRPr="007B3315">
        <w:t>performance requirements</w:t>
      </w:r>
      <w:r w:rsidRPr="007B3315">
        <w:t xml:space="preserve"> and technical issues impacting on fire sprinkler systems designs</w:t>
      </w:r>
    </w:p>
    <w:p w:rsidR="00000000" w:rsidRPr="007B3315" w:rsidP="007B3315">
      <w:pPr>
        <w:pStyle w:val="ListBullet2"/>
      </w:pPr>
      <w:r w:rsidRPr="007B3315">
        <w:t>maintenance standards</w:t>
      </w:r>
    </w:p>
    <w:p w:rsidR="00000000" w:rsidRPr="007B3315" w:rsidP="007B3315">
      <w:pPr>
        <w:pStyle w:val="ListBullet2"/>
      </w:pPr>
      <w:r w:rsidRPr="007B3315">
        <w:t>system activation:</w:t>
      </w:r>
    </w:p>
    <w:p w:rsidR="00000000" w:rsidRPr="007B3315" w:rsidP="007B3315">
      <w:pPr>
        <w:pStyle w:val="ListBullet3"/>
      </w:pPr>
      <w:r w:rsidRPr="007B3315">
        <w:t>deluge and drencher systems</w:t>
      </w:r>
    </w:p>
    <w:p w:rsidR="00000000" w:rsidRPr="007B3315" w:rsidP="007B3315">
      <w:pPr>
        <w:pStyle w:val="ListBullet3"/>
      </w:pPr>
      <w:r w:rsidRPr="007B3315">
        <w:t>dry pipe sprinkler systems</w:t>
      </w:r>
    </w:p>
    <w:p w:rsidR="00000000" w:rsidRPr="007B3315" w:rsidP="007B3315">
      <w:pPr>
        <w:pStyle w:val="ListBullet3"/>
      </w:pPr>
      <w:r w:rsidRPr="007B3315">
        <w:t>pre-action sprinkler systems</w:t>
      </w:r>
    </w:p>
    <w:p w:rsidR="00000000" w:rsidRPr="007B3315" w:rsidP="007B3315">
      <w:pPr>
        <w:pStyle w:val="ListBullet3"/>
      </w:pPr>
      <w:r w:rsidRPr="007B3315">
        <w:t>ESFR</w:t>
      </w:r>
    </w:p>
    <w:p w:rsidR="00000000" w:rsidRPr="007B3315" w:rsidP="007B3315">
      <w:pPr>
        <w:pStyle w:val="ListBullet3"/>
      </w:pPr>
      <w:r w:rsidRPr="007B3315">
        <w:t>gaseous suppression systems</w:t>
      </w:r>
    </w:p>
    <w:p w:rsidR="00000000" w:rsidRPr="007B3315" w:rsidP="007B3315">
      <w:pPr>
        <w:pStyle w:val="ListBullet3"/>
      </w:pPr>
      <w:r w:rsidRPr="007B3315">
        <w:t>water spray systems</w:t>
      </w:r>
    </w:p>
    <w:p w:rsidR="00000000" w:rsidRPr="007B3315" w:rsidP="007B3315">
      <w:pPr>
        <w:pStyle w:val="ListBullet3"/>
      </w:pPr>
      <w:r w:rsidRPr="007B3315">
        <w:t>water mist systems</w:t>
      </w:r>
    </w:p>
    <w:p w:rsidR="00000000" w:rsidRPr="007B3315" w:rsidP="007B3315">
      <w:pPr>
        <w:pStyle w:val="ListBullet3"/>
      </w:pPr>
      <w:r w:rsidRPr="007B3315">
        <w:t>foam suppression systems</w:t>
      </w:r>
    </w:p>
    <w:p w:rsidR="00000000" w:rsidRPr="007B3315" w:rsidP="007B3315">
      <w:pPr>
        <w:pStyle w:val="ListBullet"/>
      </w:pPr>
      <w:r w:rsidRPr="007B3315">
        <w:t>characteristics and limitations of products and materials used in fire systems and issues relating to material compatibility</w:t>
      </w:r>
    </w:p>
    <w:p w:rsidR="00000000" w:rsidRPr="007B3315" w:rsidP="007B3315">
      <w:pPr>
        <w:pStyle w:val="ListBullet"/>
      </w:pPr>
      <w:r w:rsidRPr="007B3315">
        <w:t>installation risks and constraints impacting on pipe fabrication specifications for fire sprinkler systems</w:t>
      </w:r>
    </w:p>
    <w:p w:rsidR="00000000" w:rsidRPr="007B3315" w:rsidP="007B3315">
      <w:pPr>
        <w:pStyle w:val="ListBullet"/>
      </w:pPr>
      <w:r w:rsidRPr="007B3315">
        <w:t>construction industry terminology</w:t>
      </w:r>
    </w:p>
    <w:p w:rsidR="00000000" w:rsidRPr="007B3315" w:rsidP="007B3315">
      <w:pPr>
        <w:pStyle w:val="ListBullet"/>
      </w:pPr>
      <w:r w:rsidRPr="007B3315">
        <w:t>roles and responsibilities of relevant building project personnel:</w:t>
      </w:r>
    </w:p>
    <w:p w:rsidR="00000000" w:rsidRPr="007B3315" w:rsidP="007B3315">
      <w:pPr>
        <w:pStyle w:val="ListBullet2"/>
      </w:pPr>
      <w:r w:rsidRPr="007B3315">
        <w:t>architect</w:t>
      </w:r>
    </w:p>
    <w:p w:rsidR="00000000" w:rsidRPr="007B3315" w:rsidP="007B3315">
      <w:pPr>
        <w:pStyle w:val="ListBullet2"/>
      </w:pPr>
      <w:r w:rsidRPr="007B3315">
        <w:t>lead contractor</w:t>
      </w:r>
    </w:p>
    <w:p w:rsidR="00000000" w:rsidRPr="007B3315" w:rsidP="007B3315">
      <w:pPr>
        <w:pStyle w:val="ListBullet2"/>
      </w:pPr>
      <w:r w:rsidRPr="007B3315">
        <w:t>structural engineer</w:t>
      </w:r>
    </w:p>
    <w:p w:rsidR="00000000" w:rsidRPr="007B3315" w:rsidP="007B3315">
      <w:pPr>
        <w:pStyle w:val="ListBullet2"/>
      </w:pPr>
      <w:r w:rsidRPr="007B3315">
        <w:t>m</w:t>
      </w:r>
      <w:r w:rsidRPr="007B3315">
        <w:t>echanical engineer</w:t>
      </w:r>
    </w:p>
    <w:p w:rsidR="00000000" w:rsidRPr="007B3315" w:rsidP="007B3315">
      <w:pPr>
        <w:pStyle w:val="ListBullet2"/>
      </w:pPr>
      <w:r w:rsidRPr="007B3315">
        <w:t>hydraulic engineer</w:t>
      </w:r>
    </w:p>
    <w:p w:rsidR="00000000" w:rsidRPr="007B3315" w:rsidP="007B3315">
      <w:pPr>
        <w:pStyle w:val="ListBullet2"/>
      </w:pPr>
      <w:r w:rsidRPr="007B3315">
        <w:t>electrical engineer</w:t>
      </w:r>
    </w:p>
    <w:p w:rsidR="00000000" w:rsidRPr="007B3315" w:rsidP="007B3315">
      <w:pPr>
        <w:pStyle w:val="ListBullet2"/>
      </w:pPr>
      <w:r w:rsidRPr="007B3315">
        <w:t>civil engineer</w:t>
      </w:r>
    </w:p>
    <w:p w:rsidR="00000000" w:rsidRPr="007B3315" w:rsidP="007B3315">
      <w:pPr>
        <w:pStyle w:val="ListBullet2"/>
      </w:pPr>
      <w:r w:rsidRPr="007B3315">
        <w:t>fire engineer</w:t>
      </w:r>
    </w:p>
    <w:p w:rsidR="00000000" w:rsidRPr="007B3315" w:rsidP="007B3315">
      <w:pPr>
        <w:pStyle w:val="ListBullet2"/>
      </w:pPr>
      <w:r w:rsidRPr="007B3315">
        <w:t>building (private) certifier or surveyor</w:t>
      </w:r>
    </w:p>
    <w:p w:rsidR="00000000" w:rsidRPr="007B3315" w:rsidP="007B3315">
      <w:pPr>
        <w:pStyle w:val="ListBullet"/>
      </w:pPr>
      <w:r w:rsidRPr="007B3315">
        <w:t>on-site issues that can arise during the construction phase and impose changes to the designs of fire systems and other service</w:t>
      </w:r>
      <w:r w:rsidRPr="007B3315">
        <w:t>s:</w:t>
      </w:r>
    </w:p>
    <w:p w:rsidR="00000000" w:rsidRPr="007B3315" w:rsidP="007B3315">
      <w:pPr>
        <w:pStyle w:val="ListBullet2"/>
      </w:pPr>
      <w:r w:rsidRPr="007B3315">
        <w:t>risks:</w:t>
      </w:r>
    </w:p>
    <w:p w:rsidR="00000000" w:rsidRPr="007B3315" w:rsidP="007B3315">
      <w:pPr>
        <w:pStyle w:val="ListBullet3"/>
      </w:pPr>
      <w:r w:rsidRPr="007B3315">
        <w:t>manual handling</w:t>
      </w:r>
    </w:p>
    <w:p w:rsidR="00000000" w:rsidRPr="007B3315" w:rsidP="007B3315">
      <w:pPr>
        <w:pStyle w:val="ListBullet3"/>
      </w:pPr>
      <w:r w:rsidRPr="007B3315">
        <w:t>confined spaces</w:t>
      </w:r>
    </w:p>
    <w:p w:rsidR="00000000" w:rsidRPr="007B3315" w:rsidP="007B3315">
      <w:pPr>
        <w:pStyle w:val="ListBullet3"/>
      </w:pPr>
      <w:r w:rsidRPr="007B3315">
        <w:t>working at height</w:t>
      </w:r>
    </w:p>
    <w:p w:rsidR="00000000" w:rsidRPr="007B3315" w:rsidP="007B3315">
      <w:pPr>
        <w:pStyle w:val="ListBullet"/>
      </w:pPr>
      <w:r w:rsidRPr="007B3315">
        <w:t>installation methods:</w:t>
      </w:r>
    </w:p>
    <w:p w:rsidR="00000000" w:rsidRPr="007B3315" w:rsidP="007B3315">
      <w:pPr>
        <w:pStyle w:val="ListBullet"/>
      </w:pPr>
      <w:r w:rsidRPr="007B3315">
        <w:t>access requirements:</w:t>
      </w:r>
    </w:p>
    <w:p w:rsidR="00000000" w:rsidRPr="007B3315" w:rsidP="007B3315">
      <w:pPr>
        <w:pStyle w:val="ListBullet3"/>
      </w:pPr>
      <w:r w:rsidRPr="007B3315">
        <w:t>height of pipe</w:t>
      </w:r>
    </w:p>
    <w:p w:rsidR="00000000" w:rsidRPr="007B3315" w:rsidP="007B3315">
      <w:pPr>
        <w:pStyle w:val="ListBullet3"/>
      </w:pPr>
      <w:r w:rsidRPr="007B3315">
        <w:t>length of pipe</w:t>
      </w:r>
    </w:p>
    <w:p w:rsidR="00000000" w:rsidRPr="007B3315" w:rsidP="007B3315">
      <w:pPr>
        <w:pStyle w:val="ListBullet3"/>
      </w:pPr>
      <w:r w:rsidRPr="007B3315">
        <w:t>weight of pipe and materials</w:t>
      </w:r>
    </w:p>
    <w:p w:rsidR="00000000" w:rsidRPr="007B3315" w:rsidP="007B3315">
      <w:pPr>
        <w:pStyle w:val="ListBullet3"/>
      </w:pPr>
      <w:r w:rsidRPr="007B3315">
        <w:t>distance from beams</w:t>
      </w:r>
    </w:p>
    <w:p w:rsidR="00000000" w:rsidRPr="007B3315" w:rsidP="007B3315">
      <w:pPr>
        <w:pStyle w:val="ListBullet3"/>
      </w:pPr>
      <w:r w:rsidRPr="007B3315">
        <w:t>distance from walls</w:t>
      </w:r>
    </w:p>
    <w:p w:rsidR="00000000" w:rsidRPr="007B3315" w:rsidP="007B3315">
      <w:pPr>
        <w:pStyle w:val="ListBullet2"/>
      </w:pPr>
      <w:r w:rsidRPr="007B3315">
        <w:t>work health and safety (WHS) requirements</w:t>
      </w:r>
    </w:p>
    <w:p w:rsidR="00000000" w:rsidRPr="007B3315" w:rsidP="007B3315">
      <w:pPr>
        <w:pStyle w:val="ListBullet"/>
      </w:pPr>
      <w:r w:rsidRPr="007B3315">
        <w:t>water supplies:</w:t>
      </w:r>
    </w:p>
    <w:p w:rsidR="00000000" w:rsidRPr="007B3315" w:rsidP="007B3315">
      <w:pPr>
        <w:pStyle w:val="ListBullet2"/>
      </w:pPr>
      <w:r w:rsidRPr="007B3315">
        <w:t>common water sources</w:t>
      </w:r>
    </w:p>
    <w:p w:rsidR="00000000" w:rsidRPr="007B3315" w:rsidP="007B3315">
      <w:pPr>
        <w:pStyle w:val="ListBullet2"/>
      </w:pPr>
      <w:r w:rsidRPr="007B3315">
        <w:t>conservation requirements</w:t>
      </w:r>
    </w:p>
    <w:p w:rsidR="00000000" w:rsidRPr="007B3315" w:rsidP="007B3315">
      <w:pPr>
        <w:pStyle w:val="ListBullet2"/>
      </w:pPr>
      <w:r w:rsidRPr="007B3315">
        <w:t>in-ground reticulation</w:t>
      </w:r>
    </w:p>
    <w:p w:rsidR="00000000" w:rsidRPr="007B3315" w:rsidP="007B3315">
      <w:pPr>
        <w:pStyle w:val="ListBullet2"/>
      </w:pPr>
      <w:r w:rsidRPr="007B3315">
        <w:t xml:space="preserve">booster configurations </w:t>
      </w:r>
    </w:p>
    <w:p w:rsidR="00000000" w:rsidRPr="007B3315" w:rsidP="007B3315">
      <w:pPr>
        <w:pStyle w:val="ListBullet"/>
      </w:pPr>
      <w:r w:rsidRPr="007B3315">
        <w:t>fluid mechanics and hydraulics relating to pipe range</w:t>
      </w:r>
    </w:p>
    <w:p w:rsidR="00000000" w:rsidRPr="007B3315" w:rsidP="007B3315">
      <w:pPr>
        <w:pStyle w:val="ListBullet"/>
      </w:pPr>
      <w:r w:rsidRPr="007B3315">
        <w:t>sustainability requirements and ratings:</w:t>
      </w:r>
    </w:p>
    <w:p w:rsidR="00000000" w:rsidRPr="007B3315" w:rsidP="007B3315">
      <w:pPr>
        <w:pStyle w:val="ListBullet2"/>
      </w:pPr>
      <w:r w:rsidRPr="007B3315">
        <w:t>energy conservation</w:t>
      </w:r>
    </w:p>
    <w:p w:rsidR="00000000" w:rsidRPr="007B3315" w:rsidP="007B3315">
      <w:pPr>
        <w:pStyle w:val="ListBullet2"/>
      </w:pPr>
      <w:r w:rsidRPr="007B3315">
        <w:t>water conservation</w:t>
      </w:r>
    </w:p>
    <w:p w:rsidR="00000000" w:rsidRPr="007B3315" w:rsidP="007B3315">
      <w:pPr>
        <w:pStyle w:val="ListBullet"/>
      </w:pPr>
      <w:r w:rsidRPr="007B3315">
        <w:t>pipe fab</w:t>
      </w:r>
      <w:r w:rsidRPr="007B3315">
        <w:t>rication methods and constraints</w:t>
      </w:r>
    </w:p>
    <w:p w:rsidR="00000000" w:rsidRPr="007B3315" w:rsidP="007B3315">
      <w:pPr>
        <w:pStyle w:val="ListBullet"/>
      </w:pPr>
      <w:r w:rsidRPr="007B3315">
        <w:t>pipe specifications:</w:t>
      </w:r>
    </w:p>
    <w:p w:rsidR="00000000" w:rsidRPr="007B3315" w:rsidP="007B3315">
      <w:pPr>
        <w:pStyle w:val="ListBullet2"/>
      </w:pPr>
      <w:r w:rsidRPr="007B3315">
        <w:t>length</w:t>
      </w:r>
    </w:p>
    <w:p w:rsidR="00000000" w:rsidRPr="007B3315" w:rsidP="007B3315">
      <w:pPr>
        <w:pStyle w:val="ListBullet2"/>
      </w:pPr>
      <w:r w:rsidRPr="007B3315">
        <w:t>dimension</w:t>
      </w:r>
    </w:p>
    <w:p w:rsidR="00000000" w:rsidRPr="007B3315" w:rsidP="007B3315">
      <w:pPr>
        <w:pStyle w:val="ListBullet2"/>
      </w:pPr>
      <w:r w:rsidRPr="007B3315">
        <w:t>pap size</w:t>
      </w:r>
    </w:p>
    <w:p w:rsidR="00000000" w:rsidRPr="007B3315" w:rsidP="007B3315">
      <w:pPr>
        <w:pStyle w:val="ListBullet2"/>
      </w:pPr>
      <w:r w:rsidRPr="007B3315">
        <w:t>material:</w:t>
      </w:r>
    </w:p>
    <w:p w:rsidR="00000000" w:rsidRPr="007B3315" w:rsidP="007B3315">
      <w:pPr>
        <w:pStyle w:val="ListBullet3"/>
      </w:pPr>
      <w:r w:rsidRPr="007B3315">
        <w:t>black steel</w:t>
      </w:r>
    </w:p>
    <w:p w:rsidR="00000000" w:rsidRPr="007B3315" w:rsidP="007B3315">
      <w:pPr>
        <w:pStyle w:val="ListBullet3"/>
      </w:pPr>
      <w:r w:rsidRPr="007B3315">
        <w:t>galvanised</w:t>
      </w:r>
    </w:p>
    <w:p w:rsidR="00000000" w:rsidRPr="007B3315" w:rsidP="007B3315">
      <w:pPr>
        <w:pStyle w:val="ListBullet3"/>
      </w:pPr>
      <w:r w:rsidRPr="007B3315">
        <w:t>hot dip galvanised</w:t>
      </w:r>
    </w:p>
    <w:p w:rsidR="00000000" w:rsidRPr="007B3315" w:rsidP="007B3315">
      <w:pPr>
        <w:pStyle w:val="ListBullet3"/>
      </w:pPr>
      <w:r w:rsidRPr="007B3315">
        <w:t>high density polyethylene (HPDE)</w:t>
      </w:r>
    </w:p>
    <w:p w:rsidR="00000000" w:rsidRPr="007B3315" w:rsidP="007B3315">
      <w:pPr>
        <w:pStyle w:val="ListBullet3"/>
      </w:pPr>
      <w:r w:rsidRPr="007B3315">
        <w:t>chlorinated polyvinyl chloride (CPVC)</w:t>
      </w:r>
    </w:p>
    <w:p w:rsidR="00000000" w:rsidRPr="007B3315" w:rsidP="007B3315">
      <w:pPr>
        <w:pStyle w:val="ListBullet"/>
      </w:pPr>
      <w:r w:rsidRPr="007B3315">
        <w:t>pipe connection specifications:</w:t>
      </w:r>
    </w:p>
    <w:p w:rsidR="00000000" w:rsidRPr="007B3315" w:rsidP="007B3315">
      <w:pPr>
        <w:pStyle w:val="ListBullet2"/>
      </w:pPr>
      <w:r w:rsidRPr="007B3315">
        <w:t>flange</w:t>
      </w:r>
    </w:p>
    <w:p w:rsidR="00000000" w:rsidRPr="007B3315" w:rsidP="007B3315">
      <w:pPr>
        <w:pStyle w:val="ListBullet2"/>
      </w:pPr>
      <w:r w:rsidRPr="007B3315">
        <w:t>roll grooved</w:t>
      </w:r>
    </w:p>
    <w:p w:rsidR="00000000" w:rsidRPr="007B3315" w:rsidP="007B3315">
      <w:pPr>
        <w:pStyle w:val="ListBullet2"/>
      </w:pPr>
      <w:r w:rsidRPr="007B3315">
        <w:t>threaded</w:t>
      </w:r>
    </w:p>
    <w:p w:rsidR="00000000" w:rsidRPr="007B3315" w:rsidP="007B3315">
      <w:pPr>
        <w:pStyle w:val="ListBullet2"/>
      </w:pPr>
      <w:r w:rsidRPr="007B3315">
        <w:t>compression</w:t>
      </w:r>
    </w:p>
    <w:p w:rsidR="00000000" w:rsidRPr="007B3315" w:rsidP="007B3315">
      <w:pPr>
        <w:pStyle w:val="ListBullet2"/>
      </w:pPr>
      <w:r w:rsidRPr="007B3315">
        <w:t>fusion welded</w:t>
      </w:r>
    </w:p>
    <w:p w:rsidR="00000000" w:rsidRPr="007B3315" w:rsidP="007B3315">
      <w:pPr>
        <w:pStyle w:val="ListBullet2"/>
      </w:pPr>
      <w:r w:rsidRPr="007B3315">
        <w:t>chemical (glue)</w:t>
      </w:r>
    </w:p>
    <w:p w:rsidR="00000000" w:rsidRPr="007B3315" w:rsidP="007B3315">
      <w:pPr>
        <w:pStyle w:val="ListBullet"/>
      </w:pPr>
      <w:r w:rsidRPr="007B3315">
        <w:t>valve specifications:</w:t>
      </w:r>
    </w:p>
    <w:p w:rsidR="00000000" w:rsidRPr="007B3315" w:rsidP="007B3315">
      <w:pPr>
        <w:pStyle w:val="ListBullet2"/>
      </w:pPr>
      <w:r w:rsidRPr="007B3315">
        <w:t>sluice</w:t>
      </w:r>
    </w:p>
    <w:p w:rsidR="00000000" w:rsidRPr="007B3315" w:rsidP="007B3315">
      <w:pPr>
        <w:pStyle w:val="ListBullet2"/>
      </w:pPr>
      <w:r w:rsidRPr="007B3315">
        <w:t>gate</w:t>
      </w:r>
    </w:p>
    <w:p w:rsidR="00000000" w:rsidRPr="007B3315" w:rsidP="007B3315">
      <w:pPr>
        <w:pStyle w:val="ListBullet2"/>
      </w:pPr>
      <w:r w:rsidRPr="007B3315">
        <w:t>butterfly</w:t>
      </w:r>
    </w:p>
    <w:p w:rsidR="00000000" w:rsidRPr="007B3315" w:rsidP="007B3315">
      <w:pPr>
        <w:pStyle w:val="ListBullet2"/>
      </w:pPr>
      <w:r w:rsidRPr="007B3315">
        <w:t>globe</w:t>
      </w:r>
    </w:p>
    <w:p w:rsidR="00000000" w:rsidRPr="007B3315" w:rsidP="007B3315">
      <w:pPr>
        <w:pStyle w:val="ListBullet2"/>
      </w:pPr>
      <w:r w:rsidRPr="007B3315">
        <w:t>ball</w:t>
      </w:r>
    </w:p>
    <w:p w:rsidR="00000000" w:rsidRPr="007B3315" w:rsidP="007B3315">
      <w:pPr>
        <w:pStyle w:val="ListBullet2"/>
      </w:pPr>
      <w:r w:rsidRPr="007B3315">
        <w:t>solenoid</w:t>
      </w:r>
    </w:p>
    <w:p w:rsidR="00000000" w:rsidRPr="007B3315" w:rsidP="007B3315">
      <w:pPr>
        <w:pStyle w:val="ListBullet2"/>
      </w:pPr>
      <w:r w:rsidRPr="007B3315">
        <w:t>diaphragm</w:t>
      </w:r>
    </w:p>
    <w:p w:rsidR="00000000" w:rsidRPr="007B3315" w:rsidP="007B3315">
      <w:pPr>
        <w:pStyle w:val="ListBullet2"/>
      </w:pPr>
      <w:r w:rsidRPr="007B3315">
        <w:t>pressure reducing</w:t>
      </w:r>
    </w:p>
    <w:p w:rsidR="00000000" w:rsidRPr="007B3315" w:rsidP="007B3315">
      <w:pPr>
        <w:pStyle w:val="ListBullet2"/>
      </w:pPr>
      <w:r w:rsidRPr="007B3315">
        <w:t>flow restricting</w:t>
      </w:r>
    </w:p>
    <w:p w:rsidR="00000000" w:rsidRPr="007B3315" w:rsidP="007B3315">
      <w:pPr>
        <w:pStyle w:val="ListBullet2"/>
      </w:pPr>
      <w:r w:rsidRPr="007B3315">
        <w:t>3-way</w:t>
      </w:r>
    </w:p>
    <w:p w:rsidR="00000000" w:rsidRPr="007B3315" w:rsidP="007B3315">
      <w:pPr>
        <w:pStyle w:val="ListBullet"/>
      </w:pPr>
      <w:r w:rsidRPr="007B3315">
        <w:t>mathematic principles, equations and calculation methods:</w:t>
      </w:r>
    </w:p>
    <w:p w:rsidR="00000000" w:rsidRPr="007B3315" w:rsidP="007B3315">
      <w:pPr>
        <w:pStyle w:val="ListBullet2"/>
      </w:pPr>
      <w:r w:rsidRPr="007B3315">
        <w:t>financial calculations, for example to assess cost-effectiveness of fire systems</w:t>
      </w:r>
    </w:p>
    <w:p w:rsidR="00000000" w:rsidRPr="007B3315" w:rsidP="007B3315">
      <w:pPr>
        <w:pStyle w:val="ListBullet"/>
      </w:pPr>
      <w:r w:rsidRPr="007B3315">
        <w:t>codes, standards, legislation and regulatory requirements</w:t>
      </w:r>
    </w:p>
    <w:p w:rsidR="00000000" w:rsidRPr="007B3315" w:rsidP="007B3315">
      <w:pPr>
        <w:pStyle w:val="ListBullet"/>
      </w:pPr>
      <w:r w:rsidRPr="007B3315">
        <w:t>access to manufacturer</w:t>
      </w:r>
      <w:r>
        <w:t>’</w:t>
      </w:r>
      <w:r w:rsidRPr="007B3315">
        <w:t>s information.</w:t>
      </w:r>
    </w:p>
    <w:p w:rsidR="00000000" w:rsidRPr="007B3315" w:rsidP="007B3315">
      <w:pPr>
        <w:pStyle w:val="AllowPageBreak"/>
      </w:pPr>
    </w:p>
    <w:p w:rsidR="00000000" w:rsidRPr="007B3315" w:rsidP="007B3315">
      <w:pPr>
        <w:pStyle w:val="Heading1"/>
      </w:pPr>
      <w:bookmarkStart w:id="4" w:name="O_1136595"/>
      <w:bookmarkEnd w:id="4"/>
      <w:r w:rsidRPr="007B3315">
        <w:t>Assessment Conditions</w:t>
      </w:r>
    </w:p>
    <w:p w:rsidR="00000000" w:rsidRPr="007B3315" w:rsidP="00CD6127">
      <w:pPr>
        <w:pStyle w:val="BodyText"/>
      </w:pPr>
      <w:r w:rsidRPr="007B3315">
        <w:t xml:space="preserve">Assessors must meet the requirements </w:t>
      </w:r>
      <w:r w:rsidRPr="007B3315">
        <w:t>for assessors contained in the Standards for Registered Training Organisations.</w:t>
      </w:r>
    </w:p>
    <w:p w:rsidR="00000000" w:rsidRPr="007B3315" w:rsidP="00CD6127">
      <w:pPr>
        <w:pStyle w:val="BodyText"/>
      </w:pPr>
      <w:r w:rsidRPr="007B3315">
        <w:t>This unit must be assessed in the workplace or a close simulation using realistic workplace conditions, materials, activities, responsibilities, procedures, safety requirements</w:t>
      </w:r>
      <w:r w:rsidRPr="007B3315">
        <w:t xml:space="preserve"> and environmental considerations.</w:t>
      </w:r>
    </w:p>
    <w:p w:rsidR="00000000" w:rsidRPr="007B3315" w:rsidP="007B3315">
      <w:pPr>
        <w:pStyle w:val="Heading1"/>
      </w:pPr>
      <w:bookmarkStart w:id="5" w:name="O_1136593"/>
      <w:bookmarkEnd w:id="5"/>
      <w:r w:rsidRPr="007B3315">
        <w:t>Links</w:t>
      </w:r>
    </w:p>
    <w:p w:rsidR="00000000" w:rsidRPr="007B3315" w:rsidP="00CD6127">
      <w:pPr>
        <w:pStyle w:val="BodyText"/>
      </w:pPr>
      <w:r w:rsidRPr="007B331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84ED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B3315" w:rsidP="007B3315"/>
    <w:sectPr w:rsidSect="007B3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15" w:rsidRPr="00CD6127" w:rsidP="00CD6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27" w:rsidP="007B3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127" w:rsidP="007B3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D6127" w:rsidP="007B3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315" w:rsidRPr="00CD6127" w:rsidP="00CD6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27" w:rsidRPr="002D2AF8" w:rsidP="007B3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CPCSFS5010 Provide documentation and support for fabrication of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D6127" w:rsidP="007B3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54B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60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DE2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315"/>
  </w:style>
  <w:style w:type="character" w:customStyle="1" w:styleId="Heading1Char">
    <w:name w:val="Heading 1 Char"/>
    <w:basedOn w:val="DefaultParagraphFont"/>
    <w:link w:val="Heading1"/>
    <w:rsid w:val="007B3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31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33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33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3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315"/>
    <w:rPr>
      <w:b/>
      <w:spacing w:val="0"/>
    </w:rPr>
  </w:style>
  <w:style w:type="paragraph" w:customStyle="1" w:styleId="SuperTitle">
    <w:name w:val="SuperTitle"/>
    <w:basedOn w:val="Title"/>
    <w:rsid w:val="007B3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315"/>
    <w:rPr>
      <w:i/>
    </w:rPr>
  </w:style>
  <w:style w:type="paragraph" w:styleId="Caption">
    <w:name w:val="caption"/>
    <w:basedOn w:val="BodyText"/>
    <w:next w:val="Normal"/>
    <w:qFormat/>
    <w:rsid w:val="007B3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315"/>
  </w:style>
  <w:style w:type="paragraph" w:styleId="TableofFigures">
    <w:name w:val="table of figures"/>
    <w:basedOn w:val="Normal"/>
    <w:next w:val="Normal"/>
    <w:semiHidden/>
    <w:rsid w:val="007B3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3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3315"/>
    <w:rPr>
      <w:rFonts w:ascii="Wingdings" w:hAnsi="Wingdings"/>
    </w:rPr>
  </w:style>
  <w:style w:type="paragraph" w:customStyle="1" w:styleId="TableHeading">
    <w:name w:val="Table Heading"/>
    <w:basedOn w:val="HeadingBase"/>
    <w:rsid w:val="007B3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315"/>
    <w:rPr>
      <w:color w:val="0033CC"/>
      <w:u w:val="none"/>
    </w:rPr>
  </w:style>
  <w:style w:type="paragraph" w:customStyle="1" w:styleId="BodyTextRight">
    <w:name w:val="Body Text Right"/>
    <w:basedOn w:val="BodyText"/>
    <w:rsid w:val="007B3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3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315"/>
    <w:rPr>
      <w:sz w:val="32"/>
    </w:rPr>
  </w:style>
  <w:style w:type="paragraph" w:customStyle="1" w:styleId="HeadingProcedure">
    <w:name w:val="Heading Procedure"/>
    <w:basedOn w:val="HeadingBase"/>
    <w:next w:val="Normal"/>
    <w:rsid w:val="007B3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315"/>
    <w:pPr>
      <w:spacing w:before="60" w:after="60"/>
    </w:pPr>
  </w:style>
  <w:style w:type="paragraph" w:styleId="ListContinue">
    <w:name w:val="List Continue"/>
    <w:basedOn w:val="List"/>
    <w:rsid w:val="007B3315"/>
    <w:pPr>
      <w:ind w:firstLine="0"/>
    </w:pPr>
  </w:style>
  <w:style w:type="paragraph" w:customStyle="1" w:styleId="ListNote">
    <w:name w:val="List Note"/>
    <w:basedOn w:val="List"/>
    <w:rsid w:val="007B3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315"/>
    <w:rPr>
      <w:rFonts w:ascii="Courier New" w:hAnsi="Courier New"/>
    </w:rPr>
  </w:style>
  <w:style w:type="paragraph" w:customStyle="1" w:styleId="NoteBullet">
    <w:name w:val="Note Bullet"/>
    <w:basedOn w:val="Note"/>
    <w:rsid w:val="007B3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3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3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315"/>
    <w:rPr>
      <w:b/>
      <w:smallCaps/>
    </w:rPr>
  </w:style>
  <w:style w:type="paragraph" w:customStyle="1" w:styleId="TableListNumber">
    <w:name w:val="Table List Number"/>
    <w:basedOn w:val="ListNumber"/>
    <w:rsid w:val="007B3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315"/>
    <w:pPr>
      <w:numPr>
        <w:numId w:val="10"/>
      </w:numPr>
    </w:pPr>
  </w:style>
  <w:style w:type="paragraph" w:customStyle="1" w:styleId="ListAlpha2">
    <w:name w:val="List Alpha 2"/>
    <w:basedOn w:val="List2"/>
    <w:rsid w:val="007B3315"/>
    <w:pPr>
      <w:numPr>
        <w:numId w:val="9"/>
      </w:numPr>
    </w:pPr>
  </w:style>
  <w:style w:type="paragraph" w:styleId="List2">
    <w:name w:val="List 2"/>
    <w:basedOn w:val="BodyText"/>
    <w:rsid w:val="007B3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3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33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3315"/>
    <w:pPr>
      <w:numPr>
        <w:numId w:val="5"/>
      </w:numPr>
    </w:pPr>
  </w:style>
  <w:style w:type="paragraph" w:styleId="ListContinue2">
    <w:name w:val="List Continue 2"/>
    <w:basedOn w:val="List2"/>
    <w:rsid w:val="007B3315"/>
    <w:pPr>
      <w:ind w:firstLine="0"/>
    </w:pPr>
  </w:style>
  <w:style w:type="paragraph" w:styleId="ListContinue3">
    <w:name w:val="List Continue 3"/>
    <w:basedOn w:val="List3"/>
    <w:rsid w:val="007B3315"/>
    <w:pPr>
      <w:ind w:left="1021" w:firstLine="0"/>
    </w:pPr>
  </w:style>
  <w:style w:type="paragraph" w:styleId="ListContinue4">
    <w:name w:val="List Continue 4"/>
    <w:basedOn w:val="List4"/>
    <w:rsid w:val="007B3315"/>
    <w:pPr>
      <w:ind w:firstLine="0"/>
    </w:pPr>
  </w:style>
  <w:style w:type="paragraph" w:styleId="ListContinue5">
    <w:name w:val="List Continue 5"/>
    <w:basedOn w:val="List5"/>
    <w:rsid w:val="007B3315"/>
    <w:pPr>
      <w:ind w:firstLine="0"/>
    </w:pPr>
  </w:style>
  <w:style w:type="paragraph" w:styleId="ListNumber3">
    <w:name w:val="List Number 3"/>
    <w:basedOn w:val="List3"/>
    <w:rsid w:val="007B3315"/>
    <w:pPr>
      <w:numPr>
        <w:numId w:val="6"/>
      </w:numPr>
    </w:pPr>
  </w:style>
  <w:style w:type="paragraph" w:styleId="ListNumber4">
    <w:name w:val="List Number 4"/>
    <w:basedOn w:val="List4"/>
    <w:rsid w:val="007B3315"/>
    <w:pPr>
      <w:numPr>
        <w:numId w:val="7"/>
      </w:numPr>
    </w:pPr>
  </w:style>
  <w:style w:type="paragraph" w:styleId="ListNumber5">
    <w:name w:val="List Number 5"/>
    <w:basedOn w:val="List5"/>
    <w:rsid w:val="007B3315"/>
    <w:pPr>
      <w:numPr>
        <w:numId w:val="8"/>
      </w:numPr>
    </w:pPr>
  </w:style>
  <w:style w:type="paragraph" w:styleId="BlockText">
    <w:name w:val="Block Text"/>
    <w:basedOn w:val="Normal"/>
    <w:rsid w:val="007B3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315"/>
    <w:rPr>
      <w:sz w:val="16"/>
      <w:vertAlign w:val="superscript"/>
    </w:rPr>
  </w:style>
  <w:style w:type="character" w:customStyle="1" w:styleId="Symbols">
    <w:name w:val="Symbols"/>
    <w:basedOn w:val="DefaultParagraphFont"/>
    <w:rsid w:val="007B3315"/>
    <w:rPr>
      <w:rFonts w:ascii="Symbol" w:hAnsi="Symbol"/>
    </w:rPr>
  </w:style>
  <w:style w:type="character" w:customStyle="1" w:styleId="MenuOptions">
    <w:name w:val="Menu Options"/>
    <w:basedOn w:val="DefaultParagraphFont"/>
    <w:rsid w:val="007B3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315"/>
    <w:rPr>
      <w:b/>
    </w:rPr>
  </w:style>
  <w:style w:type="character" w:customStyle="1" w:styleId="Underlined">
    <w:name w:val="Underlined"/>
    <w:basedOn w:val="DefaultParagraphFont"/>
    <w:rsid w:val="007B3315"/>
    <w:rPr>
      <w:u w:val="single"/>
    </w:rPr>
  </w:style>
  <w:style w:type="paragraph" w:customStyle="1" w:styleId="TableBodyTextRight">
    <w:name w:val="Table Body Text Right"/>
    <w:basedOn w:val="TableBodyText"/>
    <w:rsid w:val="007B3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315"/>
    <w:rPr>
      <w:sz w:val="18"/>
    </w:rPr>
  </w:style>
  <w:style w:type="paragraph" w:customStyle="1" w:styleId="BodySmallRight">
    <w:name w:val="Body Small Right"/>
    <w:basedOn w:val="BodyTextRight"/>
    <w:rsid w:val="007B3315"/>
    <w:rPr>
      <w:sz w:val="18"/>
      <w:szCs w:val="18"/>
    </w:rPr>
  </w:style>
  <w:style w:type="paragraph" w:customStyle="1" w:styleId="MarginEdition">
    <w:name w:val="Margin Edition"/>
    <w:basedOn w:val="MarginNote"/>
    <w:rsid w:val="007B3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315"/>
    <w:rPr>
      <w:sz w:val="2"/>
      <w:szCs w:val="2"/>
    </w:rPr>
  </w:style>
  <w:style w:type="character" w:customStyle="1" w:styleId="Small">
    <w:name w:val="Small"/>
    <w:basedOn w:val="DefaultParagraphFont"/>
    <w:rsid w:val="007B3315"/>
    <w:rPr>
      <w:sz w:val="16"/>
    </w:rPr>
  </w:style>
  <w:style w:type="paragraph" w:customStyle="1" w:styleId="WideTable">
    <w:name w:val="Wide Table"/>
    <w:basedOn w:val="Normal"/>
    <w:rsid w:val="007B3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315"/>
  </w:style>
  <w:style w:type="paragraph" w:styleId="Quote">
    <w:name w:val="Quote"/>
    <w:basedOn w:val="Heading1"/>
    <w:link w:val="QuoteChar"/>
    <w:qFormat/>
    <w:rsid w:val="007B3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315"/>
    <w:pPr>
      <w:pageBreakBefore/>
    </w:pPr>
  </w:style>
  <w:style w:type="paragraph" w:customStyle="1" w:styleId="Border">
    <w:name w:val="Border"/>
    <w:basedOn w:val="Normal"/>
    <w:qFormat/>
    <w:rsid w:val="007B3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315"/>
    <w:rPr>
      <w:u w:val="single"/>
    </w:rPr>
  </w:style>
  <w:style w:type="character" w:customStyle="1" w:styleId="BoldandItalics">
    <w:name w:val="Bold and Italics"/>
    <w:qFormat/>
    <w:rsid w:val="007B3315"/>
    <w:rPr>
      <w:b/>
      <w:i/>
      <w:u w:val="none"/>
    </w:rPr>
  </w:style>
  <w:style w:type="paragraph" w:styleId="BalloonText">
    <w:name w:val="Balloon Text"/>
    <w:basedOn w:val="Normal"/>
    <w:link w:val="BalloonTextChar"/>
    <w:rsid w:val="007B3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315"/>
    <w:pPr>
      <w:spacing w:before="0" w:after="0"/>
    </w:pPr>
  </w:style>
  <w:style w:type="paragraph" w:customStyle="1" w:styleId="BodyTextBold">
    <w:name w:val="Body Text Bold"/>
    <w:basedOn w:val="BodyText"/>
    <w:qFormat/>
    <w:rsid w:val="007B3315"/>
    <w:rPr>
      <w:b/>
    </w:rPr>
  </w:style>
  <w:style w:type="character" w:styleId="Hyperlink">
    <w:name w:val="Hyperlink"/>
    <w:basedOn w:val="DefaultParagraphFont"/>
    <w:uiPriority w:val="99"/>
    <w:unhideWhenUsed/>
    <w:rsid w:val="00CD6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4668</Characters>
  <Application>Microsoft Office Word</Application>
  <DocSecurity>0</DocSecurity>
  <Lines>179</Lines>
  <Paragraphs>177</Paragraphs>
  <ScaleCrop>false</ScaleCrop>
  <Company>Author-it Software Corporation Ltd.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CPCSFS5010 Provide documentation and support for fabrication of fire sprinkler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