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47A" w:rsidP="00D0247A">
      <w:pPr>
        <w:pStyle w:val="Title"/>
      </w:pPr>
      <w:r>
        <w:fldChar w:fldCharType="begin"/>
      </w:r>
      <w:r>
        <w:instrText xml:space="preserve"> TITLE   \* MERGEFORMAT </w:instrText>
      </w:r>
      <w:r>
        <w:fldChar w:fldCharType="separate"/>
      </w:r>
      <w:r>
        <w:t>CPCSFS5009 Create detailed designs for fire systems’ water supplies</w:t>
      </w:r>
      <w:r>
        <w:fldChar w:fldCharType="end"/>
      </w:r>
    </w:p>
    <w:p w:rsidR="00D0247A" w:rsidP="00D0247A">
      <w:pPr>
        <w:pStyle w:val="Version"/>
        <w:sectPr w:rsidSect="00C70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005" w:rsidP="00C70005">
      <w:pPr>
        <w:pStyle w:val="SuperHeading"/>
      </w:pPr>
      <w:r w:rsidRPr="00C70005">
        <w:t>CPCSFS5009 Create detailed designs for fire systems</w:t>
      </w:r>
      <w:r>
        <w:t>’</w:t>
      </w:r>
      <w:r w:rsidRPr="00C70005">
        <w:t xml:space="preserve"> water supplies</w:t>
      </w:r>
    </w:p>
    <w:p w:rsidR="00000000" w:rsidRPr="00C70005" w:rsidP="00C70005">
      <w:pPr>
        <w:pStyle w:val="Heading1"/>
      </w:pPr>
      <w:bookmarkStart w:id="1" w:name="O_1136509"/>
      <w:bookmarkEnd w:id="1"/>
      <w:r w:rsidRPr="00C70005">
        <w:t>Modification History</w:t>
      </w:r>
    </w:p>
    <w:tbl>
      <w:tblPr>
        <w:tblW w:w="0" w:type="auto"/>
        <w:tblLayout w:type="fixed"/>
        <w:tblCellMar>
          <w:left w:w="62" w:type="dxa"/>
          <w:right w:w="62" w:type="dxa"/>
        </w:tblCellMar>
        <w:tblLook w:val="0000"/>
      </w:tblPr>
      <w:tblGrid>
        <w:gridCol w:w="1310"/>
        <w:gridCol w:w="7508"/>
      </w:tblGrid>
      <w:tr w:rsidTr="00C70005">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Release 1</w:t>
            </w:r>
          </w:p>
        </w:tc>
        <w:tc>
          <w:tcPr>
            <w:tcW w:w="7508" w:type="dxa"/>
            <w:tcBorders>
              <w:top w:val="nil"/>
              <w:left w:val="nil"/>
              <w:bottom w:val="nil"/>
              <w:right w:val="nil"/>
            </w:tcBorders>
            <w:tcMar>
              <w:top w:w="0" w:type="dxa"/>
              <w:left w:w="62" w:type="dxa"/>
              <w:bottom w:w="0" w:type="dxa"/>
              <w:right w:w="62" w:type="dxa"/>
            </w:tcMar>
          </w:tcPr>
          <w:p w:rsidR="00000000" w:rsidRPr="00C70005" w:rsidP="00C70005">
            <w:pPr>
              <w:pStyle w:val="BodyText"/>
            </w:pPr>
            <w:r w:rsidRPr="00C70005">
              <w:t>This version first released with CPC Construction, Plumbing and Services Training Package Release 5.0.</w:t>
            </w:r>
          </w:p>
          <w:p w:rsidR="00000000" w:rsidRPr="00C70005" w:rsidP="00C70005">
            <w:pPr>
              <w:pStyle w:val="BodyText"/>
            </w:pPr>
            <w:r w:rsidRPr="00C70005">
              <w:t>Supersedes and is equivalent to CPCSFS5009A Create detailed designs for fire systems</w:t>
            </w:r>
            <w:r>
              <w:t>’</w:t>
            </w:r>
            <w:r w:rsidRPr="00C70005">
              <w:t xml:space="preserve"> water supplies.  Updated to meet the Standards for Training Packages 2012.</w:t>
            </w:r>
          </w:p>
        </w:tc>
      </w:tr>
    </w:tbl>
    <w:p w:rsidR="00000000" w:rsidRPr="00C70005" w:rsidP="00C70005">
      <w:pPr>
        <w:pStyle w:val="BodyText"/>
      </w:pPr>
    </w:p>
    <w:p w:rsidR="00000000" w:rsidRPr="00C70005" w:rsidP="00C70005">
      <w:pPr>
        <w:pStyle w:val="AllowPageBreak"/>
      </w:pPr>
    </w:p>
    <w:p w:rsidR="00000000" w:rsidRPr="00C70005" w:rsidP="00C70005">
      <w:pPr>
        <w:pStyle w:val="Heading1"/>
      </w:pPr>
      <w:bookmarkStart w:id="2" w:name="O_1136515"/>
      <w:bookmarkEnd w:id="2"/>
      <w:r w:rsidRPr="00C70005">
        <w:t>Application</w:t>
      </w:r>
    </w:p>
    <w:p w:rsidR="00000000" w:rsidRPr="00C70005" w:rsidP="00D0247A">
      <w:pPr>
        <w:pStyle w:val="BodyText"/>
      </w:pPr>
      <w:r w:rsidRPr="00C70005">
        <w:t>This unit of competency specifies the outcomes required to obt</w:t>
      </w:r>
      <w:r w:rsidRPr="00C70005">
        <w:t>ain, process and set up drawings for the detailed design of water supplies for fire systems. The unit also involves assessing and selecting component requirements, setting out the locations of components and creating final notated drawings.</w:t>
      </w:r>
    </w:p>
    <w:p w:rsidR="00000000" w:rsidRPr="00C70005" w:rsidP="00D0247A">
      <w:pPr>
        <w:pStyle w:val="BodyText"/>
      </w:pPr>
      <w:r w:rsidRPr="00C70005">
        <w:t>This unit of co</w:t>
      </w:r>
      <w:r w:rsidRPr="00C70005">
        <w:t xml:space="preserve">mpetency supports the role of fire systems designers with responsibility for creating detailed designs for water supplies for fire systems. </w:t>
      </w:r>
    </w:p>
    <w:p w:rsidR="00000000" w:rsidRPr="00C70005" w:rsidP="00D0247A">
      <w:pPr>
        <w:pStyle w:val="BodyText"/>
      </w:pPr>
      <w:r w:rsidRPr="00C70005">
        <w:t>In some jurisdictions, this unit of competency may form part of accreditation, licensing, legislative, regulatory o</w:t>
      </w:r>
      <w:r w:rsidRPr="00C70005">
        <w:t>r certification requirements.</w:t>
      </w:r>
    </w:p>
    <w:p w:rsidR="00000000" w:rsidRPr="00C70005" w:rsidP="00C70005">
      <w:pPr>
        <w:pStyle w:val="Heading1"/>
      </w:pPr>
      <w:bookmarkStart w:id="3" w:name="O_1136514"/>
      <w:bookmarkEnd w:id="3"/>
      <w:r w:rsidRPr="00C70005">
        <w:t>Pre-requisite Unit</w:t>
      </w:r>
    </w:p>
    <w:p w:rsidR="00000000" w:rsidRPr="00C70005" w:rsidP="00D0247A">
      <w:pPr>
        <w:pStyle w:val="BodyText"/>
      </w:pPr>
      <w:r w:rsidRPr="00C70005">
        <w:t>Nil.</w:t>
      </w:r>
    </w:p>
    <w:p w:rsidR="00000000" w:rsidRPr="00C70005" w:rsidP="00C70005">
      <w:pPr>
        <w:pStyle w:val="Heading1"/>
      </w:pPr>
      <w:bookmarkStart w:id="4" w:name="O_1136513"/>
      <w:bookmarkEnd w:id="4"/>
      <w:r w:rsidRPr="00C70005">
        <w:t>Unit Sector</w:t>
      </w:r>
    </w:p>
    <w:p w:rsidR="00000000" w:rsidRPr="00C70005" w:rsidP="00D0247A">
      <w:pPr>
        <w:pStyle w:val="BodyText"/>
      </w:pPr>
      <w:r w:rsidRPr="00C70005">
        <w:t>Plumbing and Fire Services</w:t>
      </w:r>
    </w:p>
    <w:p w:rsidR="00000000" w:rsidRPr="00C70005" w:rsidP="00C70005">
      <w:pPr>
        <w:pStyle w:val="Heading1"/>
      </w:pPr>
      <w:bookmarkStart w:id="5" w:name="O_1136512"/>
      <w:bookmarkEnd w:id="5"/>
      <w:r w:rsidRPr="00C7000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7000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Performance criteria describe what needs to be done to demonstrate achievement of the element.</w:t>
            </w:r>
          </w:p>
        </w:tc>
      </w:tr>
      <w:tr w:rsidTr="00C700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1</w:t>
            </w:r>
          </w:p>
        </w:tc>
        <w:tc>
          <w:tcPr>
            <w:tcW w:w="2357" w:type="dxa"/>
            <w:vMerge w:val="restart"/>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Confirm water-based fire systems designs.</w:t>
            </w: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1.1</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 xml:space="preserve">Request, receive, name and file relevant project drawings and documentation according to workplace procedures. </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1.2</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Confirm details and dimensions and to assess water supply installation risks and constraints.</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1.3</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Notate the exact location of fire system components on detailed design drawings according to relevant codes and standards.</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1.4</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Name, file and back up the detailed design drawings according to workplace procedures.</w:t>
            </w:r>
          </w:p>
        </w:tc>
      </w:tr>
      <w:tr w:rsidTr="00C700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0005">
            <w:pPr>
              <w:pStyle w:val="BodyText"/>
              <w:rPr>
                <w:lang w:val="en-NZ"/>
              </w:rPr>
            </w:pPr>
          </w:p>
        </w:tc>
      </w:tr>
      <w:tr w:rsidTr="00C700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2</w:t>
            </w:r>
          </w:p>
        </w:tc>
        <w:tc>
          <w:tcPr>
            <w:tcW w:w="2357" w:type="dxa"/>
            <w:vMerge w:val="restart"/>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Calculate pipe sizes and pump and tank requirements.</w:t>
            </w: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2.1</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Determine the initial fire flow demands for the site based on the occupancy classifications.</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2.2</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Analyse water flow and pressure test results to establish the minimum levels of available supply in accordance with local jurisdictional requirements.</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2.3</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Determine and analyse the town main water capabilities for the fire services serving the site to i</w:t>
            </w:r>
            <w:r w:rsidRPr="00C70005">
              <w:t>dentify if fire pumps and fire tanks are required.</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2.4</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Consider options for cost-effective and efficient solutions with reference to manufacturer specifications for the performance of components and according to workplace policies.</w:t>
            </w:r>
          </w:p>
        </w:tc>
      </w:tr>
      <w:tr w:rsidTr="00C700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0005">
            <w:pPr>
              <w:pStyle w:val="BodyText"/>
              <w:rPr>
                <w:lang w:val="en-NZ"/>
              </w:rPr>
            </w:pPr>
          </w:p>
        </w:tc>
      </w:tr>
      <w:tr w:rsidTr="00C700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3</w:t>
            </w:r>
          </w:p>
        </w:tc>
        <w:tc>
          <w:tcPr>
            <w:tcW w:w="2357" w:type="dxa"/>
            <w:vMerge w:val="restart"/>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Lay out the water supply design.</w:t>
            </w: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3.1</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Identify methodologies used in making town main connections.</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3.2</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Determine and notate the most efficient and workable layout and location of water supply components on the drawings according to workplace procedures.</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3.3</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Calculate, check and notate dimensions on the drawings according to relevant codes and standards and component manufacturer</w:t>
            </w:r>
            <w:r>
              <w:t>’</w:t>
            </w:r>
            <w:r w:rsidRPr="00C70005">
              <w:t>s recommendations and workplace procedures.</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3.4</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Determine the locations of backflow prevention devices and their accessibi</w:t>
            </w:r>
            <w:r w:rsidRPr="00C70005">
              <w:t>lity.</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3.5</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Review proposed locations of booster connections with local fire authority.</w:t>
            </w:r>
          </w:p>
        </w:tc>
      </w:tr>
      <w:tr w:rsidTr="00C700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0005">
            <w:pPr>
              <w:pStyle w:val="BodyText"/>
              <w:rPr>
                <w:lang w:val="en-NZ"/>
              </w:rPr>
            </w:pPr>
          </w:p>
        </w:tc>
      </w:tr>
      <w:tr w:rsidTr="00C700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4</w:t>
            </w:r>
          </w:p>
        </w:tc>
        <w:tc>
          <w:tcPr>
            <w:tcW w:w="2357" w:type="dxa"/>
            <w:vMerge w:val="restart"/>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 xml:space="preserve">Submit drawings for approval and finalise </w:t>
            </w:r>
            <w:r w:rsidRPr="00C70005">
              <w:t>design process.</w:t>
            </w: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4.1</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 xml:space="preserve">Submit water supply design drawings to relevant personnel within the scheduled timeframe. </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4.2</w:t>
            </w:r>
          </w:p>
        </w:tc>
        <w:tc>
          <w:tcPr>
            <w:tcW w:w="5659"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 xml:space="preserve">Make or negotiate required amendments to design drawings as required. </w:t>
            </w:r>
          </w:p>
        </w:tc>
      </w:tr>
      <w:tr w:rsidTr="00C700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4.3</w:t>
            </w:r>
          </w:p>
        </w:tc>
        <w:tc>
          <w:tcPr>
            <w:tcW w:w="5659" w:type="dxa"/>
            <w:tcBorders>
              <w:top w:val="nil"/>
              <w:left w:val="nil"/>
              <w:bottom w:val="nil"/>
              <w:right w:val="nil"/>
            </w:tcBorders>
            <w:tcMar>
              <w:top w:w="0" w:type="dxa"/>
              <w:left w:w="62" w:type="dxa"/>
              <w:bottom w:w="0" w:type="dxa"/>
              <w:right w:w="62" w:type="dxa"/>
            </w:tcMar>
          </w:tcPr>
          <w:p w:rsidR="00000000" w:rsidRPr="00C70005" w:rsidP="00C70005">
            <w:pPr>
              <w:pStyle w:val="BodyText"/>
            </w:pPr>
            <w:r w:rsidRPr="00C70005">
              <w:t>Process and distribute final approved design drawings according to relevant codes and standards and component manufacturer</w:t>
            </w:r>
            <w:r>
              <w:t>’</w:t>
            </w:r>
            <w:r w:rsidRPr="00C70005">
              <w:t>s recommendations workplace requirements.</w:t>
            </w:r>
          </w:p>
        </w:tc>
      </w:tr>
    </w:tbl>
    <w:p w:rsidR="00000000" w:rsidRPr="00C70005" w:rsidP="00C70005">
      <w:pPr>
        <w:pStyle w:val="BodyText"/>
      </w:pPr>
    </w:p>
    <w:p w:rsidR="00000000" w:rsidRPr="00C70005" w:rsidP="00C70005">
      <w:pPr>
        <w:pStyle w:val="AllowPageBreak"/>
      </w:pPr>
    </w:p>
    <w:p w:rsidR="00000000" w:rsidRPr="00C70005" w:rsidP="00C70005">
      <w:pPr>
        <w:pStyle w:val="Heading1"/>
      </w:pPr>
      <w:bookmarkStart w:id="6" w:name="O_1136511"/>
      <w:bookmarkEnd w:id="6"/>
      <w:r w:rsidRPr="00C70005">
        <w:t>Foundation Skills</w:t>
      </w:r>
    </w:p>
    <w:p w:rsidR="00000000" w:rsidRPr="00C70005" w:rsidP="00D0247A">
      <w:pPr>
        <w:pStyle w:val="BodyText"/>
      </w:pPr>
      <w:r w:rsidRPr="00C70005">
        <w:t xml:space="preserve">Foundation skills essential to performance are explicit in the performance criteria of this unit of competency. </w:t>
      </w:r>
    </w:p>
    <w:p w:rsidR="00000000" w:rsidRPr="00C70005" w:rsidP="00C70005">
      <w:pPr>
        <w:pStyle w:val="Heading1"/>
      </w:pPr>
      <w:bookmarkStart w:id="7" w:name="O_1136510"/>
      <w:bookmarkEnd w:id="7"/>
      <w:r w:rsidRPr="00C70005">
        <w:t>Unit Mapping Information</w:t>
      </w:r>
    </w:p>
    <w:p w:rsidR="00000000" w:rsidRPr="00C70005" w:rsidP="00D0247A">
      <w:pPr>
        <w:pStyle w:val="BodyText"/>
      </w:pPr>
      <w:r w:rsidRPr="00C70005">
        <w:t>Supersedes and is equivalent to CPCSFS5009A Create detailed designs for fire systems</w:t>
      </w:r>
      <w:r>
        <w:t>’</w:t>
      </w:r>
      <w:r w:rsidRPr="00C70005">
        <w:t xml:space="preserve"> water supplies.</w:t>
      </w:r>
    </w:p>
    <w:p w:rsidR="00000000" w:rsidRPr="00C70005" w:rsidP="00C70005">
      <w:pPr>
        <w:pStyle w:val="Heading1"/>
      </w:pPr>
      <w:bookmarkStart w:id="8" w:name="O_1136503"/>
      <w:bookmarkEnd w:id="8"/>
      <w:r w:rsidRPr="00C70005">
        <w:t>Links</w:t>
      </w:r>
    </w:p>
    <w:p w:rsidR="00000000" w:rsidRPr="00C70005" w:rsidP="00D0247A">
      <w:pPr>
        <w:pStyle w:val="BodyText"/>
      </w:pPr>
      <w:r w:rsidRPr="00C7000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A6384">
        <w:rPr>
          <w:rStyle w:val="Hyperlink"/>
        </w:rPr>
        <w:t>https://vetnet.gov.au/Pages/TrainingDocs.aspx?q=7e15fa6a-68b8-4097-b099-030a5569b1ad</w:t>
      </w:r>
      <w:r>
        <w:fldChar w:fldCharType="end"/>
      </w:r>
    </w:p>
    <w:p w:rsidR="00000000" w:rsidRPr="00C70005" w:rsidP="00D0247A">
      <w:pPr>
        <w:pStyle w:val="BodyText"/>
        <w:sectPr w:rsidSect="00C70005">
          <w:headerReference w:type="default" r:id="rId10"/>
          <w:footerReference w:type="default" r:id="rId11"/>
          <w:pgSz w:w="11908" w:h="16833"/>
          <w:pgMar w:top="1702" w:right="1418" w:bottom="1702" w:left="1418" w:header="992" w:footer="992" w:gutter="0"/>
          <w:cols w:space="720"/>
          <w:noEndnote/>
          <w:docGrid w:linePitch="299"/>
        </w:sectPr>
      </w:pPr>
    </w:p>
    <w:p w:rsidR="00000000" w:rsidRPr="00C70005" w:rsidP="00C70005">
      <w:pPr>
        <w:pStyle w:val="SuperHeading"/>
      </w:pPr>
      <w:r w:rsidRPr="00C70005">
        <w:t>Assessment Requirements for CPCSFS5009 Create detailed designs for fire systems</w:t>
      </w:r>
      <w:r>
        <w:t>’</w:t>
      </w:r>
      <w:r w:rsidRPr="00C70005">
        <w:t xml:space="preserve"> water supplies</w:t>
      </w:r>
    </w:p>
    <w:p w:rsidR="00000000" w:rsidRPr="00C70005" w:rsidP="00C70005">
      <w:pPr>
        <w:pStyle w:val="Heading1"/>
      </w:pPr>
      <w:bookmarkStart w:id="9" w:name="O_1136505"/>
      <w:bookmarkEnd w:id="9"/>
      <w:r w:rsidRPr="00C70005">
        <w:t>Modification History</w:t>
      </w:r>
    </w:p>
    <w:tbl>
      <w:tblPr>
        <w:tblW w:w="0" w:type="auto"/>
        <w:tblLayout w:type="fixed"/>
        <w:tblCellMar>
          <w:left w:w="62" w:type="dxa"/>
          <w:right w:w="62" w:type="dxa"/>
        </w:tblCellMar>
        <w:tblLook w:val="0000"/>
      </w:tblPr>
      <w:tblGrid>
        <w:gridCol w:w="1310"/>
        <w:gridCol w:w="7508"/>
      </w:tblGrid>
      <w:tr w:rsidTr="00C70005">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70005">
            <w:pPr>
              <w:pStyle w:val="BodyText"/>
              <w:rPr>
                <w:lang w:val="en-NZ"/>
              </w:rPr>
            </w:pPr>
            <w:r w:rsidRPr="00C70005">
              <w:t>Release 1</w:t>
            </w:r>
          </w:p>
        </w:tc>
        <w:tc>
          <w:tcPr>
            <w:tcW w:w="7508" w:type="dxa"/>
            <w:tcBorders>
              <w:top w:val="nil"/>
              <w:left w:val="nil"/>
              <w:bottom w:val="nil"/>
              <w:right w:val="nil"/>
            </w:tcBorders>
            <w:tcMar>
              <w:top w:w="0" w:type="dxa"/>
              <w:left w:w="62" w:type="dxa"/>
              <w:bottom w:w="0" w:type="dxa"/>
              <w:right w:w="62" w:type="dxa"/>
            </w:tcMar>
          </w:tcPr>
          <w:p w:rsidR="00000000" w:rsidRPr="00C70005" w:rsidP="00C70005">
            <w:pPr>
              <w:pStyle w:val="BodyText"/>
            </w:pPr>
            <w:r w:rsidRPr="00C70005">
              <w:t>This version first released</w:t>
            </w:r>
            <w:r w:rsidRPr="00C70005">
              <w:t xml:space="preserve"> with CPC Construction, Plumbing and Services Training Package Release 5.0.</w:t>
            </w:r>
          </w:p>
          <w:p w:rsidR="00000000" w:rsidRPr="00C70005" w:rsidP="00C70005">
            <w:pPr>
              <w:pStyle w:val="BodyText"/>
            </w:pPr>
            <w:r w:rsidRPr="00C70005">
              <w:t>Supersedes and is equivalent to CPCSFS5009A Create detailed designs for fire systems</w:t>
            </w:r>
            <w:r>
              <w:t>’</w:t>
            </w:r>
            <w:r w:rsidRPr="00C70005">
              <w:t xml:space="preserve"> water supplies.  Updated to meet the Standards for Training Packages 2012.</w:t>
            </w:r>
          </w:p>
        </w:tc>
      </w:tr>
    </w:tbl>
    <w:p w:rsidR="00000000" w:rsidRPr="00C70005" w:rsidP="00C70005">
      <w:pPr>
        <w:pStyle w:val="BodyText"/>
      </w:pPr>
    </w:p>
    <w:p w:rsidR="00000000" w:rsidRPr="00C70005" w:rsidP="00C70005">
      <w:pPr>
        <w:pStyle w:val="AllowPageBreak"/>
      </w:pPr>
    </w:p>
    <w:p w:rsidR="00000000" w:rsidRPr="00C70005" w:rsidP="00C70005">
      <w:pPr>
        <w:pStyle w:val="Heading1"/>
      </w:pPr>
      <w:bookmarkStart w:id="10" w:name="O_1136508"/>
      <w:bookmarkEnd w:id="10"/>
      <w:r w:rsidRPr="00C70005">
        <w:t>Performance Evidence</w:t>
      </w:r>
    </w:p>
    <w:p w:rsidR="00000000" w:rsidRPr="00C70005" w:rsidP="00D0247A">
      <w:pPr>
        <w:pStyle w:val="BodyText"/>
      </w:pPr>
      <w:r w:rsidRPr="00C70005">
        <w:t>To demonstrate competency, a candidate must meet the performance criteria for this unit by:</w:t>
      </w:r>
    </w:p>
    <w:p w:rsidR="00000000" w:rsidRPr="00C70005" w:rsidP="00C70005">
      <w:pPr>
        <w:pStyle w:val="ListBullet"/>
      </w:pPr>
      <w:r w:rsidRPr="00C70005">
        <w:t xml:space="preserve">effectively applying principles relating to the design of water supplies for fire systems for four types of buildings including a: </w:t>
      </w:r>
    </w:p>
    <w:p w:rsidR="00000000" w:rsidRPr="00C70005" w:rsidP="00C70005">
      <w:pPr>
        <w:pStyle w:val="ListBullet2"/>
      </w:pPr>
      <w:r w:rsidRPr="00C70005">
        <w:t>commercial building</w:t>
      </w:r>
    </w:p>
    <w:p w:rsidR="00000000" w:rsidRPr="00C70005" w:rsidP="00C70005">
      <w:pPr>
        <w:pStyle w:val="ListBullet2"/>
      </w:pPr>
      <w:r w:rsidRPr="00C70005">
        <w:t>factory</w:t>
      </w:r>
    </w:p>
    <w:p w:rsidR="00000000" w:rsidRPr="00C70005" w:rsidP="00C70005">
      <w:pPr>
        <w:pStyle w:val="ListBullet2"/>
      </w:pPr>
      <w:r w:rsidRPr="00C70005">
        <w:t>residential nursing home</w:t>
      </w:r>
    </w:p>
    <w:p w:rsidR="00000000" w:rsidRPr="00C70005" w:rsidP="00C70005">
      <w:pPr>
        <w:pStyle w:val="ListBullet2"/>
      </w:pPr>
      <w:r w:rsidRPr="00C70005">
        <w:t>high-rise building.</w:t>
      </w:r>
    </w:p>
    <w:p w:rsidR="00000000" w:rsidRPr="00C70005" w:rsidP="00C70005">
      <w:pPr>
        <w:pStyle w:val="AllowPageBreak"/>
      </w:pPr>
    </w:p>
    <w:p w:rsidR="00000000" w:rsidRPr="00C70005" w:rsidP="00C70005">
      <w:pPr>
        <w:pStyle w:val="Heading1"/>
      </w:pPr>
      <w:bookmarkStart w:id="11" w:name="O_1136507"/>
      <w:bookmarkEnd w:id="11"/>
      <w:r w:rsidRPr="00C70005">
        <w:t>Knowledge Evidence</w:t>
      </w:r>
    </w:p>
    <w:p w:rsidR="00000000" w:rsidRPr="00C70005" w:rsidP="00D0247A">
      <w:pPr>
        <w:pStyle w:val="BodyText"/>
      </w:pPr>
      <w:r w:rsidRPr="00C70005">
        <w:t>To be competent in this unit, a candidate must demonstrate knowledge of:</w:t>
      </w:r>
    </w:p>
    <w:p w:rsidR="00000000" w:rsidRPr="00C70005" w:rsidP="00C70005">
      <w:pPr>
        <w:pStyle w:val="ListBullet"/>
      </w:pPr>
      <w:r w:rsidRPr="00C70005">
        <w:t>workplace design tools and processes</w:t>
      </w:r>
    </w:p>
    <w:p w:rsidR="00000000" w:rsidRPr="00C70005" w:rsidP="00C70005">
      <w:pPr>
        <w:pStyle w:val="ListBullet"/>
      </w:pPr>
      <w:r w:rsidRPr="00C70005">
        <w:t>project drawings and documentation</w:t>
      </w:r>
      <w:r w:rsidRPr="00C70005">
        <w:t>:</w:t>
      </w:r>
    </w:p>
    <w:p w:rsidR="00000000" w:rsidRPr="00C70005" w:rsidP="00C70005">
      <w:pPr>
        <w:pStyle w:val="ListBullet2"/>
      </w:pPr>
      <w:r w:rsidRPr="00C70005">
        <w:t>proposed water-based fire system designs</w:t>
      </w:r>
    </w:p>
    <w:p w:rsidR="00000000" w:rsidRPr="00C70005" w:rsidP="00C70005">
      <w:pPr>
        <w:pStyle w:val="ListBullet2"/>
      </w:pPr>
      <w:r w:rsidRPr="00C70005">
        <w:t>mechanical</w:t>
      </w:r>
    </w:p>
    <w:p w:rsidR="00000000" w:rsidRPr="00C70005" w:rsidP="00C70005">
      <w:pPr>
        <w:pStyle w:val="ListBullet2"/>
      </w:pPr>
      <w:r w:rsidRPr="00C70005">
        <w:t>electrical</w:t>
      </w:r>
    </w:p>
    <w:p w:rsidR="00000000" w:rsidRPr="00C70005" w:rsidP="00C70005">
      <w:pPr>
        <w:pStyle w:val="ListBullet2"/>
      </w:pPr>
      <w:r w:rsidRPr="00C70005">
        <w:t>hydraulic</w:t>
      </w:r>
    </w:p>
    <w:p w:rsidR="00000000" w:rsidRPr="00C70005" w:rsidP="00C70005">
      <w:pPr>
        <w:pStyle w:val="ListBullet"/>
      </w:pPr>
      <w:r w:rsidRPr="00C70005">
        <w:t>level of accuracy required in detailed design drawings</w:t>
      </w:r>
    </w:p>
    <w:p w:rsidR="00000000" w:rsidRPr="00C70005" w:rsidP="00C70005">
      <w:pPr>
        <w:pStyle w:val="ListBullet"/>
      </w:pPr>
      <w:r w:rsidRPr="00C70005">
        <w:t>naming conventions for design drawings and drawing register</w:t>
      </w:r>
    </w:p>
    <w:p w:rsidR="00000000" w:rsidRPr="00C70005" w:rsidP="00C70005">
      <w:pPr>
        <w:pStyle w:val="ListBullet"/>
      </w:pPr>
      <w:r w:rsidRPr="00C70005">
        <w:t>computer software functions and operation:</w:t>
      </w:r>
    </w:p>
    <w:p w:rsidR="00000000" w:rsidRPr="00C70005" w:rsidP="00C70005">
      <w:pPr>
        <w:pStyle w:val="ListBullet2"/>
      </w:pPr>
      <w:r w:rsidRPr="00C70005">
        <w:t>word processing</w:t>
      </w:r>
    </w:p>
    <w:p w:rsidR="00000000" w:rsidRPr="00C70005" w:rsidP="00C70005">
      <w:pPr>
        <w:pStyle w:val="ListBullet2"/>
      </w:pPr>
      <w:r w:rsidRPr="00C70005">
        <w:t>spreadsheet</w:t>
      </w:r>
    </w:p>
    <w:p w:rsidR="00000000" w:rsidRPr="00C70005" w:rsidP="00C70005">
      <w:pPr>
        <w:pStyle w:val="ListBullet2"/>
      </w:pPr>
      <w:r w:rsidRPr="00C70005">
        <w:t>email</w:t>
      </w:r>
    </w:p>
    <w:p w:rsidR="00000000" w:rsidRPr="00C70005" w:rsidP="00C70005">
      <w:pPr>
        <w:pStyle w:val="ListBullet2"/>
      </w:pPr>
      <w:r w:rsidRPr="00C70005">
        <w:t>internet</w:t>
      </w:r>
    </w:p>
    <w:p w:rsidR="00000000" w:rsidRPr="00C70005" w:rsidP="00C70005">
      <w:pPr>
        <w:pStyle w:val="ListBullet"/>
      </w:pPr>
      <w:r w:rsidRPr="00C70005">
        <w:t>relevant current legislation, codes and standards:</w:t>
      </w:r>
    </w:p>
    <w:p w:rsidR="00000000" w:rsidRPr="00C70005" w:rsidP="00C70005">
      <w:pPr>
        <w:pStyle w:val="ListBullet2"/>
      </w:pPr>
      <w:r w:rsidRPr="00C70005">
        <w:t>building Acts</w:t>
      </w:r>
    </w:p>
    <w:p w:rsidR="00000000" w:rsidRPr="00C70005" w:rsidP="00C70005">
      <w:pPr>
        <w:pStyle w:val="ListBullet2"/>
      </w:pPr>
      <w:r w:rsidRPr="00C70005">
        <w:t>building regulations</w:t>
      </w:r>
    </w:p>
    <w:p w:rsidR="00000000" w:rsidRPr="00C70005" w:rsidP="00C70005">
      <w:pPr>
        <w:pStyle w:val="ListBullet2"/>
      </w:pPr>
      <w:r w:rsidRPr="00C70005">
        <w:t xml:space="preserve">infrastructure supply regulations </w:t>
      </w:r>
    </w:p>
    <w:p w:rsidR="00000000" w:rsidRPr="00C70005" w:rsidP="00C70005">
      <w:pPr>
        <w:pStyle w:val="ListBullet2"/>
      </w:pPr>
      <w:r w:rsidRPr="00C70005">
        <w:t>the Building Code of Australia (BCA)</w:t>
      </w:r>
    </w:p>
    <w:p w:rsidR="00000000" w:rsidRPr="00C70005" w:rsidP="00C70005">
      <w:pPr>
        <w:pStyle w:val="ListBullet2"/>
      </w:pPr>
      <w:r w:rsidRPr="00C70005">
        <w:t>National Construction Code (NCC)</w:t>
      </w:r>
    </w:p>
    <w:p w:rsidR="00000000" w:rsidRPr="00C70005" w:rsidP="00C70005">
      <w:pPr>
        <w:pStyle w:val="ListBullet2"/>
      </w:pPr>
      <w:r w:rsidRPr="00C70005">
        <w:t>Australian standards for fire systems</w:t>
      </w:r>
    </w:p>
    <w:p w:rsidR="00000000" w:rsidRPr="00C70005" w:rsidP="00C70005">
      <w:pPr>
        <w:pStyle w:val="ListBullet2"/>
      </w:pPr>
      <w:r w:rsidRPr="00C70005">
        <w:t>international standards for fire systems</w:t>
      </w:r>
    </w:p>
    <w:p w:rsidR="00000000" w:rsidRPr="00C70005" w:rsidP="00C70005">
      <w:pPr>
        <w:pStyle w:val="ListBullet2"/>
      </w:pPr>
      <w:r w:rsidRPr="00C70005">
        <w:t xml:space="preserve">jurisdictional authorities in addition to the BCA and NCC </w:t>
      </w:r>
    </w:p>
    <w:p w:rsidR="00000000" w:rsidRPr="00C70005" w:rsidP="00C70005">
      <w:pPr>
        <w:pStyle w:val="ListBullet2"/>
      </w:pPr>
      <w:r w:rsidRPr="00C70005">
        <w:t>other fire system standards commonly required by building insurers</w:t>
      </w:r>
    </w:p>
    <w:p w:rsidR="00000000" w:rsidRPr="00C70005" w:rsidP="00C70005">
      <w:pPr>
        <w:pStyle w:val="ListBullet"/>
      </w:pPr>
      <w:r w:rsidRPr="00C70005">
        <w:t>protection requirements for different buildings in</w:t>
      </w:r>
      <w:r w:rsidRPr="00C70005">
        <w:t xml:space="preserve">cluding: </w:t>
      </w:r>
    </w:p>
    <w:p w:rsidR="00000000" w:rsidRPr="00C70005" w:rsidP="00C70005">
      <w:pPr>
        <w:pStyle w:val="ListBullet2"/>
      </w:pPr>
      <w:r w:rsidRPr="00C70005">
        <w:t xml:space="preserve">low-rise buildings </w:t>
      </w:r>
    </w:p>
    <w:p w:rsidR="00000000" w:rsidRPr="00C70005" w:rsidP="00C70005">
      <w:pPr>
        <w:pStyle w:val="ListBullet2"/>
      </w:pPr>
      <w:r w:rsidRPr="00C70005">
        <w:t>processing building applications</w:t>
      </w:r>
    </w:p>
    <w:p w:rsidR="00000000" w:rsidRPr="00C70005" w:rsidP="00C70005">
      <w:pPr>
        <w:pStyle w:val="ListBullet2"/>
      </w:pPr>
      <w:r w:rsidRPr="00C70005">
        <w:t>warehouse buildings under 13.7 m high</w:t>
      </w:r>
    </w:p>
    <w:p w:rsidR="00000000" w:rsidRPr="00C70005" w:rsidP="00C70005">
      <w:pPr>
        <w:pStyle w:val="ListBullet2"/>
      </w:pPr>
      <w:r w:rsidRPr="00C70005">
        <w:t>warehouse buildings over 13.7 m high</w:t>
      </w:r>
    </w:p>
    <w:p w:rsidR="00000000" w:rsidRPr="00C70005" w:rsidP="00C70005">
      <w:pPr>
        <w:pStyle w:val="ListBullet2"/>
      </w:pPr>
      <w:r w:rsidRPr="00C70005">
        <w:t>medium-rise buildings</w:t>
      </w:r>
    </w:p>
    <w:p w:rsidR="00000000" w:rsidRPr="00C70005" w:rsidP="00C70005">
      <w:pPr>
        <w:pStyle w:val="ListBullet2"/>
      </w:pPr>
      <w:r w:rsidRPr="00C70005">
        <w:t>high-rise buildings (over 25 metres)</w:t>
      </w:r>
    </w:p>
    <w:p w:rsidR="00000000" w:rsidRPr="00C70005" w:rsidP="00C70005">
      <w:pPr>
        <w:pStyle w:val="ListBullet2"/>
      </w:pPr>
      <w:r w:rsidRPr="00C70005">
        <w:t>buildings over 50 metres in height</w:t>
      </w:r>
    </w:p>
    <w:p w:rsidR="00000000" w:rsidRPr="00C70005" w:rsidP="00C70005">
      <w:pPr>
        <w:pStyle w:val="ListBullet"/>
      </w:pPr>
      <w:r w:rsidRPr="00C70005">
        <w:t>fire systems</w:t>
      </w:r>
      <w:r>
        <w:t>’</w:t>
      </w:r>
      <w:r w:rsidRPr="00C70005">
        <w:t xml:space="preserve"> technology and components</w:t>
      </w:r>
    </w:p>
    <w:p w:rsidR="00000000" w:rsidRPr="00C70005" w:rsidP="00C70005">
      <w:pPr>
        <w:pStyle w:val="ListBullet"/>
      </w:pPr>
      <w:r w:rsidRPr="00C70005">
        <w:t>fire system water supply technology and components:</w:t>
      </w:r>
    </w:p>
    <w:p w:rsidR="00000000" w:rsidRPr="00C70005" w:rsidP="00C70005">
      <w:pPr>
        <w:pStyle w:val="ListBullet2"/>
      </w:pPr>
      <w:r w:rsidRPr="00C70005">
        <w:t>electric pumps</w:t>
      </w:r>
    </w:p>
    <w:p w:rsidR="00000000" w:rsidRPr="00C70005" w:rsidP="00C70005">
      <w:pPr>
        <w:pStyle w:val="ListBullet2"/>
      </w:pPr>
      <w:r w:rsidRPr="00C70005">
        <w:t>diesel pumps</w:t>
      </w:r>
    </w:p>
    <w:p w:rsidR="00000000" w:rsidRPr="00C70005" w:rsidP="00C70005">
      <w:pPr>
        <w:pStyle w:val="ListBullet2"/>
      </w:pPr>
      <w:r w:rsidRPr="00C70005">
        <w:t>tanks</w:t>
      </w:r>
    </w:p>
    <w:p w:rsidR="00000000" w:rsidRPr="00C70005" w:rsidP="00C70005">
      <w:pPr>
        <w:pStyle w:val="ListBullet2"/>
      </w:pPr>
      <w:r w:rsidRPr="00C70005">
        <w:t>pressure vessels</w:t>
      </w:r>
    </w:p>
    <w:p w:rsidR="00000000" w:rsidRPr="00C70005" w:rsidP="00C70005">
      <w:pPr>
        <w:pStyle w:val="ListBullet2"/>
      </w:pPr>
      <w:r w:rsidRPr="00C70005">
        <w:t>booster configurations</w:t>
      </w:r>
    </w:p>
    <w:p w:rsidR="00000000" w:rsidRPr="00C70005" w:rsidP="00C70005">
      <w:pPr>
        <w:pStyle w:val="ListBullet2"/>
      </w:pPr>
      <w:r w:rsidRPr="00C70005">
        <w:t>components for water recovery systems</w:t>
      </w:r>
    </w:p>
    <w:p w:rsidR="00000000" w:rsidRPr="00C70005" w:rsidP="00C70005">
      <w:pPr>
        <w:pStyle w:val="ListBullet"/>
      </w:pPr>
      <w:r w:rsidRPr="00C70005">
        <w:t>purpose and operation of fire systems:</w:t>
      </w:r>
    </w:p>
    <w:p w:rsidR="00000000" w:rsidRPr="00C70005" w:rsidP="00C70005">
      <w:pPr>
        <w:pStyle w:val="ListBullet2"/>
      </w:pPr>
      <w:r w:rsidRPr="00C70005">
        <w:t>layout:</w:t>
      </w:r>
    </w:p>
    <w:p w:rsidR="00000000" w:rsidRPr="00C70005" w:rsidP="00C70005">
      <w:pPr>
        <w:pStyle w:val="ListBullet3"/>
      </w:pPr>
      <w:r w:rsidRPr="00C70005">
        <w:t>c</w:t>
      </w:r>
      <w:r w:rsidRPr="00C70005">
        <w:t xml:space="preserve">onsideration of a range of sustainable options for producing the required water pressure for water-based fire systems </w:t>
      </w:r>
    </w:p>
    <w:p w:rsidR="00000000" w:rsidRPr="00C70005" w:rsidP="00C70005">
      <w:pPr>
        <w:pStyle w:val="ListBullet3"/>
      </w:pPr>
      <w:r w:rsidRPr="00C70005">
        <w:t>selection of cost-effective components and materials</w:t>
      </w:r>
    </w:p>
    <w:p w:rsidR="00000000" w:rsidRPr="00C70005" w:rsidP="00C70005">
      <w:pPr>
        <w:pStyle w:val="ListBullet3"/>
      </w:pPr>
      <w:r w:rsidRPr="00C70005">
        <w:t>consideration of:</w:t>
      </w:r>
    </w:p>
    <w:p w:rsidR="00000000" w:rsidRPr="00C70005" w:rsidP="00C70005">
      <w:pPr>
        <w:pStyle w:val="ListBullet4"/>
      </w:pPr>
      <w:r w:rsidRPr="00C70005">
        <w:t>conflict with other services</w:t>
      </w:r>
    </w:p>
    <w:p w:rsidR="00000000" w:rsidRPr="00C70005" w:rsidP="00C70005">
      <w:pPr>
        <w:pStyle w:val="ListBullet4"/>
      </w:pPr>
      <w:r w:rsidRPr="00C70005">
        <w:t xml:space="preserve">work health and safety (WHS) risks </w:t>
      </w:r>
    </w:p>
    <w:p w:rsidR="00000000" w:rsidRPr="00C70005" w:rsidP="00C70005">
      <w:pPr>
        <w:pStyle w:val="ListBullet4"/>
      </w:pPr>
      <w:r w:rsidRPr="00C70005">
        <w:t>access constraints</w:t>
      </w:r>
    </w:p>
    <w:p w:rsidR="00000000" w:rsidRPr="00C70005" w:rsidP="00C70005">
      <w:pPr>
        <w:pStyle w:val="ListBullet4"/>
      </w:pPr>
      <w:r w:rsidRPr="00C70005">
        <w:t xml:space="preserve">installation problems </w:t>
      </w:r>
    </w:p>
    <w:p w:rsidR="00000000" w:rsidRPr="00C70005" w:rsidP="00C70005">
      <w:pPr>
        <w:pStyle w:val="ListBullet4"/>
      </w:pPr>
      <w:r w:rsidRPr="00C70005">
        <w:t>aesthetic requirements</w:t>
      </w:r>
    </w:p>
    <w:p w:rsidR="00000000" w:rsidRPr="00C70005" w:rsidP="00C70005">
      <w:pPr>
        <w:pStyle w:val="ListBullet4"/>
      </w:pPr>
      <w:r w:rsidRPr="00C70005">
        <w:t>efficiencies to facilitate work on site and reduce labour costing</w:t>
      </w:r>
    </w:p>
    <w:p w:rsidR="00000000" w:rsidRPr="00C70005" w:rsidP="00C70005">
      <w:pPr>
        <w:pStyle w:val="ListBullet2"/>
      </w:pPr>
      <w:r w:rsidRPr="00C70005">
        <w:t>performance requirements</w:t>
      </w:r>
    </w:p>
    <w:p w:rsidR="00000000" w:rsidRPr="00C70005" w:rsidP="00C70005">
      <w:pPr>
        <w:pStyle w:val="ListBullet2"/>
      </w:pPr>
      <w:r w:rsidRPr="00C70005">
        <w:t>maintenance standards</w:t>
      </w:r>
    </w:p>
    <w:p w:rsidR="00000000" w:rsidRPr="00C70005" w:rsidP="00C70005">
      <w:pPr>
        <w:pStyle w:val="ListBullet"/>
      </w:pPr>
      <w:r w:rsidRPr="00C70005">
        <w:t>characteristics and limitations of products and materials used in water supplies for fire systems and issues relating to material compatibility</w:t>
      </w:r>
    </w:p>
    <w:p w:rsidR="00000000" w:rsidRPr="00C70005" w:rsidP="00C70005">
      <w:pPr>
        <w:pStyle w:val="ListBullet"/>
      </w:pPr>
      <w:r w:rsidRPr="00C70005">
        <w:t>construction industry terminology</w:t>
      </w:r>
    </w:p>
    <w:p w:rsidR="00000000" w:rsidRPr="00C70005" w:rsidP="00C70005">
      <w:pPr>
        <w:pStyle w:val="ListBullet"/>
      </w:pPr>
      <w:r w:rsidRPr="00C70005">
        <w:t>roles and responsibilities of relevant building project personnel:</w:t>
      </w:r>
    </w:p>
    <w:p w:rsidR="00000000" w:rsidRPr="00C70005" w:rsidP="00C70005">
      <w:pPr>
        <w:pStyle w:val="ListBullet2"/>
      </w:pPr>
      <w:r w:rsidRPr="00C70005">
        <w:t>architect</w:t>
      </w:r>
    </w:p>
    <w:p w:rsidR="00000000" w:rsidRPr="00C70005" w:rsidP="00C70005">
      <w:pPr>
        <w:pStyle w:val="ListBullet2"/>
      </w:pPr>
      <w:r w:rsidRPr="00C70005">
        <w:t>lead contractor</w:t>
      </w:r>
    </w:p>
    <w:p w:rsidR="00000000" w:rsidRPr="00C70005" w:rsidP="00C70005">
      <w:pPr>
        <w:pStyle w:val="ListBullet2"/>
      </w:pPr>
      <w:r w:rsidRPr="00C70005">
        <w:t>structural engineer</w:t>
      </w:r>
    </w:p>
    <w:p w:rsidR="00000000" w:rsidRPr="00C70005" w:rsidP="00C70005">
      <w:pPr>
        <w:pStyle w:val="ListBullet2"/>
      </w:pPr>
      <w:r w:rsidRPr="00C70005">
        <w:t>mechanical engineer</w:t>
      </w:r>
    </w:p>
    <w:p w:rsidR="00000000" w:rsidRPr="00C70005" w:rsidP="00C70005">
      <w:pPr>
        <w:pStyle w:val="ListBullet2"/>
      </w:pPr>
      <w:r w:rsidRPr="00C70005">
        <w:t>hydraulic engineer</w:t>
      </w:r>
    </w:p>
    <w:p w:rsidR="00000000" w:rsidRPr="00C70005" w:rsidP="00C70005">
      <w:pPr>
        <w:pStyle w:val="ListBullet2"/>
      </w:pPr>
      <w:r w:rsidRPr="00C70005">
        <w:t>electrical engineer</w:t>
      </w:r>
    </w:p>
    <w:p w:rsidR="00000000" w:rsidRPr="00C70005" w:rsidP="00C70005">
      <w:pPr>
        <w:pStyle w:val="ListBullet2"/>
      </w:pPr>
      <w:r w:rsidRPr="00C70005">
        <w:t>civil engineer</w:t>
      </w:r>
    </w:p>
    <w:p w:rsidR="00000000" w:rsidRPr="00C70005" w:rsidP="00C70005">
      <w:pPr>
        <w:pStyle w:val="ListBullet2"/>
      </w:pPr>
      <w:r w:rsidRPr="00C70005">
        <w:t>fire engineer</w:t>
      </w:r>
    </w:p>
    <w:p w:rsidR="00000000" w:rsidRPr="00C70005" w:rsidP="00C70005">
      <w:pPr>
        <w:pStyle w:val="ListBullet2"/>
      </w:pPr>
      <w:r w:rsidRPr="00C70005">
        <w:t>building (private) certifier or surveyor</w:t>
      </w:r>
    </w:p>
    <w:p w:rsidR="00000000" w:rsidRPr="00C70005" w:rsidP="00C70005">
      <w:pPr>
        <w:pStyle w:val="ListBullet"/>
      </w:pPr>
      <w:r w:rsidRPr="00C70005">
        <w:t>installation methods:</w:t>
      </w:r>
    </w:p>
    <w:p w:rsidR="00000000" w:rsidRPr="00C70005" w:rsidP="00C70005">
      <w:pPr>
        <w:pStyle w:val="ListBullet2"/>
      </w:pPr>
      <w:r w:rsidRPr="00C70005">
        <w:t>access requirements</w:t>
      </w:r>
    </w:p>
    <w:p w:rsidR="00000000" w:rsidRPr="00C70005" w:rsidP="00C70005">
      <w:pPr>
        <w:pStyle w:val="ListBullet2"/>
      </w:pPr>
      <w:r w:rsidRPr="00C70005">
        <w:t>WHS requirements</w:t>
      </w:r>
    </w:p>
    <w:p w:rsidR="00000000" w:rsidRPr="00C70005" w:rsidP="00C70005">
      <w:pPr>
        <w:pStyle w:val="ListBullet"/>
      </w:pPr>
      <w:r w:rsidRPr="00C70005">
        <w:t>water supplies:</w:t>
      </w:r>
    </w:p>
    <w:p w:rsidR="00000000" w:rsidRPr="00C70005" w:rsidP="00C70005">
      <w:pPr>
        <w:pStyle w:val="ListBullet2"/>
      </w:pPr>
      <w:r w:rsidRPr="00C70005">
        <w:t>common water sources</w:t>
      </w:r>
    </w:p>
    <w:p w:rsidR="00000000" w:rsidRPr="00C70005" w:rsidP="00C70005">
      <w:pPr>
        <w:pStyle w:val="ListBullet2"/>
      </w:pPr>
      <w:r w:rsidRPr="00C70005">
        <w:t>conservation requirements</w:t>
      </w:r>
    </w:p>
    <w:p w:rsidR="00000000" w:rsidRPr="00C70005" w:rsidP="00C70005">
      <w:pPr>
        <w:pStyle w:val="ListBullet2"/>
      </w:pPr>
      <w:r w:rsidRPr="00C70005">
        <w:t>in-ground reticulation</w:t>
      </w:r>
    </w:p>
    <w:p w:rsidR="00000000" w:rsidRPr="00C70005" w:rsidP="00C70005">
      <w:pPr>
        <w:pStyle w:val="ListBullet2"/>
      </w:pPr>
      <w:r w:rsidRPr="00C70005">
        <w:t xml:space="preserve">booster configurations </w:t>
      </w:r>
    </w:p>
    <w:p w:rsidR="00000000" w:rsidRPr="00C70005" w:rsidP="00C70005">
      <w:pPr>
        <w:pStyle w:val="ListBullet"/>
      </w:pPr>
      <w:r w:rsidRPr="00C70005">
        <w:t>fluid mechanics and hydraulics relating to:</w:t>
      </w:r>
    </w:p>
    <w:p w:rsidR="00000000" w:rsidRPr="00C70005" w:rsidP="00C70005">
      <w:pPr>
        <w:pStyle w:val="ListBullet2"/>
      </w:pPr>
      <w:r w:rsidRPr="00C70005">
        <w:t>water supply</w:t>
      </w:r>
    </w:p>
    <w:p w:rsidR="00000000" w:rsidRPr="00C70005" w:rsidP="00C70005">
      <w:pPr>
        <w:pStyle w:val="ListBullet2"/>
      </w:pPr>
      <w:r w:rsidRPr="00C70005">
        <w:t>pressure</w:t>
      </w:r>
    </w:p>
    <w:p w:rsidR="00000000" w:rsidRPr="00C70005" w:rsidP="00C70005">
      <w:pPr>
        <w:pStyle w:val="ListBullet2"/>
      </w:pPr>
      <w:r w:rsidRPr="00C70005">
        <w:t>tank selection</w:t>
      </w:r>
    </w:p>
    <w:p w:rsidR="00000000" w:rsidRPr="00C70005" w:rsidP="00C70005">
      <w:pPr>
        <w:pStyle w:val="ListBullet2"/>
      </w:pPr>
      <w:r w:rsidRPr="00C70005">
        <w:t>pressure vessels</w:t>
      </w:r>
    </w:p>
    <w:p w:rsidR="00000000" w:rsidRPr="00C70005" w:rsidP="00C70005">
      <w:pPr>
        <w:pStyle w:val="ListBullet2"/>
      </w:pPr>
      <w:r w:rsidRPr="00C70005">
        <w:t>pipe range</w:t>
      </w:r>
    </w:p>
    <w:p w:rsidR="00000000" w:rsidRPr="00C70005" w:rsidP="00C70005">
      <w:pPr>
        <w:pStyle w:val="ListBullet"/>
      </w:pPr>
      <w:r w:rsidRPr="00C70005">
        <w:t>fluid dynamics, hydraulics and the calculations required for the design of water supplies for fire systems</w:t>
      </w:r>
    </w:p>
    <w:p w:rsidR="00000000" w:rsidRPr="00C70005" w:rsidP="00C70005">
      <w:pPr>
        <w:pStyle w:val="ListBullet"/>
      </w:pPr>
      <w:r w:rsidRPr="00C70005">
        <w:t>sustainability requirements and ratings:</w:t>
      </w:r>
    </w:p>
    <w:p w:rsidR="00000000" w:rsidRPr="00C70005" w:rsidP="00C70005">
      <w:pPr>
        <w:pStyle w:val="ListBullet2"/>
      </w:pPr>
      <w:r w:rsidRPr="00C70005">
        <w:t>energy conservation</w:t>
      </w:r>
    </w:p>
    <w:p w:rsidR="00000000" w:rsidRPr="00C70005" w:rsidP="00C70005">
      <w:pPr>
        <w:pStyle w:val="ListBullet2"/>
      </w:pPr>
      <w:r w:rsidRPr="00C70005">
        <w:t>water conservation</w:t>
      </w:r>
    </w:p>
    <w:p w:rsidR="00000000" w:rsidRPr="00C70005" w:rsidP="00C70005">
      <w:pPr>
        <w:pStyle w:val="ListBullet"/>
      </w:pPr>
      <w:r w:rsidRPr="00C70005">
        <w:t>pipe fabrication methods and constraints</w:t>
      </w:r>
    </w:p>
    <w:p w:rsidR="00000000" w:rsidRPr="00C70005" w:rsidP="00C70005">
      <w:pPr>
        <w:pStyle w:val="ListBullet"/>
      </w:pPr>
      <w:r w:rsidRPr="00C70005">
        <w:t>mathematic principles, equ</w:t>
      </w:r>
      <w:r w:rsidRPr="00C70005">
        <w:t>ations and calculation methods:</w:t>
      </w:r>
    </w:p>
    <w:p w:rsidR="00000000" w:rsidRPr="00C70005" w:rsidP="00C70005">
      <w:pPr>
        <w:pStyle w:val="ListBullet2"/>
      </w:pPr>
      <w:r w:rsidRPr="00C70005">
        <w:t>flow calculations, including:</w:t>
      </w:r>
    </w:p>
    <w:p w:rsidR="00000000" w:rsidRPr="00C70005" w:rsidP="00C70005">
      <w:pPr>
        <w:pStyle w:val="ListBullet2"/>
      </w:pPr>
      <w:r w:rsidRPr="00C70005">
        <w:t>pressure gain and loss</w:t>
      </w:r>
    </w:p>
    <w:p w:rsidR="00000000" w:rsidRPr="00C70005" w:rsidP="00C70005">
      <w:pPr>
        <w:pStyle w:val="ListBullet2"/>
      </w:pPr>
      <w:r w:rsidRPr="00C70005">
        <w:t>K-factors</w:t>
      </w:r>
    </w:p>
    <w:p w:rsidR="00000000" w:rsidRPr="00C70005" w:rsidP="00C70005">
      <w:pPr>
        <w:pStyle w:val="ListBullet2"/>
      </w:pPr>
      <w:r w:rsidRPr="00C70005">
        <w:t>Hazen-Williams equation</w:t>
      </w:r>
    </w:p>
    <w:p w:rsidR="00000000" w:rsidRPr="00C70005" w:rsidP="00C70005">
      <w:pPr>
        <w:pStyle w:val="ListBullet2"/>
      </w:pPr>
      <w:r w:rsidRPr="00C70005">
        <w:t xml:space="preserve">Darcy-Weisbach equation </w:t>
      </w:r>
    </w:p>
    <w:p w:rsidR="00000000" w:rsidRPr="00C70005" w:rsidP="00C70005">
      <w:pPr>
        <w:pStyle w:val="ListBullet2"/>
      </w:pPr>
      <w:r w:rsidRPr="00C70005">
        <w:t>Colebrook White equations and/or tables</w:t>
      </w:r>
    </w:p>
    <w:p w:rsidR="00000000" w:rsidRPr="00C70005" w:rsidP="00C70005">
      <w:pPr>
        <w:pStyle w:val="ListBullet2"/>
      </w:pPr>
      <w:r w:rsidRPr="00C70005">
        <w:t>Manning formula and/or tables</w:t>
      </w:r>
    </w:p>
    <w:p w:rsidR="00000000" w:rsidRPr="00C70005" w:rsidP="00C70005">
      <w:pPr>
        <w:pStyle w:val="ListBullet2"/>
      </w:pPr>
      <w:r w:rsidRPr="00C70005">
        <w:t>AS 2200 Design charts for water supply and sewerage</w:t>
      </w:r>
    </w:p>
    <w:p w:rsidR="00000000" w:rsidRPr="00C70005" w:rsidP="00C70005">
      <w:pPr>
        <w:pStyle w:val="ListBullet2"/>
      </w:pPr>
      <w:r w:rsidRPr="00C70005">
        <w:t>computational fluid dynamics.</w:t>
      </w:r>
    </w:p>
    <w:p w:rsidR="00000000" w:rsidRPr="00C70005" w:rsidP="00C70005">
      <w:pPr>
        <w:pStyle w:val="AllowPageBreak"/>
      </w:pPr>
    </w:p>
    <w:p w:rsidR="00000000" w:rsidRPr="00C70005" w:rsidP="00C70005">
      <w:pPr>
        <w:pStyle w:val="Heading1"/>
      </w:pPr>
      <w:bookmarkStart w:id="12" w:name="O_1136506"/>
      <w:bookmarkEnd w:id="12"/>
      <w:r w:rsidRPr="00C70005">
        <w:t>Assessment Conditions</w:t>
      </w:r>
    </w:p>
    <w:p w:rsidR="00000000" w:rsidRPr="00C70005" w:rsidP="00D0247A">
      <w:pPr>
        <w:pStyle w:val="BodyText"/>
      </w:pPr>
      <w:r w:rsidRPr="00C70005">
        <w:t>Assessors must meet the requirements for assessors contained in the Standards for Registered Training Organisations.</w:t>
      </w:r>
    </w:p>
    <w:p w:rsidR="00000000" w:rsidRPr="00C70005" w:rsidP="00D0247A">
      <w:pPr>
        <w:pStyle w:val="BodyText"/>
      </w:pPr>
      <w:r w:rsidRPr="00C70005">
        <w:t>This unit must b</w:t>
      </w:r>
      <w:r w:rsidRPr="00C70005">
        <w:t>e assessed in the workplace or a close simulation using realistic workplace conditions, materials, activities, responsibilities, procedures, safety requirements and environmental considerations.</w:t>
      </w:r>
    </w:p>
    <w:p w:rsidR="00000000" w:rsidRPr="00C70005" w:rsidP="00C70005">
      <w:pPr>
        <w:pStyle w:val="Heading1"/>
      </w:pPr>
      <w:bookmarkStart w:id="13" w:name="O_1136504"/>
      <w:bookmarkEnd w:id="13"/>
      <w:r w:rsidRPr="00C70005">
        <w:t>Links</w:t>
      </w:r>
    </w:p>
    <w:p w:rsidR="00000000" w:rsidRPr="00C70005" w:rsidP="00D0247A">
      <w:pPr>
        <w:pStyle w:val="BodyText"/>
      </w:pPr>
      <w:r w:rsidRPr="00C70005">
        <w:t>Companion volumes to this training p</w:t>
      </w:r>
      <w:r w:rsidRPr="00C70005">
        <w:t xml:space="preserve">ackage are available at the VETNet website - </w:t>
      </w:r>
      <w:r>
        <w:fldChar w:fldCharType="begin"/>
      </w:r>
      <w:r>
        <w:instrText xml:space="preserve"> HYPERLINK "https://vetnet.gov.au/Pages/TrainingDocs.aspx?q=7e15fa6a-68b8-4097-b099-030a5569b1ad" </w:instrText>
      </w:r>
      <w:r>
        <w:fldChar w:fldCharType="separate"/>
      </w:r>
      <w:r w:rsidRPr="001A6384">
        <w:rPr>
          <w:rStyle w:val="Hyperlink"/>
        </w:rPr>
        <w:t>https://vetnet.gov.au/Pages/TrainingDocs.aspx?q=7e15fa6a-68b8-4097-b099-030a5569b1ad</w:t>
      </w:r>
      <w:r>
        <w:fldChar w:fldCharType="end"/>
      </w:r>
    </w:p>
    <w:p w:rsidR="00000000" w:rsidRPr="00C70005" w:rsidP="00C70005"/>
    <w:sectPr w:rsidSect="00C700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05" w:rsidRPr="00D0247A" w:rsidP="00D02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7A" w:rsidP="00C70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247A" w:rsidP="00C700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0247A" w:rsidP="00C700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05" w:rsidP="00C70005">
    <w:pPr>
      <w:pStyle w:val="Footer"/>
      <w:framePr w:wrap="around"/>
    </w:pPr>
    <w:r>
      <w:fldChar w:fldCharType="begin"/>
    </w:r>
    <w:r>
      <w:instrText xml:space="preserve"> DOCPROPERTY  Subject  \* MERGEFORMAT </w:instrText>
    </w:r>
    <w:r>
      <w:fldChar w:fldCharType="separate"/>
    </w:r>
    <w:r w:rsidR="00D0247A">
      <w:t>Approved</w:t>
    </w:r>
    <w:r w:rsidR="00D0247A">
      <w:fldChar w:fldCharType="end"/>
    </w:r>
    <w:r>
      <w:tab/>
      <w:t xml:space="preserve">Page </w:t>
    </w:r>
    <w:r>
      <w:fldChar w:fldCharType="begin"/>
    </w:r>
    <w:r>
      <w:instrText xml:space="preserve"> PAGE  \* Arabic  \* MERGEFORMAT </w:instrText>
    </w:r>
    <w:r>
      <w:fldChar w:fldCharType="separate"/>
    </w:r>
    <w:r w:rsidR="00D024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247A">
      <w:rPr>
        <w:noProof/>
      </w:rPr>
      <w:t>5</w:t>
    </w:r>
    <w:r>
      <w:rPr>
        <w:noProof/>
      </w:rPr>
      <w:fldChar w:fldCharType="end"/>
    </w:r>
  </w:p>
  <w:p w:rsidR="00C70005" w:rsidP="00C70005">
    <w:pPr>
      <w:pStyle w:val="Footer"/>
      <w:framePr w:wrap="around"/>
    </w:pPr>
    <w:r>
      <w:t xml:space="preserve">© Commonwealth of Australia, </w:t>
    </w:r>
    <w:r>
      <w:fldChar w:fldCharType="begin"/>
    </w:r>
    <w:r>
      <w:instrText xml:space="preserve"> DATE  \@ "yyyy"  \* MERGEFORMAT </w:instrText>
    </w:r>
    <w:r>
      <w:fldChar w:fldCharType="separate"/>
    </w:r>
    <w:r w:rsidR="00D0247A">
      <w:rPr>
        <w:noProof/>
      </w:rPr>
      <w:t>2025</w:t>
    </w:r>
    <w:r>
      <w:fldChar w:fldCharType="end"/>
    </w:r>
    <w:r>
      <w:tab/>
    </w:r>
    <w:r>
      <w:fldChar w:fldCharType="begin"/>
    </w:r>
    <w:r>
      <w:instrText xml:space="preserve"> DOCPROPERTY  Author  \* MERGEFORMAT </w:instrText>
    </w:r>
    <w:r>
      <w:fldChar w:fldCharType="separate"/>
    </w:r>
    <w:r w:rsidR="00D0247A">
      <w:t>BuildSkills Australia</w:t>
    </w:r>
    <w:r w:rsidR="00D0247A">
      <w:fldChar w:fldCharType="end"/>
    </w:r>
  </w:p>
  <w:p w:rsidR="00C70005" w:rsidP="00C70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005" w:rsidRPr="00D0247A" w:rsidP="00D024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7A" w:rsidRPr="002D2AF8" w:rsidP="00C70005">
    <w:pPr>
      <w:pStyle w:val="Header"/>
      <w:framePr w:wrap="around"/>
    </w:pPr>
    <w:r>
      <w:fldChar w:fldCharType="begin"/>
    </w:r>
    <w:r>
      <w:instrText xml:space="preserve"> TITLE   \* MERGEFORMAT </w:instrText>
    </w:r>
    <w:r>
      <w:fldChar w:fldCharType="separate"/>
    </w:r>
    <w:r>
      <w:t>CPCSFS5009 Create detailed designs for fire systems'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247A" w:rsidP="00C700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05" w:rsidRPr="002D2AF8" w:rsidP="00C70005">
    <w:pPr>
      <w:pStyle w:val="Header"/>
      <w:framePr w:wrap="around"/>
    </w:pPr>
    <w:r>
      <w:fldChar w:fldCharType="begin"/>
    </w:r>
    <w:r>
      <w:instrText xml:space="preserve"> TITLE   \* MERGEFORMAT </w:instrText>
    </w:r>
    <w:r>
      <w:fldChar w:fldCharType="separate"/>
    </w:r>
    <w:r w:rsidR="00D0247A">
      <w:t>CPCSFS5009 Create detailed designs for fire systems' water supplies</w:t>
    </w:r>
    <w:r w:rsidR="00D0247A">
      <w:fldChar w:fldCharType="end"/>
    </w:r>
    <w:r>
      <w:tab/>
      <w:t xml:space="preserve">Date this document was generated: </w:t>
    </w:r>
    <w:r>
      <w:fldChar w:fldCharType="begin"/>
    </w:r>
    <w:r>
      <w:instrText xml:space="preserve"> CREATEDATE  \@ "d MMMM yyyy"  \* MERGEFORMAT </w:instrText>
    </w:r>
    <w:r>
      <w:fldChar w:fldCharType="separate"/>
    </w:r>
    <w:r w:rsidR="00D0247A">
      <w:rPr>
        <w:noProof/>
      </w:rPr>
      <w:t>1 March 2025</w:t>
    </w:r>
    <w:r>
      <w:fldChar w:fldCharType="end"/>
    </w:r>
  </w:p>
  <w:p w:rsidR="00C70005" w:rsidP="00C70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D29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12D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AD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005"/>
    <w:pPr>
      <w:spacing w:before="360" w:after="60"/>
      <w:outlineLvl w:val="0"/>
    </w:pPr>
    <w:rPr>
      <w:sz w:val="32"/>
    </w:rPr>
  </w:style>
  <w:style w:type="paragraph" w:styleId="Heading2">
    <w:name w:val="heading 2"/>
    <w:basedOn w:val="HeadingBase"/>
    <w:next w:val="BodyText"/>
    <w:link w:val="Heading2Char"/>
    <w:qFormat/>
    <w:rsid w:val="00C70005"/>
    <w:pPr>
      <w:keepLines/>
      <w:spacing w:before="240" w:after="120"/>
      <w:outlineLvl w:val="1"/>
    </w:pPr>
    <w:rPr>
      <w:sz w:val="28"/>
      <w:szCs w:val="40"/>
    </w:rPr>
  </w:style>
  <w:style w:type="paragraph" w:styleId="Heading3">
    <w:name w:val="heading 3"/>
    <w:basedOn w:val="HeadingBase"/>
    <w:next w:val="BodyText"/>
    <w:link w:val="Heading3Char"/>
    <w:qFormat/>
    <w:rsid w:val="00C70005"/>
    <w:pPr>
      <w:spacing w:before="180" w:after="120"/>
      <w:outlineLvl w:val="2"/>
    </w:pPr>
    <w:rPr>
      <w:spacing w:val="-10"/>
      <w:kern w:val="32"/>
    </w:rPr>
  </w:style>
  <w:style w:type="paragraph" w:styleId="Heading4">
    <w:name w:val="heading 4"/>
    <w:basedOn w:val="HeadingBase"/>
    <w:next w:val="BodyText"/>
    <w:link w:val="Heading4Char"/>
    <w:qFormat/>
    <w:rsid w:val="00C70005"/>
    <w:pPr>
      <w:spacing w:before="160" w:after="120"/>
      <w:outlineLvl w:val="3"/>
    </w:pPr>
    <w:rPr>
      <w:sz w:val="22"/>
    </w:rPr>
  </w:style>
  <w:style w:type="paragraph" w:styleId="Heading5">
    <w:name w:val="heading 5"/>
    <w:basedOn w:val="HeadingBase"/>
    <w:next w:val="Normal"/>
    <w:link w:val="Heading5Char"/>
    <w:qFormat/>
    <w:rsid w:val="00C70005"/>
    <w:pPr>
      <w:spacing w:before="80"/>
      <w:outlineLvl w:val="4"/>
    </w:pPr>
    <w:rPr>
      <w:color w:val="918585"/>
      <w:sz w:val="20"/>
    </w:rPr>
  </w:style>
  <w:style w:type="paragraph" w:styleId="Heading6">
    <w:name w:val="heading 6"/>
    <w:basedOn w:val="HeadingBase"/>
    <w:next w:val="Normal"/>
    <w:link w:val="Heading6Char"/>
    <w:qFormat/>
    <w:rsid w:val="00C70005"/>
    <w:pPr>
      <w:spacing w:before="60"/>
      <w:outlineLvl w:val="5"/>
    </w:pPr>
    <w:rPr>
      <w:color w:val="918585"/>
      <w:sz w:val="20"/>
    </w:rPr>
  </w:style>
  <w:style w:type="paragraph" w:styleId="Heading7">
    <w:name w:val="heading 7"/>
    <w:basedOn w:val="Normal"/>
    <w:next w:val="Normal"/>
    <w:link w:val="Heading7Char"/>
    <w:qFormat/>
    <w:rsid w:val="00C70005"/>
    <w:pPr>
      <w:ind w:left="720"/>
      <w:outlineLvl w:val="6"/>
    </w:pPr>
    <w:rPr>
      <w:i/>
    </w:rPr>
  </w:style>
  <w:style w:type="paragraph" w:styleId="Heading8">
    <w:name w:val="heading 8"/>
    <w:basedOn w:val="Normal"/>
    <w:next w:val="Normal"/>
    <w:link w:val="Heading8Char"/>
    <w:qFormat/>
    <w:rsid w:val="00C70005"/>
    <w:pPr>
      <w:ind w:left="720"/>
      <w:outlineLvl w:val="7"/>
    </w:pPr>
    <w:rPr>
      <w:i/>
    </w:rPr>
  </w:style>
  <w:style w:type="paragraph" w:styleId="Heading9">
    <w:name w:val="heading 9"/>
    <w:basedOn w:val="Normal"/>
    <w:next w:val="Normal"/>
    <w:link w:val="Heading9Char"/>
    <w:qFormat/>
    <w:rsid w:val="00C70005"/>
    <w:pPr>
      <w:ind w:left="720"/>
      <w:outlineLvl w:val="8"/>
    </w:pPr>
    <w:rPr>
      <w:i/>
    </w:rPr>
  </w:style>
  <w:style w:type="character" w:default="1" w:styleId="DefaultParagraphFont">
    <w:name w:val="Default Paragraph Font"/>
    <w:uiPriority w:val="1"/>
    <w:unhideWhenUsed/>
    <w:rsid w:val="00C70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005"/>
  </w:style>
  <w:style w:type="character" w:customStyle="1" w:styleId="Heading1Char">
    <w:name w:val="Heading 1 Char"/>
    <w:basedOn w:val="DefaultParagraphFont"/>
    <w:link w:val="Heading1"/>
    <w:rsid w:val="00C70005"/>
    <w:rPr>
      <w:rFonts w:ascii="Times New Roman" w:eastAsia="Times New Roman" w:hAnsi="Times New Roman" w:cs="Times New Roman"/>
      <w:b/>
      <w:sz w:val="32"/>
      <w:szCs w:val="20"/>
      <w:lang w:eastAsia="en-US"/>
    </w:rPr>
  </w:style>
  <w:style w:type="paragraph" w:styleId="BodyText">
    <w:name w:val="Body Text"/>
    <w:basedOn w:val="Normal"/>
    <w:link w:val="BodyTextChar"/>
    <w:rsid w:val="00C70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005"/>
    <w:rPr>
      <w:rFonts w:ascii="Times New Roman" w:eastAsia="Times New Roman" w:hAnsi="Times New Roman" w:cs="Times New Roman"/>
      <w:sz w:val="24"/>
      <w:lang w:eastAsia="en-US"/>
    </w:rPr>
  </w:style>
  <w:style w:type="paragraph" w:styleId="ListBullet">
    <w:name w:val="List Bullet"/>
    <w:basedOn w:val="List"/>
    <w:rsid w:val="00C70005"/>
    <w:pPr>
      <w:numPr>
        <w:numId w:val="14"/>
      </w:numPr>
      <w:tabs>
        <w:tab w:val="clear" w:pos="340"/>
      </w:tabs>
      <w:spacing w:before="40" w:after="40"/>
    </w:pPr>
  </w:style>
  <w:style w:type="paragraph" w:styleId="ListBullet2">
    <w:name w:val="List Bullet 2"/>
    <w:basedOn w:val="List2"/>
    <w:rsid w:val="00C70005"/>
    <w:pPr>
      <w:numPr>
        <w:numId w:val="15"/>
      </w:numPr>
      <w:tabs>
        <w:tab w:val="clear" w:pos="680"/>
      </w:tabs>
    </w:pPr>
  </w:style>
  <w:style w:type="paragraph" w:customStyle="1" w:styleId="SuperHeading">
    <w:name w:val="SuperHeading"/>
    <w:basedOn w:val="Normal"/>
    <w:rsid w:val="00C70005"/>
    <w:pPr>
      <w:spacing w:before="240" w:after="120"/>
      <w:outlineLvl w:val="0"/>
    </w:pPr>
    <w:rPr>
      <w:rFonts w:ascii="Times New Roman" w:hAnsi="Times New Roman"/>
      <w:b/>
      <w:sz w:val="32"/>
    </w:rPr>
  </w:style>
  <w:style w:type="paragraph" w:customStyle="1" w:styleId="AllowPageBreak">
    <w:name w:val="AllowPageBreak"/>
    <w:rsid w:val="00C700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0005"/>
    <w:pPr>
      <w:numPr>
        <w:numId w:val="3"/>
      </w:numPr>
      <w:tabs>
        <w:tab w:val="clear" w:pos="1021"/>
      </w:tabs>
      <w:ind w:left="1037" w:hanging="357"/>
    </w:pPr>
  </w:style>
  <w:style w:type="paragraph" w:styleId="ListBullet4">
    <w:name w:val="List Bullet 4"/>
    <w:basedOn w:val="List4"/>
    <w:rsid w:val="00C70005"/>
    <w:pPr>
      <w:numPr>
        <w:numId w:val="4"/>
      </w:numPr>
      <w:tabs>
        <w:tab w:val="clear" w:pos="1361"/>
      </w:tabs>
    </w:pPr>
  </w:style>
  <w:style w:type="character" w:customStyle="1" w:styleId="Heading2Char">
    <w:name w:val="Heading 2 Char"/>
    <w:basedOn w:val="DefaultParagraphFont"/>
    <w:link w:val="Heading2"/>
    <w:rsid w:val="00C70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005"/>
    <w:rPr>
      <w:rFonts w:ascii="Courier New" w:eastAsia="Times New Roman" w:hAnsi="Courier New" w:cs="Times New Roman"/>
      <w:i/>
      <w:szCs w:val="20"/>
      <w:lang w:eastAsia="en-US"/>
    </w:rPr>
  </w:style>
  <w:style w:type="paragraph" w:customStyle="1" w:styleId="HeadingBase">
    <w:name w:val="Heading Base"/>
    <w:rsid w:val="00C70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005"/>
    <w:pPr>
      <w:tabs>
        <w:tab w:val="right" w:leader="dot" w:pos="9072"/>
      </w:tabs>
      <w:ind w:left="567"/>
    </w:pPr>
    <w:rPr>
      <w:szCs w:val="22"/>
    </w:rPr>
  </w:style>
  <w:style w:type="paragraph" w:customStyle="1" w:styleId="TOCBase">
    <w:name w:val="TOC Base"/>
    <w:rsid w:val="00C70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005"/>
    <w:pPr>
      <w:tabs>
        <w:tab w:val="right" w:leader="dot" w:pos="9072"/>
      </w:tabs>
      <w:spacing w:before="40" w:after="40"/>
      <w:ind w:left="284"/>
    </w:pPr>
    <w:rPr>
      <w:rFonts w:ascii="Times New Roman" w:hAnsi="Times New Roman"/>
    </w:rPr>
  </w:style>
  <w:style w:type="paragraph" w:styleId="TOC1">
    <w:name w:val="toc 1"/>
    <w:basedOn w:val="TOCBase"/>
    <w:next w:val="Normal"/>
    <w:rsid w:val="00C70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005"/>
    <w:rPr>
      <w:rFonts w:ascii="Times New Roman" w:eastAsia="Times New Roman" w:hAnsi="Times New Roman" w:cs="Times New Roman"/>
      <w:sz w:val="16"/>
      <w:lang w:eastAsia="en-US"/>
    </w:rPr>
  </w:style>
  <w:style w:type="paragraph" w:styleId="Title">
    <w:name w:val="Title"/>
    <w:basedOn w:val="HeadingBase"/>
    <w:link w:val="TitleChar"/>
    <w:qFormat/>
    <w:rsid w:val="00C70005"/>
    <w:pPr>
      <w:spacing w:before="5040"/>
      <w:jc w:val="center"/>
    </w:pPr>
    <w:rPr>
      <w:sz w:val="48"/>
      <w:szCs w:val="72"/>
      <w:lang w:val="en-US"/>
    </w:rPr>
  </w:style>
  <w:style w:type="character" w:customStyle="1" w:styleId="TitleChar">
    <w:name w:val="Title Char"/>
    <w:basedOn w:val="DefaultParagraphFont"/>
    <w:link w:val="Title"/>
    <w:rsid w:val="00C70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005"/>
    <w:pPr>
      <w:tabs>
        <w:tab w:val="left" w:pos="3600"/>
        <w:tab w:val="left" w:pos="3958"/>
      </w:tabs>
    </w:pPr>
  </w:style>
  <w:style w:type="paragraph" w:styleId="List">
    <w:name w:val="List"/>
    <w:basedOn w:val="BodyText"/>
    <w:next w:val="BodyText"/>
    <w:rsid w:val="00C70005"/>
    <w:pPr>
      <w:tabs>
        <w:tab w:val="left" w:pos="340"/>
      </w:tabs>
      <w:spacing w:before="60" w:after="60"/>
      <w:ind w:left="340" w:hanging="340"/>
    </w:pPr>
  </w:style>
  <w:style w:type="paragraph" w:customStyle="1" w:styleId="Note">
    <w:name w:val="Note"/>
    <w:basedOn w:val="BodyText"/>
    <w:rsid w:val="00C700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0005"/>
    <w:rPr>
      <w:b/>
      <w:spacing w:val="0"/>
    </w:rPr>
  </w:style>
  <w:style w:type="paragraph" w:customStyle="1" w:styleId="SuperTitle">
    <w:name w:val="SuperTitle"/>
    <w:basedOn w:val="Title"/>
    <w:rsid w:val="00C70005"/>
    <w:pPr>
      <w:framePr w:wrap="auto" w:hAnchor="text" w:y="6049"/>
    </w:pPr>
    <w:rPr>
      <w:color w:val="000000"/>
      <w:sz w:val="40"/>
    </w:rPr>
  </w:style>
  <w:style w:type="paragraph" w:customStyle="1" w:styleId="TOCTitle">
    <w:name w:val="TOCTitle"/>
    <w:basedOn w:val="Heading1"/>
    <w:rsid w:val="00C70005"/>
    <w:pPr>
      <w:spacing w:after="240"/>
      <w:jc w:val="center"/>
      <w:outlineLvl w:val="9"/>
    </w:pPr>
    <w:rPr>
      <w:caps/>
    </w:rPr>
  </w:style>
  <w:style w:type="paragraph" w:customStyle="1" w:styleId="Version">
    <w:name w:val="Version"/>
    <w:rsid w:val="00C70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005"/>
    <w:pPr>
      <w:keepNext w:val="0"/>
      <w:tabs>
        <w:tab w:val="right" w:pos="4176"/>
      </w:tabs>
      <w:ind w:left="198" w:hanging="198"/>
    </w:pPr>
    <w:rPr>
      <w:rFonts w:ascii="Garamond" w:hAnsi="Garamond"/>
    </w:rPr>
  </w:style>
  <w:style w:type="paragraph" w:styleId="IndexHeading">
    <w:name w:val="index heading"/>
    <w:basedOn w:val="Normal"/>
    <w:next w:val="Index1"/>
    <w:semiHidden/>
    <w:rsid w:val="00C70005"/>
    <w:pPr>
      <w:spacing w:before="120" w:after="120"/>
    </w:pPr>
    <w:rPr>
      <w:rFonts w:ascii="Arial" w:hAnsi="Arial"/>
      <w:b/>
      <w:color w:val="918585"/>
      <w:sz w:val="24"/>
    </w:rPr>
  </w:style>
  <w:style w:type="paragraph" w:styleId="Header">
    <w:name w:val="header"/>
    <w:basedOn w:val="Normal"/>
    <w:link w:val="HeaderChar"/>
    <w:rsid w:val="00C70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005"/>
    <w:rPr>
      <w:rFonts w:ascii="Times New Roman" w:eastAsia="Times New Roman" w:hAnsi="Times New Roman" w:cs="Times New Roman"/>
      <w:sz w:val="16"/>
      <w:szCs w:val="20"/>
      <w:lang w:val="en-GB" w:eastAsia="en-US"/>
    </w:rPr>
  </w:style>
  <w:style w:type="paragraph" w:customStyle="1" w:styleId="Chapter">
    <w:name w:val="Chapter"/>
    <w:basedOn w:val="Normal"/>
    <w:rsid w:val="00C70005"/>
    <w:pPr>
      <w:spacing w:before="240"/>
    </w:pPr>
    <w:rPr>
      <w:rFonts w:ascii="Times New Roman" w:hAnsi="Times New Roman"/>
      <w:smallCaps/>
      <w:spacing w:val="80"/>
      <w:sz w:val="28"/>
    </w:rPr>
  </w:style>
  <w:style w:type="paragraph" w:customStyle="1" w:styleId="InChapter">
    <w:name w:val="InChapter"/>
    <w:basedOn w:val="Heading3"/>
    <w:rsid w:val="00C70005"/>
    <w:pPr>
      <w:spacing w:after="240"/>
      <w:outlineLvl w:val="9"/>
    </w:pPr>
    <w:rPr>
      <w:noProof/>
    </w:rPr>
  </w:style>
  <w:style w:type="paragraph" w:styleId="Index2">
    <w:name w:val="index 2"/>
    <w:basedOn w:val="Normal"/>
    <w:next w:val="Normal"/>
    <w:semiHidden/>
    <w:rsid w:val="00C70005"/>
    <w:pPr>
      <w:tabs>
        <w:tab w:val="right" w:pos="4176"/>
      </w:tabs>
      <w:ind w:left="568" w:hanging="284"/>
    </w:pPr>
    <w:rPr>
      <w:rFonts w:ascii="Garamond" w:hAnsi="Garamond"/>
    </w:rPr>
  </w:style>
  <w:style w:type="paragraph" w:customStyle="1" w:styleId="Byline">
    <w:name w:val="Byline"/>
    <w:rsid w:val="00C70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005"/>
    <w:pPr>
      <w:tabs>
        <w:tab w:val="clear" w:pos="3600"/>
        <w:tab w:val="clear" w:pos="3958"/>
      </w:tabs>
      <w:jc w:val="right"/>
    </w:pPr>
  </w:style>
  <w:style w:type="character" w:styleId="Emphasis">
    <w:name w:val="Emphasis"/>
    <w:basedOn w:val="DefaultParagraphFont"/>
    <w:qFormat/>
    <w:rsid w:val="00C70005"/>
    <w:rPr>
      <w:i/>
    </w:rPr>
  </w:style>
  <w:style w:type="paragraph" w:styleId="Caption">
    <w:name w:val="caption"/>
    <w:basedOn w:val="BodyText"/>
    <w:next w:val="Normal"/>
    <w:qFormat/>
    <w:rsid w:val="00C70005"/>
    <w:pPr>
      <w:framePr w:w="2268" w:hSpace="181" w:vSpace="181" w:wrap="around" w:vAnchor="text" w:hAnchor="page" w:x="1135" w:y="285" w:anchorLock="1"/>
    </w:pPr>
    <w:rPr>
      <w:i/>
    </w:rPr>
  </w:style>
  <w:style w:type="paragraph" w:customStyle="1" w:styleId="MiniTOCTitle">
    <w:name w:val="MiniTOCTitle"/>
    <w:basedOn w:val="Heading4"/>
    <w:rsid w:val="00C70005"/>
    <w:pPr>
      <w:spacing w:before="240"/>
      <w:outlineLvl w:val="9"/>
    </w:pPr>
    <w:rPr>
      <w:noProof/>
      <w:sz w:val="24"/>
    </w:rPr>
  </w:style>
  <w:style w:type="paragraph" w:customStyle="1" w:styleId="MiniTOCItem">
    <w:name w:val="MiniTOCItem"/>
    <w:basedOn w:val="ListBullet"/>
    <w:rsid w:val="00C70005"/>
    <w:pPr>
      <w:numPr>
        <w:numId w:val="0"/>
      </w:numPr>
      <w:tabs>
        <w:tab w:val="right" w:leader="dot" w:pos="6521"/>
      </w:tabs>
      <w:spacing w:before="0" w:after="0"/>
    </w:pPr>
  </w:style>
  <w:style w:type="paragraph" w:customStyle="1" w:styleId="TOFTitle">
    <w:name w:val="TOFTitle"/>
    <w:basedOn w:val="TOCTitle"/>
    <w:rsid w:val="00C70005"/>
  </w:style>
  <w:style w:type="paragraph" w:styleId="TableofFigures">
    <w:name w:val="table of figures"/>
    <w:basedOn w:val="Normal"/>
    <w:next w:val="Normal"/>
    <w:semiHidden/>
    <w:rsid w:val="00C70005"/>
    <w:pPr>
      <w:tabs>
        <w:tab w:val="right" w:leader="dot" w:pos="9072"/>
      </w:tabs>
      <w:ind w:left="970" w:hanging="403"/>
    </w:pPr>
    <w:rPr>
      <w:rFonts w:ascii="Times New Roman" w:hAnsi="Times New Roman"/>
      <w:b/>
    </w:rPr>
  </w:style>
  <w:style w:type="paragraph" w:styleId="ListNumber">
    <w:name w:val="List Number"/>
    <w:basedOn w:val="List"/>
    <w:rsid w:val="00C70005"/>
    <w:pPr>
      <w:numPr>
        <w:numId w:val="17"/>
      </w:numPr>
      <w:tabs>
        <w:tab w:val="clear" w:pos="340"/>
      </w:tabs>
    </w:pPr>
  </w:style>
  <w:style w:type="character" w:customStyle="1" w:styleId="WingdingSymbols">
    <w:name w:val="Wingding Symbols"/>
    <w:rsid w:val="00C70005"/>
    <w:rPr>
      <w:rFonts w:ascii="Wingdings" w:hAnsi="Wingdings"/>
    </w:rPr>
  </w:style>
  <w:style w:type="paragraph" w:customStyle="1" w:styleId="TableHeading">
    <w:name w:val="Table Heading"/>
    <w:basedOn w:val="HeadingBase"/>
    <w:rsid w:val="00C70005"/>
    <w:pPr>
      <w:keepLines/>
      <w:pBdr>
        <w:bottom w:val="single" w:sz="6" w:space="1" w:color="918585"/>
      </w:pBdr>
      <w:spacing w:before="240"/>
    </w:pPr>
  </w:style>
  <w:style w:type="character" w:customStyle="1" w:styleId="HotSpot">
    <w:name w:val="HotSpot"/>
    <w:rsid w:val="00C70005"/>
    <w:rPr>
      <w:color w:val="0033CC"/>
      <w:u w:val="none"/>
    </w:rPr>
  </w:style>
  <w:style w:type="paragraph" w:customStyle="1" w:styleId="BodyTextRight">
    <w:name w:val="Body Text Right"/>
    <w:basedOn w:val="BodyText"/>
    <w:rsid w:val="00C70005"/>
    <w:pPr>
      <w:spacing w:before="0" w:after="0"/>
      <w:jc w:val="right"/>
    </w:pPr>
  </w:style>
  <w:style w:type="paragraph" w:styleId="Index3">
    <w:name w:val="index 3"/>
    <w:basedOn w:val="ListNumber2"/>
    <w:next w:val="Normal"/>
    <w:semiHidden/>
    <w:rsid w:val="00C70005"/>
    <w:pPr>
      <w:numPr>
        <w:numId w:val="0"/>
      </w:numPr>
      <w:tabs>
        <w:tab w:val="right" w:leader="dot" w:pos="4176"/>
      </w:tabs>
    </w:pPr>
  </w:style>
  <w:style w:type="paragraph" w:styleId="ListNumber2">
    <w:name w:val="List Number 2"/>
    <w:basedOn w:val="List2"/>
    <w:rsid w:val="00C70005"/>
    <w:pPr>
      <w:numPr>
        <w:numId w:val="12"/>
      </w:numPr>
      <w:tabs>
        <w:tab w:val="clear" w:pos="1060"/>
      </w:tabs>
    </w:pPr>
  </w:style>
  <w:style w:type="paragraph" w:customStyle="1" w:styleId="MarginNote">
    <w:name w:val="Margin Note"/>
    <w:basedOn w:val="BodyText"/>
    <w:rsid w:val="00C70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005"/>
    <w:rPr>
      <w:sz w:val="32"/>
    </w:rPr>
  </w:style>
  <w:style w:type="paragraph" w:customStyle="1" w:styleId="HeadingProcedure">
    <w:name w:val="Heading Procedure"/>
    <w:basedOn w:val="HeadingBase"/>
    <w:next w:val="Normal"/>
    <w:rsid w:val="00C70005"/>
    <w:pPr>
      <w:tabs>
        <w:tab w:val="left" w:pos="0"/>
      </w:tabs>
      <w:spacing w:before="120" w:after="60"/>
    </w:pPr>
    <w:rPr>
      <w:i/>
      <w:color w:val="918585"/>
      <w:sz w:val="22"/>
    </w:rPr>
  </w:style>
  <w:style w:type="paragraph" w:customStyle="1" w:styleId="TableBodyText">
    <w:name w:val="Table Body Text"/>
    <w:basedOn w:val="BodyText"/>
    <w:rsid w:val="00C70005"/>
    <w:pPr>
      <w:spacing w:before="60" w:after="60"/>
    </w:pPr>
  </w:style>
  <w:style w:type="paragraph" w:styleId="ListContinue">
    <w:name w:val="List Continue"/>
    <w:basedOn w:val="List"/>
    <w:rsid w:val="00C70005"/>
    <w:pPr>
      <w:ind w:firstLine="0"/>
    </w:pPr>
  </w:style>
  <w:style w:type="paragraph" w:customStyle="1" w:styleId="ListNote">
    <w:name w:val="List Note"/>
    <w:basedOn w:val="List"/>
    <w:rsid w:val="00C70005"/>
    <w:pPr>
      <w:pBdr>
        <w:top w:val="single" w:sz="6" w:space="2" w:color="918585"/>
        <w:bottom w:val="single" w:sz="6" w:space="2" w:color="918585"/>
      </w:pBdr>
      <w:tabs>
        <w:tab w:val="left" w:pos="1021"/>
      </w:tabs>
      <w:ind w:firstLine="0"/>
    </w:pPr>
  </w:style>
  <w:style w:type="paragraph" w:customStyle="1" w:styleId="Warning">
    <w:name w:val="Warning"/>
    <w:basedOn w:val="BodyText"/>
    <w:rsid w:val="00C70005"/>
    <w:pPr>
      <w:shd w:val="clear" w:color="auto" w:fill="D9D9D9"/>
      <w:tabs>
        <w:tab w:val="left" w:pos="992"/>
      </w:tabs>
      <w:ind w:left="119" w:right="119"/>
    </w:pPr>
    <w:rPr>
      <w:sz w:val="20"/>
    </w:rPr>
  </w:style>
  <w:style w:type="paragraph" w:customStyle="1" w:styleId="MarginIcons">
    <w:name w:val="Margin Icons"/>
    <w:basedOn w:val="BodyText"/>
    <w:rsid w:val="00C70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005"/>
    <w:rPr>
      <w:rFonts w:ascii="Courier New" w:hAnsi="Courier New"/>
    </w:rPr>
  </w:style>
  <w:style w:type="paragraph" w:customStyle="1" w:styleId="NoteBullet">
    <w:name w:val="Note Bullet"/>
    <w:basedOn w:val="Note"/>
    <w:rsid w:val="00C70005"/>
    <w:pPr>
      <w:tabs>
        <w:tab w:val="clear" w:pos="680"/>
      </w:tabs>
      <w:spacing w:before="60" w:after="60"/>
    </w:pPr>
  </w:style>
  <w:style w:type="paragraph" w:customStyle="1" w:styleId="SubHeading2">
    <w:name w:val="SubHeading2"/>
    <w:basedOn w:val="HeadingBase"/>
    <w:rsid w:val="00C70005"/>
    <w:pPr>
      <w:spacing w:before="240" w:after="60"/>
    </w:pPr>
    <w:rPr>
      <w:sz w:val="20"/>
    </w:rPr>
  </w:style>
  <w:style w:type="paragraph" w:customStyle="1" w:styleId="SubHeading1">
    <w:name w:val="SubHeading1"/>
    <w:basedOn w:val="HeadingBase"/>
    <w:rsid w:val="00C70005"/>
    <w:pPr>
      <w:spacing w:before="240" w:after="60"/>
    </w:pPr>
    <w:rPr>
      <w:color w:val="918585"/>
      <w:sz w:val="22"/>
    </w:rPr>
  </w:style>
  <w:style w:type="paragraph" w:customStyle="1" w:styleId="SideHeading">
    <w:name w:val="Side Heading"/>
    <w:basedOn w:val="HeadingBase"/>
    <w:rsid w:val="00C70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005"/>
    <w:pPr>
      <w:numPr>
        <w:numId w:val="13"/>
      </w:numPr>
    </w:pPr>
  </w:style>
  <w:style w:type="paragraph" w:styleId="PlainText">
    <w:name w:val="Plain Text"/>
    <w:basedOn w:val="Normal"/>
    <w:link w:val="PlainTextChar"/>
    <w:rsid w:val="00C70005"/>
    <w:rPr>
      <w:sz w:val="20"/>
    </w:rPr>
  </w:style>
  <w:style w:type="character" w:customStyle="1" w:styleId="PlainTextChar">
    <w:name w:val="Plain Text Char"/>
    <w:basedOn w:val="DefaultParagraphFont"/>
    <w:link w:val="PlainText"/>
    <w:rsid w:val="00C70005"/>
    <w:rPr>
      <w:rFonts w:ascii="Courier New" w:eastAsia="Times New Roman" w:hAnsi="Courier New" w:cs="Times New Roman"/>
      <w:sz w:val="20"/>
      <w:szCs w:val="20"/>
      <w:lang w:eastAsia="en-US"/>
    </w:rPr>
  </w:style>
  <w:style w:type="character" w:customStyle="1" w:styleId="MenuOption">
    <w:name w:val="Menu Option"/>
    <w:basedOn w:val="DefaultParagraphFont"/>
    <w:rsid w:val="00C70005"/>
    <w:rPr>
      <w:b/>
      <w:smallCaps/>
    </w:rPr>
  </w:style>
  <w:style w:type="paragraph" w:customStyle="1" w:styleId="TableListNumber">
    <w:name w:val="Table List Number"/>
    <w:basedOn w:val="ListNumber"/>
    <w:rsid w:val="00C70005"/>
    <w:pPr>
      <w:numPr>
        <w:numId w:val="0"/>
      </w:numPr>
    </w:pPr>
  </w:style>
  <w:style w:type="paragraph" w:styleId="TOC4">
    <w:name w:val="toc 4"/>
    <w:basedOn w:val="TOCBase"/>
    <w:next w:val="Normal"/>
    <w:semiHidden/>
    <w:rsid w:val="00C70005"/>
    <w:pPr>
      <w:tabs>
        <w:tab w:val="right" w:leader="dot" w:pos="9071"/>
      </w:tabs>
      <w:ind w:left="1701"/>
    </w:pPr>
  </w:style>
  <w:style w:type="paragraph" w:customStyle="1" w:styleId="ListAlpha">
    <w:name w:val="List Alpha"/>
    <w:basedOn w:val="List"/>
    <w:rsid w:val="00C70005"/>
    <w:pPr>
      <w:numPr>
        <w:numId w:val="11"/>
      </w:numPr>
    </w:pPr>
  </w:style>
  <w:style w:type="paragraph" w:customStyle="1" w:styleId="ListAlpha2">
    <w:name w:val="List Alpha 2"/>
    <w:basedOn w:val="List2"/>
    <w:rsid w:val="00C70005"/>
    <w:pPr>
      <w:numPr>
        <w:numId w:val="10"/>
      </w:numPr>
    </w:pPr>
  </w:style>
  <w:style w:type="paragraph" w:styleId="List2">
    <w:name w:val="List 2"/>
    <w:basedOn w:val="BodyText"/>
    <w:rsid w:val="00C70005"/>
    <w:pPr>
      <w:tabs>
        <w:tab w:val="left" w:pos="680"/>
      </w:tabs>
      <w:spacing w:before="60" w:after="60"/>
      <w:ind w:left="680" w:hanging="340"/>
    </w:pPr>
  </w:style>
  <w:style w:type="paragraph" w:styleId="List3">
    <w:name w:val="List 3"/>
    <w:basedOn w:val="BodyText"/>
    <w:rsid w:val="00C70005"/>
    <w:pPr>
      <w:tabs>
        <w:tab w:val="left" w:pos="1021"/>
      </w:tabs>
      <w:spacing w:before="60" w:after="60"/>
      <w:ind w:left="1020" w:hanging="340"/>
    </w:pPr>
  </w:style>
  <w:style w:type="paragraph" w:styleId="List4">
    <w:name w:val="List 4"/>
    <w:basedOn w:val="BodyText"/>
    <w:rsid w:val="00C70005"/>
    <w:pPr>
      <w:tabs>
        <w:tab w:val="left" w:pos="1361"/>
      </w:tabs>
      <w:spacing w:before="60" w:after="60"/>
      <w:ind w:left="1361" w:hanging="340"/>
    </w:pPr>
  </w:style>
  <w:style w:type="paragraph" w:styleId="List5">
    <w:name w:val="List 5"/>
    <w:basedOn w:val="BodyText"/>
    <w:rsid w:val="00C70005"/>
    <w:pPr>
      <w:tabs>
        <w:tab w:val="left" w:pos="1701"/>
      </w:tabs>
      <w:spacing w:before="60" w:after="60"/>
      <w:ind w:left="1701" w:hanging="340"/>
    </w:pPr>
  </w:style>
  <w:style w:type="paragraph" w:styleId="ListBullet5">
    <w:name w:val="List Bullet 5"/>
    <w:basedOn w:val="List5"/>
    <w:rsid w:val="00C70005"/>
    <w:pPr>
      <w:numPr>
        <w:numId w:val="6"/>
      </w:numPr>
    </w:pPr>
  </w:style>
  <w:style w:type="paragraph" w:styleId="ListContinue2">
    <w:name w:val="List Continue 2"/>
    <w:basedOn w:val="List2"/>
    <w:rsid w:val="00C70005"/>
    <w:pPr>
      <w:ind w:firstLine="0"/>
    </w:pPr>
  </w:style>
  <w:style w:type="paragraph" w:styleId="ListContinue3">
    <w:name w:val="List Continue 3"/>
    <w:basedOn w:val="List3"/>
    <w:rsid w:val="00C70005"/>
    <w:pPr>
      <w:ind w:left="1021" w:firstLine="0"/>
    </w:pPr>
  </w:style>
  <w:style w:type="paragraph" w:styleId="ListContinue4">
    <w:name w:val="List Continue 4"/>
    <w:basedOn w:val="List4"/>
    <w:rsid w:val="00C70005"/>
    <w:pPr>
      <w:ind w:firstLine="0"/>
    </w:pPr>
  </w:style>
  <w:style w:type="paragraph" w:styleId="ListContinue5">
    <w:name w:val="List Continue 5"/>
    <w:basedOn w:val="List5"/>
    <w:rsid w:val="00C70005"/>
    <w:pPr>
      <w:ind w:firstLine="0"/>
    </w:pPr>
  </w:style>
  <w:style w:type="paragraph" w:styleId="ListNumber3">
    <w:name w:val="List Number 3"/>
    <w:basedOn w:val="List3"/>
    <w:rsid w:val="00C70005"/>
    <w:pPr>
      <w:numPr>
        <w:numId w:val="7"/>
      </w:numPr>
    </w:pPr>
  </w:style>
  <w:style w:type="paragraph" w:styleId="ListNumber4">
    <w:name w:val="List Number 4"/>
    <w:basedOn w:val="List4"/>
    <w:rsid w:val="00C70005"/>
    <w:pPr>
      <w:numPr>
        <w:numId w:val="8"/>
      </w:numPr>
    </w:pPr>
  </w:style>
  <w:style w:type="paragraph" w:styleId="ListNumber5">
    <w:name w:val="List Number 5"/>
    <w:basedOn w:val="List5"/>
    <w:rsid w:val="00C70005"/>
    <w:pPr>
      <w:numPr>
        <w:numId w:val="9"/>
      </w:numPr>
    </w:pPr>
  </w:style>
  <w:style w:type="paragraph" w:styleId="BlockText">
    <w:name w:val="Block Text"/>
    <w:basedOn w:val="Normal"/>
    <w:rsid w:val="00C70005"/>
    <w:pPr>
      <w:spacing w:after="120"/>
      <w:ind w:left="1440" w:right="1440"/>
    </w:pPr>
  </w:style>
  <w:style w:type="character" w:customStyle="1" w:styleId="Subscript">
    <w:name w:val="Subscript"/>
    <w:basedOn w:val="DefaultParagraphFont"/>
    <w:rsid w:val="00C70005"/>
    <w:rPr>
      <w:sz w:val="16"/>
      <w:vertAlign w:val="subscript"/>
    </w:rPr>
  </w:style>
  <w:style w:type="character" w:customStyle="1" w:styleId="Superscript">
    <w:name w:val="Superscript"/>
    <w:basedOn w:val="DefaultParagraphFont"/>
    <w:rsid w:val="00C70005"/>
    <w:rPr>
      <w:sz w:val="16"/>
      <w:vertAlign w:val="superscript"/>
    </w:rPr>
  </w:style>
  <w:style w:type="character" w:customStyle="1" w:styleId="Symbols">
    <w:name w:val="Symbols"/>
    <w:basedOn w:val="DefaultParagraphFont"/>
    <w:rsid w:val="00C70005"/>
    <w:rPr>
      <w:rFonts w:ascii="Symbol" w:hAnsi="Symbol"/>
    </w:rPr>
  </w:style>
  <w:style w:type="character" w:customStyle="1" w:styleId="MenuOptions">
    <w:name w:val="Menu Options"/>
    <w:basedOn w:val="DefaultParagraphFont"/>
    <w:rsid w:val="00C70005"/>
    <w:rPr>
      <w:rFonts w:ascii="Arial Narrow" w:hAnsi="Arial Narrow"/>
      <w:smallCaps/>
    </w:rPr>
  </w:style>
  <w:style w:type="character" w:customStyle="1" w:styleId="Buttons">
    <w:name w:val="Buttons"/>
    <w:basedOn w:val="DefaultParagraphFont"/>
    <w:rsid w:val="00C70005"/>
    <w:rPr>
      <w:b/>
    </w:rPr>
  </w:style>
  <w:style w:type="character" w:customStyle="1" w:styleId="Underlined">
    <w:name w:val="Underlined"/>
    <w:basedOn w:val="DefaultParagraphFont"/>
    <w:rsid w:val="00C70005"/>
    <w:rPr>
      <w:u w:val="single"/>
    </w:rPr>
  </w:style>
  <w:style w:type="paragraph" w:customStyle="1" w:styleId="TableBodyTextRight">
    <w:name w:val="Table Body Text Right"/>
    <w:basedOn w:val="TableBodyText"/>
    <w:rsid w:val="00C70005"/>
    <w:pPr>
      <w:widowControl w:val="0"/>
      <w:autoSpaceDE w:val="0"/>
      <w:autoSpaceDN w:val="0"/>
      <w:adjustRightInd w:val="0"/>
      <w:jc w:val="right"/>
    </w:pPr>
    <w:rPr>
      <w:rFonts w:cs="Arial"/>
      <w:szCs w:val="18"/>
    </w:rPr>
  </w:style>
  <w:style w:type="paragraph" w:customStyle="1" w:styleId="CopyrightText">
    <w:name w:val="Copyright Text"/>
    <w:basedOn w:val="BodyText"/>
    <w:rsid w:val="00C70005"/>
    <w:rPr>
      <w:sz w:val="18"/>
    </w:rPr>
  </w:style>
  <w:style w:type="paragraph" w:customStyle="1" w:styleId="BodySmallRight">
    <w:name w:val="Body Small Right"/>
    <w:basedOn w:val="BodyTextRight"/>
    <w:rsid w:val="00C70005"/>
    <w:rPr>
      <w:sz w:val="18"/>
      <w:szCs w:val="18"/>
    </w:rPr>
  </w:style>
  <w:style w:type="paragraph" w:customStyle="1" w:styleId="MarginEdition">
    <w:name w:val="Margin Edition"/>
    <w:basedOn w:val="MarginNote"/>
    <w:rsid w:val="00C70005"/>
    <w:pPr>
      <w:spacing w:before="0" w:after="0"/>
    </w:pPr>
    <w:rPr>
      <w:rFonts w:ascii="Times New Roman" w:hAnsi="Times New Roman"/>
      <w:color w:val="999999"/>
    </w:rPr>
  </w:style>
  <w:style w:type="paragraph" w:customStyle="1" w:styleId="Spacer">
    <w:name w:val="Spacer"/>
    <w:basedOn w:val="Normal"/>
    <w:rsid w:val="00C70005"/>
    <w:rPr>
      <w:sz w:val="2"/>
      <w:szCs w:val="2"/>
    </w:rPr>
  </w:style>
  <w:style w:type="character" w:customStyle="1" w:styleId="Small">
    <w:name w:val="Small"/>
    <w:basedOn w:val="DefaultParagraphFont"/>
    <w:rsid w:val="00C70005"/>
    <w:rPr>
      <w:sz w:val="16"/>
    </w:rPr>
  </w:style>
  <w:style w:type="paragraph" w:customStyle="1" w:styleId="WideTable">
    <w:name w:val="Wide Table"/>
    <w:basedOn w:val="Normal"/>
    <w:rsid w:val="00C70005"/>
    <w:pPr>
      <w:ind w:left="-1418"/>
    </w:pPr>
    <w:rPr>
      <w:sz w:val="2"/>
      <w:szCs w:val="2"/>
    </w:rPr>
  </w:style>
  <w:style w:type="character" w:styleId="PageNumber">
    <w:name w:val="page number"/>
    <w:basedOn w:val="DefaultParagraphFont"/>
    <w:rsid w:val="00C70005"/>
  </w:style>
  <w:style w:type="paragraph" w:styleId="Quote">
    <w:name w:val="Quote"/>
    <w:basedOn w:val="Heading1"/>
    <w:link w:val="QuoteChar"/>
    <w:qFormat/>
    <w:rsid w:val="00C70005"/>
    <w:rPr>
      <w:b w:val="0"/>
      <w:sz w:val="72"/>
      <w:szCs w:val="72"/>
      <w:lang w:val="en-NZ"/>
    </w:rPr>
  </w:style>
  <w:style w:type="character" w:customStyle="1" w:styleId="QuoteChar">
    <w:name w:val="Quote Char"/>
    <w:basedOn w:val="DefaultParagraphFont"/>
    <w:link w:val="Quote"/>
    <w:rsid w:val="00C70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005"/>
    <w:pPr>
      <w:pageBreakBefore/>
    </w:pPr>
  </w:style>
  <w:style w:type="paragraph" w:customStyle="1" w:styleId="Border">
    <w:name w:val="Border"/>
    <w:basedOn w:val="Normal"/>
    <w:qFormat/>
    <w:rsid w:val="00C70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005"/>
    <w:rPr>
      <w:b/>
      <w:bCs/>
      <w:i/>
      <w:iCs/>
      <w:color w:val="auto"/>
    </w:rPr>
  </w:style>
  <w:style w:type="paragraph" w:styleId="IntenseQuote">
    <w:name w:val="Intense Quote"/>
    <w:basedOn w:val="Normal"/>
    <w:next w:val="Normal"/>
    <w:link w:val="IntenseQuoteChar"/>
    <w:uiPriority w:val="30"/>
    <w:qFormat/>
    <w:rsid w:val="00C70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005"/>
    <w:rPr>
      <w:smallCaps/>
      <w:color w:val="auto"/>
      <w:u w:val="single"/>
    </w:rPr>
  </w:style>
  <w:style w:type="character" w:styleId="IntenseReference">
    <w:name w:val="Intense Reference"/>
    <w:basedOn w:val="DefaultParagraphFont"/>
    <w:uiPriority w:val="32"/>
    <w:qFormat/>
    <w:rsid w:val="00C70005"/>
    <w:rPr>
      <w:b/>
      <w:bCs/>
      <w:smallCaps/>
      <w:color w:val="auto"/>
      <w:spacing w:val="5"/>
      <w:u w:val="single"/>
    </w:rPr>
  </w:style>
  <w:style w:type="paragraph" w:customStyle="1" w:styleId="2ColumnHeading">
    <w:name w:val="2Column Heading"/>
    <w:basedOn w:val="BodyText"/>
    <w:qFormat/>
    <w:rsid w:val="00C70005"/>
    <w:pPr>
      <w:spacing w:after="60"/>
      <w:ind w:left="-2268"/>
    </w:pPr>
    <w:rPr>
      <w:b/>
    </w:rPr>
  </w:style>
  <w:style w:type="paragraph" w:customStyle="1" w:styleId="Heading1TOC">
    <w:name w:val="Heading1 TOC"/>
    <w:basedOn w:val="Normal"/>
    <w:qFormat/>
    <w:rsid w:val="00C70005"/>
    <w:pPr>
      <w:spacing w:before="240" w:after="120"/>
    </w:pPr>
    <w:rPr>
      <w:rFonts w:ascii="Times New Roman" w:hAnsi="Times New Roman"/>
      <w:b/>
      <w:sz w:val="32"/>
    </w:rPr>
  </w:style>
  <w:style w:type="paragraph" w:customStyle="1" w:styleId="Heading2TOC">
    <w:name w:val="Heading2 TOC"/>
    <w:basedOn w:val="Normal"/>
    <w:qFormat/>
    <w:rsid w:val="00C70005"/>
    <w:pPr>
      <w:spacing w:before="240" w:after="60"/>
    </w:pPr>
    <w:rPr>
      <w:rFonts w:ascii="Times New Roman" w:hAnsi="Times New Roman"/>
      <w:b/>
      <w:sz w:val="28"/>
    </w:rPr>
  </w:style>
  <w:style w:type="character" w:customStyle="1" w:styleId="Underline">
    <w:name w:val="Underline"/>
    <w:basedOn w:val="DefaultParagraphFont"/>
    <w:qFormat/>
    <w:rsid w:val="00C70005"/>
    <w:rPr>
      <w:u w:val="single"/>
    </w:rPr>
  </w:style>
  <w:style w:type="character" w:customStyle="1" w:styleId="BoldandItalics">
    <w:name w:val="Bold and Italics"/>
    <w:qFormat/>
    <w:rsid w:val="00C70005"/>
    <w:rPr>
      <w:b/>
      <w:i/>
      <w:u w:val="none"/>
    </w:rPr>
  </w:style>
  <w:style w:type="paragraph" w:styleId="BalloonText">
    <w:name w:val="Balloon Text"/>
    <w:basedOn w:val="Normal"/>
    <w:link w:val="BalloonTextChar"/>
    <w:rsid w:val="00C70005"/>
    <w:rPr>
      <w:rFonts w:ascii="Tahoma" w:hAnsi="Tahoma" w:cs="Tahoma"/>
      <w:sz w:val="16"/>
      <w:szCs w:val="16"/>
    </w:rPr>
  </w:style>
  <w:style w:type="character" w:customStyle="1" w:styleId="BalloonTextChar">
    <w:name w:val="Balloon Text Char"/>
    <w:basedOn w:val="DefaultParagraphFont"/>
    <w:link w:val="BalloonText"/>
    <w:rsid w:val="00C70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005"/>
    <w:rPr>
      <w:b/>
      <w:color w:val="660033"/>
      <w:spacing w:val="0"/>
    </w:rPr>
  </w:style>
  <w:style w:type="paragraph" w:customStyle="1" w:styleId="Nameditemlist">
    <w:name w:val="Named item list"/>
    <w:basedOn w:val="BodyText"/>
    <w:qFormat/>
    <w:rsid w:val="00C70005"/>
    <w:pPr>
      <w:tabs>
        <w:tab w:val="left" w:pos="2835"/>
      </w:tabs>
      <w:ind w:left="2835" w:hanging="2835"/>
    </w:pPr>
  </w:style>
  <w:style w:type="paragraph" w:customStyle="1" w:styleId="BodyTextnopadding">
    <w:name w:val="Body Text no padding"/>
    <w:basedOn w:val="BodyText"/>
    <w:qFormat/>
    <w:rsid w:val="00C70005"/>
    <w:pPr>
      <w:spacing w:before="0" w:after="0"/>
    </w:pPr>
  </w:style>
  <w:style w:type="paragraph" w:customStyle="1" w:styleId="BodyTextBold">
    <w:name w:val="Body Text Bold"/>
    <w:basedOn w:val="BodyText"/>
    <w:qFormat/>
    <w:rsid w:val="00C70005"/>
    <w:rPr>
      <w:b/>
    </w:rPr>
  </w:style>
  <w:style w:type="character" w:styleId="Hyperlink">
    <w:name w:val="Hyperlink"/>
    <w:basedOn w:val="DefaultParagraphFont"/>
    <w:uiPriority w:val="99"/>
    <w:unhideWhenUsed/>
    <w:rsid w:val="00D02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7342</Characters>
  <Application>Microsoft Office Word</Application>
  <DocSecurity>0</DocSecurity>
  <Lines>293</Lines>
  <Paragraphs>205</Paragraphs>
  <ScaleCrop>false</ScaleCrop>
  <Company>Author-it Software Corporation Ltd.</Company>
  <LinksUpToDate>false</LinksUpToDate>
  <CharactersWithSpaces>8235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CPCSFS5009 Create detailed designs for fire systems' water supplies</dc:title>
  <dc:subject>Approved</dc:subject>
  <dc:creator>BuildSkills Australia</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