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EBD" w:rsidP="00012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CPCPWT4022 Commission and maintain backflow prevention devices</w:t>
      </w:r>
      <w:r>
        <w:fldChar w:fldCharType="end"/>
      </w:r>
    </w:p>
    <w:p w:rsidR="00012EBD" w:rsidP="00012EBD">
      <w:pPr>
        <w:pStyle w:val="Version"/>
        <w:sectPr w:rsidSect="00017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B77" w:rsidP="00017B77">
      <w:pPr>
        <w:pStyle w:val="SuperHeading"/>
      </w:pPr>
      <w:r w:rsidRPr="00017B77">
        <w:t>CPCPWT4022 Commission and maintain backflow prevention devices</w:t>
      </w:r>
    </w:p>
    <w:p w:rsidR="00000000" w:rsidRPr="00017B77" w:rsidP="00017B77">
      <w:pPr>
        <w:pStyle w:val="Heading1"/>
      </w:pPr>
      <w:bookmarkStart w:id="1" w:name="O_1136372"/>
      <w:bookmarkEnd w:id="1"/>
      <w:r w:rsidRPr="00017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B77" w:rsidP="00017B77">
            <w:pPr>
              <w:pStyle w:val="BodyText"/>
            </w:pPr>
            <w:r w:rsidRPr="00017B77">
              <w:t>This version first released with CPC Construction, Plumbing and Services Training Package Release 5.0.</w:t>
            </w:r>
          </w:p>
          <w:p w:rsidR="00000000" w:rsidRPr="00017B77" w:rsidP="00017B77">
            <w:pPr>
              <w:pStyle w:val="BodyText"/>
            </w:pPr>
            <w:r w:rsidRPr="00017B77">
              <w:t>Supersedes and is equivalent to CPCPWT4022A Commission and maintain backflow prevention devices.  Updated to meet the Standards for Training Packages 2012.</w:t>
            </w:r>
          </w:p>
        </w:tc>
      </w:tr>
    </w:tbl>
    <w:p w:rsidR="00000000" w:rsidRPr="00017B77" w:rsidP="00017B77">
      <w:pPr>
        <w:pStyle w:val="BodyText"/>
      </w:pP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2" w:name="O_1136378"/>
      <w:bookmarkEnd w:id="2"/>
      <w:r w:rsidRPr="00017B77">
        <w:t>Application</w:t>
      </w:r>
    </w:p>
    <w:p w:rsidR="00000000" w:rsidRPr="00017B77" w:rsidP="00012EBD">
      <w:pPr>
        <w:pStyle w:val="BodyText"/>
      </w:pPr>
      <w:r w:rsidRPr="00017B77">
        <w:t>This unit specifies the skills and knowledge required to test, comm</w:t>
      </w:r>
      <w:r w:rsidRPr="00017B77">
        <w:t>ission and maintain backflow prevention devices in water services.</w:t>
      </w:r>
    </w:p>
    <w:p w:rsidR="00000000" w:rsidRPr="00017B77" w:rsidP="00012EBD">
      <w:pPr>
        <w:pStyle w:val="BodyText"/>
      </w:pPr>
      <w:r w:rsidRPr="00017B77">
        <w:t xml:space="preserve">In some jurisdictions, this unit of competency may form part of accreditation, licensing, legislative, regulatory or certification requirements. </w:t>
      </w:r>
    </w:p>
    <w:p w:rsidR="00000000" w:rsidRPr="00017B77" w:rsidP="00017B77">
      <w:pPr>
        <w:pStyle w:val="Heading1"/>
      </w:pPr>
      <w:bookmarkStart w:id="3" w:name="O_1136377"/>
      <w:bookmarkEnd w:id="3"/>
      <w:r w:rsidRPr="00017B7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CPCPC</w:t>
            </w:r>
            <w:r w:rsidRPr="00017B77">
              <w:t>M2043 Carry out WHS requirements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B77" w:rsidP="00017B77">
            <w:pPr>
              <w:pStyle w:val="BodyText"/>
            </w:pPr>
            <w:r w:rsidRPr="00017B77">
              <w:t>CPCPWT3027 Install backflow prevention devices</w:t>
            </w:r>
          </w:p>
        </w:tc>
      </w:tr>
    </w:tbl>
    <w:p w:rsidR="00000000" w:rsidRPr="00017B77" w:rsidP="00017B77">
      <w:pPr>
        <w:pStyle w:val="BodyText"/>
      </w:pP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4" w:name="O_1136376"/>
      <w:bookmarkEnd w:id="4"/>
      <w:r w:rsidRPr="00017B77">
        <w:t>Unit Sector</w:t>
      </w:r>
    </w:p>
    <w:p w:rsidR="00000000" w:rsidRPr="00017B77" w:rsidP="00012EBD">
      <w:pPr>
        <w:pStyle w:val="BodyText"/>
      </w:pPr>
      <w:r w:rsidRPr="00017B77">
        <w:t>Plumbing and Fire Services</w:t>
      </w:r>
    </w:p>
    <w:p w:rsidR="00000000" w:rsidRPr="00017B77" w:rsidP="00017B77">
      <w:pPr>
        <w:pStyle w:val="Heading1"/>
      </w:pPr>
      <w:bookmarkStart w:id="5" w:name="O_1136375"/>
      <w:bookmarkEnd w:id="5"/>
      <w:r w:rsidRPr="00017B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Performance criteria describe what needs to be done to demonstrate achievement of the element.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Identify testing, commissioning and maintenance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Access, read and determine backflow prevention device testing, commissioning and maintenance requirements from job specifications, relevant Australian Standards, codes, manufacturers’ instructions and jurisdictional requirements.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Obtain, interpret a</w:t>
            </w:r>
            <w:r w:rsidRPr="00017B77">
              <w:t>nd follow workplace, work health and safety (WHS) and environmental requirements.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Create a materials list and collect materials.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Select appropriate tools and equipment including personal protective equipment (PPE).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Commission and maintain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Commission and maintain devices in compliance with manufacturers’ instructions, relevant Australian Standards and jurisdictional requirements.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Complete documentation according to regulatory requirements.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Clear the work area and dispose of, reuse or recycle materials in accordance with state or territory legislation and workplace requirements.</w:t>
            </w:r>
          </w:p>
        </w:tc>
      </w:tr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B77" w:rsidP="00017B77">
            <w:pPr>
              <w:pStyle w:val="BodyText"/>
            </w:pPr>
            <w:r w:rsidRPr="00017B77">
              <w:t>Clean tools and equipment, check for serviceability and report any damage, and store and secure.</w:t>
            </w:r>
          </w:p>
        </w:tc>
      </w:tr>
    </w:tbl>
    <w:p w:rsidR="00000000" w:rsidRPr="00017B77" w:rsidP="00017B77">
      <w:pPr>
        <w:pStyle w:val="BodyText"/>
      </w:pP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6" w:name="O_1136374"/>
      <w:bookmarkEnd w:id="6"/>
      <w:r w:rsidRPr="00017B77">
        <w:t>Foundation Skills</w:t>
      </w:r>
    </w:p>
    <w:p w:rsidR="00000000" w:rsidRPr="00017B77" w:rsidP="00012EBD">
      <w:pPr>
        <w:pStyle w:val="BodyText"/>
      </w:pPr>
      <w:r w:rsidRPr="00017B77">
        <w:t xml:space="preserve">Foundation skills essential to performance are explicit in the performance criteria of this unit of competency. </w:t>
      </w:r>
    </w:p>
    <w:p w:rsidR="00000000" w:rsidRPr="00017B77" w:rsidP="00017B77">
      <w:pPr>
        <w:pStyle w:val="Heading1"/>
      </w:pPr>
      <w:bookmarkStart w:id="7" w:name="O_1136373"/>
      <w:bookmarkEnd w:id="7"/>
      <w:r w:rsidRPr="00017B77">
        <w:t>Unit Mapping Information</w:t>
      </w:r>
    </w:p>
    <w:p w:rsidR="00000000" w:rsidRPr="00017B77" w:rsidP="00012EBD">
      <w:pPr>
        <w:pStyle w:val="BodyText"/>
      </w:pPr>
      <w:r w:rsidRPr="00017B77">
        <w:t>Supersedes and is equivalent to CPCPWT4022A Commission and maintain backflow prevention devices.</w:t>
      </w:r>
    </w:p>
    <w:p w:rsidR="00000000" w:rsidRPr="00017B77" w:rsidP="00017B77">
      <w:pPr>
        <w:pStyle w:val="Heading1"/>
      </w:pPr>
      <w:bookmarkStart w:id="8" w:name="O_1136366"/>
      <w:bookmarkEnd w:id="8"/>
      <w:r w:rsidRPr="00017B77">
        <w:t>Links</w:t>
      </w:r>
    </w:p>
    <w:p w:rsidR="00000000" w:rsidRPr="00017B77" w:rsidP="00012EBD">
      <w:pPr>
        <w:pStyle w:val="BodyText"/>
      </w:pPr>
      <w:r w:rsidRPr="00017B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01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7B77" w:rsidP="00012EBD">
      <w:pPr>
        <w:pStyle w:val="BodyText"/>
        <w:sectPr w:rsidSect="00017B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B77" w:rsidP="00017B77">
      <w:pPr>
        <w:pStyle w:val="SuperHeading"/>
      </w:pPr>
      <w:r w:rsidRPr="00017B77">
        <w:t>Assessment Requirements for CPCPWT4022 Commission and maintain backflow prevention devices</w:t>
      </w:r>
    </w:p>
    <w:p w:rsidR="00000000" w:rsidRPr="00017B77" w:rsidP="00017B77">
      <w:pPr>
        <w:pStyle w:val="Heading1"/>
      </w:pPr>
      <w:bookmarkStart w:id="9" w:name="O_1136368"/>
      <w:bookmarkEnd w:id="9"/>
      <w:r w:rsidRPr="00017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1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B77">
            <w:pPr>
              <w:pStyle w:val="BodyText"/>
              <w:rPr>
                <w:lang w:val="en-NZ"/>
              </w:rPr>
            </w:pPr>
            <w:r w:rsidRPr="00017B77">
              <w:t>Release</w:t>
            </w:r>
            <w:r w:rsidRPr="00017B77">
              <w:t xml:space="preserve">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B77" w:rsidP="00017B77">
            <w:pPr>
              <w:pStyle w:val="BodyText"/>
            </w:pPr>
            <w:r w:rsidRPr="00017B77">
              <w:t>This version first released with CPC Construction, Plumbing and Services Training Package Release 5.0.</w:t>
            </w:r>
          </w:p>
          <w:p w:rsidR="00000000" w:rsidRPr="00017B77" w:rsidP="00017B77">
            <w:pPr>
              <w:pStyle w:val="BodyText"/>
            </w:pPr>
            <w:r w:rsidRPr="00017B77">
              <w:t xml:space="preserve">Supersedes and is equivalent to CPCPWT4022A Commission and maintain backflow prevention devices.  Updated to meet the Standards for Training Packages </w:t>
            </w:r>
            <w:r w:rsidRPr="00017B77">
              <w:t>2012.</w:t>
            </w:r>
          </w:p>
        </w:tc>
      </w:tr>
    </w:tbl>
    <w:p w:rsidR="00000000" w:rsidRPr="00017B77" w:rsidP="00017B77">
      <w:pPr>
        <w:pStyle w:val="BodyText"/>
      </w:pP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10" w:name="O_1136371"/>
      <w:bookmarkEnd w:id="10"/>
      <w:r w:rsidRPr="00017B77">
        <w:t>Performance Evidence</w:t>
      </w:r>
    </w:p>
    <w:p w:rsidR="00000000" w:rsidRPr="00017B77" w:rsidP="00012EBD">
      <w:pPr>
        <w:pStyle w:val="BodyText"/>
      </w:pPr>
      <w:r w:rsidRPr="00017B77">
        <w:t>To demonstrate competency, a candidate must meet the performance criteria for this unit by:</w:t>
      </w:r>
    </w:p>
    <w:p w:rsidR="00000000" w:rsidRPr="00017B77" w:rsidP="00017B77">
      <w:pPr>
        <w:pStyle w:val="ListBullet"/>
      </w:pPr>
      <w:r w:rsidRPr="00017B77">
        <w:t>testing and commissioning the following backflow prevention devices:</w:t>
      </w:r>
    </w:p>
    <w:p w:rsidR="00000000" w:rsidRPr="00017B77" w:rsidP="00017B77">
      <w:pPr>
        <w:pStyle w:val="ListBullet2"/>
      </w:pPr>
      <w:r w:rsidRPr="00017B77">
        <w:t>three different double check valves</w:t>
      </w:r>
    </w:p>
    <w:p w:rsidR="00000000" w:rsidRPr="00017B77" w:rsidP="00017B77">
      <w:pPr>
        <w:pStyle w:val="ListBullet2"/>
      </w:pPr>
      <w:r w:rsidRPr="00017B77">
        <w:t>one single (testable) check valve</w:t>
      </w:r>
    </w:p>
    <w:p w:rsidR="00000000" w:rsidRPr="00017B77" w:rsidP="00017B77">
      <w:pPr>
        <w:pStyle w:val="ListBullet2"/>
      </w:pPr>
      <w:r w:rsidRPr="00017B77">
        <w:t>two different registered air gaps (including different orifice sizes and inlet pressures)</w:t>
      </w:r>
    </w:p>
    <w:p w:rsidR="00000000" w:rsidRPr="00017B77" w:rsidP="00017B77">
      <w:pPr>
        <w:pStyle w:val="ListBullet2"/>
      </w:pPr>
      <w:r w:rsidRPr="00017B77">
        <w:t>three different reduced pressure zone devices</w:t>
      </w:r>
    </w:p>
    <w:p w:rsidR="00000000" w:rsidRPr="00017B77" w:rsidP="00017B77">
      <w:pPr>
        <w:pStyle w:val="ListBullet"/>
      </w:pPr>
      <w:r w:rsidRPr="00017B77">
        <w:t xml:space="preserve">removing and maintaining: </w:t>
      </w:r>
    </w:p>
    <w:p w:rsidR="00000000" w:rsidRPr="00017B77" w:rsidP="00017B77">
      <w:pPr>
        <w:pStyle w:val="ListBullet2"/>
      </w:pPr>
      <w:r w:rsidRPr="00017B77">
        <w:t>one double check valve</w:t>
      </w:r>
    </w:p>
    <w:p w:rsidR="00000000" w:rsidRPr="00017B77" w:rsidP="00017B77">
      <w:pPr>
        <w:pStyle w:val="ListBullet2"/>
      </w:pPr>
      <w:r w:rsidRPr="00017B77">
        <w:t>one reduced pressure zone device.</w:t>
      </w: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11" w:name="O_1136370"/>
      <w:bookmarkEnd w:id="11"/>
      <w:r w:rsidRPr="00017B77">
        <w:t>Knowledge Evidence</w:t>
      </w:r>
    </w:p>
    <w:p w:rsidR="00000000" w:rsidRPr="00017B77" w:rsidP="00012EBD">
      <w:pPr>
        <w:pStyle w:val="BodyText"/>
      </w:pPr>
      <w:r w:rsidRPr="00017B77">
        <w:t>To be competent in this unit, a person must demonstrate knowledge of:</w:t>
      </w:r>
    </w:p>
    <w:p w:rsidR="00000000" w:rsidRPr="00017B77" w:rsidP="00017B77">
      <w:pPr>
        <w:pStyle w:val="ListBullet"/>
      </w:pPr>
      <w:r w:rsidRPr="00017B77">
        <w:t>basic hydraulics and mechanics relevant to backflow prevention devices in water services</w:t>
      </w:r>
    </w:p>
    <w:p w:rsidR="00000000" w:rsidRPr="00017B77" w:rsidP="00017B77">
      <w:pPr>
        <w:pStyle w:val="ListBullet"/>
      </w:pPr>
      <w:r w:rsidRPr="00017B77">
        <w:t>process of testing, commissioning and maintaining backflow</w:t>
      </w:r>
      <w:r w:rsidRPr="00017B77">
        <w:t xml:space="preserve"> prevention devices</w:t>
      </w:r>
    </w:p>
    <w:p w:rsidR="00000000" w:rsidRPr="00017B77" w:rsidP="00017B77">
      <w:pPr>
        <w:pStyle w:val="ListBullet"/>
      </w:pPr>
      <w:r w:rsidRPr="00017B77">
        <w:t>properties of water, including pressure and flow rates</w:t>
      </w:r>
    </w:p>
    <w:p w:rsidR="00000000" w:rsidRPr="00017B77" w:rsidP="00017B77">
      <w:pPr>
        <w:pStyle w:val="ListBullet"/>
      </w:pPr>
      <w:r w:rsidRPr="00017B77">
        <w:t>types of backflow prevention devices</w:t>
      </w:r>
    </w:p>
    <w:p w:rsidR="00000000" w:rsidRPr="00017B77" w:rsidP="00017B77">
      <w:pPr>
        <w:pStyle w:val="ListBullet"/>
      </w:pPr>
      <w:r w:rsidRPr="00017B77">
        <w:t>electrical safety</w:t>
      </w:r>
    </w:p>
    <w:p w:rsidR="00000000" w:rsidRPr="00017B77" w:rsidP="00017B77">
      <w:pPr>
        <w:pStyle w:val="ListBullet"/>
      </w:pPr>
      <w:r w:rsidRPr="00017B77">
        <w:t>how to access relevant information, including codes and standards</w:t>
      </w:r>
    </w:p>
    <w:p w:rsidR="00000000" w:rsidRPr="00017B77" w:rsidP="00017B77">
      <w:pPr>
        <w:pStyle w:val="ListBullet"/>
      </w:pPr>
      <w:r w:rsidRPr="00017B77">
        <w:t>tools, materials and equipment used to test, commission and maintain backflow prevention devices in water services</w:t>
      </w:r>
    </w:p>
    <w:p w:rsidR="00000000" w:rsidRPr="00017B77" w:rsidP="00017B77">
      <w:pPr>
        <w:pStyle w:val="ListBullet"/>
      </w:pPr>
      <w:r w:rsidRPr="00017B77">
        <w:t>work health and safety (WHS) requirements for testing, commissioning and maintaining backflow prevention devices in water services.</w:t>
      </w:r>
    </w:p>
    <w:p w:rsidR="00000000" w:rsidRPr="00017B77" w:rsidP="00017B77">
      <w:pPr>
        <w:pStyle w:val="AllowPageBreak"/>
      </w:pPr>
    </w:p>
    <w:p w:rsidR="00000000" w:rsidRPr="00017B77" w:rsidP="00017B77">
      <w:pPr>
        <w:pStyle w:val="Heading1"/>
      </w:pPr>
      <w:bookmarkStart w:id="12" w:name="O_1136369"/>
      <w:bookmarkEnd w:id="12"/>
      <w:r w:rsidRPr="00017B77">
        <w:t>Assessment Conditions</w:t>
      </w:r>
    </w:p>
    <w:p w:rsidR="00000000" w:rsidRPr="00017B77" w:rsidP="00012EBD">
      <w:pPr>
        <w:pStyle w:val="BodyText"/>
      </w:pPr>
      <w:r w:rsidRPr="00017B77">
        <w:t>Assessors must meet the requirements for assessors contained in the Standards for Registered Training Organisations.</w:t>
      </w:r>
    </w:p>
    <w:p w:rsidR="00000000" w:rsidRPr="00017B77" w:rsidP="00012EBD">
      <w:pPr>
        <w:pStyle w:val="BodyText"/>
      </w:pPr>
      <w:r w:rsidRPr="00017B77">
        <w:t>This unit must be assessed in the workplace or a close simulation using realistic workplace conditions, mat</w:t>
      </w:r>
      <w:r w:rsidRPr="00017B77">
        <w:t>erials, activities, responsibilities, procedures, safety requirements and environmental considerations.</w:t>
      </w:r>
    </w:p>
    <w:p w:rsidR="00000000" w:rsidRPr="00017B77" w:rsidP="00017B77">
      <w:pPr>
        <w:pStyle w:val="Heading1"/>
      </w:pPr>
      <w:bookmarkStart w:id="13" w:name="O_1136367"/>
      <w:bookmarkEnd w:id="13"/>
      <w:r w:rsidRPr="00017B77">
        <w:t>Links</w:t>
      </w:r>
    </w:p>
    <w:p w:rsidR="00000000" w:rsidRPr="00017B77" w:rsidP="00012EBD">
      <w:pPr>
        <w:pStyle w:val="BodyText"/>
      </w:pPr>
      <w:r w:rsidRPr="00017B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01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7B77" w:rsidP="00017B77"/>
    <w:sectPr w:rsidSect="00017B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 w:rsidRPr="00012EBD" w:rsidP="00012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BD" w:rsidP="00017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EBD" w:rsidP="00017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2EBD" w:rsidP="00017B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 w:rsidP="00017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EBD">
      <w:t>Approved</w:t>
    </w:r>
    <w:r w:rsidR="00012E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E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EBD">
      <w:rPr>
        <w:noProof/>
      </w:rPr>
      <w:t>4</w:t>
    </w:r>
    <w:r>
      <w:rPr>
        <w:noProof/>
      </w:rPr>
      <w:fldChar w:fldCharType="end"/>
    </w:r>
  </w:p>
  <w:p w:rsidR="00017B77" w:rsidP="00017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E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EBD">
      <w:t>BuildSkills Australia</w:t>
    </w:r>
    <w:r w:rsidR="00012EBD">
      <w:fldChar w:fldCharType="end"/>
    </w:r>
  </w:p>
  <w:p w:rsidR="00017B77" w:rsidP="00017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B77" w:rsidRPr="00012EBD" w:rsidP="00012E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BD" w:rsidRPr="002D2AF8" w:rsidP="00017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CPCPWT4022 Commission and maintain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EBD" w:rsidP="00017B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77" w:rsidRPr="002D2AF8" w:rsidP="00017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EBD">
      <w:t>CPCPWT4022 Commission and maintain backflow prevention devices</w:t>
    </w:r>
    <w:r w:rsidR="00012E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EBD">
      <w:rPr>
        <w:noProof/>
      </w:rPr>
      <w:t>2 March 2025</w:t>
    </w:r>
    <w:r>
      <w:fldChar w:fldCharType="end"/>
    </w:r>
  </w:p>
  <w:p w:rsidR="00017B77" w:rsidP="00017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CF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02F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A2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B77"/>
  </w:style>
  <w:style w:type="character" w:customStyle="1" w:styleId="Heading1Char">
    <w:name w:val="Heading 1 Char"/>
    <w:basedOn w:val="DefaultParagraphFont"/>
    <w:link w:val="Heading1"/>
    <w:rsid w:val="00017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B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B77"/>
    <w:rPr>
      <w:b/>
      <w:spacing w:val="0"/>
    </w:rPr>
  </w:style>
  <w:style w:type="paragraph" w:customStyle="1" w:styleId="SuperTitle">
    <w:name w:val="SuperTitle"/>
    <w:basedOn w:val="Title"/>
    <w:rsid w:val="00017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B77"/>
    <w:rPr>
      <w:i/>
    </w:rPr>
  </w:style>
  <w:style w:type="paragraph" w:styleId="Caption">
    <w:name w:val="caption"/>
    <w:basedOn w:val="BodyText"/>
    <w:next w:val="Normal"/>
    <w:qFormat/>
    <w:rsid w:val="00017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B77"/>
  </w:style>
  <w:style w:type="paragraph" w:styleId="TableofFigures">
    <w:name w:val="table of figures"/>
    <w:basedOn w:val="Normal"/>
    <w:next w:val="Normal"/>
    <w:semiHidden/>
    <w:rsid w:val="00017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B77"/>
    <w:rPr>
      <w:rFonts w:ascii="Wingdings" w:hAnsi="Wingdings"/>
    </w:rPr>
  </w:style>
  <w:style w:type="paragraph" w:customStyle="1" w:styleId="TableHeading">
    <w:name w:val="Table Heading"/>
    <w:basedOn w:val="HeadingBase"/>
    <w:rsid w:val="00017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B77"/>
    <w:rPr>
      <w:color w:val="0033CC"/>
      <w:u w:val="none"/>
    </w:rPr>
  </w:style>
  <w:style w:type="paragraph" w:customStyle="1" w:styleId="BodyTextRight">
    <w:name w:val="Body Text Right"/>
    <w:basedOn w:val="BodyText"/>
    <w:rsid w:val="00017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B77"/>
    <w:rPr>
      <w:sz w:val="32"/>
    </w:rPr>
  </w:style>
  <w:style w:type="paragraph" w:customStyle="1" w:styleId="HeadingProcedure">
    <w:name w:val="Heading Procedure"/>
    <w:basedOn w:val="HeadingBase"/>
    <w:next w:val="Normal"/>
    <w:rsid w:val="00017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B77"/>
    <w:pPr>
      <w:spacing w:before="60" w:after="60"/>
    </w:pPr>
  </w:style>
  <w:style w:type="paragraph" w:styleId="ListContinue">
    <w:name w:val="List Continue"/>
    <w:basedOn w:val="List"/>
    <w:rsid w:val="00017B77"/>
    <w:pPr>
      <w:ind w:firstLine="0"/>
    </w:pPr>
  </w:style>
  <w:style w:type="paragraph" w:customStyle="1" w:styleId="ListNote">
    <w:name w:val="List Note"/>
    <w:basedOn w:val="List"/>
    <w:rsid w:val="00017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B77"/>
    <w:rPr>
      <w:rFonts w:ascii="Courier New" w:hAnsi="Courier New"/>
    </w:rPr>
  </w:style>
  <w:style w:type="paragraph" w:customStyle="1" w:styleId="NoteBullet">
    <w:name w:val="Note Bullet"/>
    <w:basedOn w:val="Note"/>
    <w:rsid w:val="00017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B77"/>
    <w:rPr>
      <w:b/>
      <w:smallCaps/>
    </w:rPr>
  </w:style>
  <w:style w:type="paragraph" w:customStyle="1" w:styleId="TableListNumber">
    <w:name w:val="Table List Number"/>
    <w:basedOn w:val="ListNumber"/>
    <w:rsid w:val="00017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B77"/>
    <w:pPr>
      <w:numPr>
        <w:numId w:val="9"/>
      </w:numPr>
    </w:pPr>
  </w:style>
  <w:style w:type="paragraph" w:customStyle="1" w:styleId="ListAlpha2">
    <w:name w:val="List Alpha 2"/>
    <w:basedOn w:val="List2"/>
    <w:rsid w:val="00017B77"/>
    <w:pPr>
      <w:numPr>
        <w:numId w:val="8"/>
      </w:numPr>
    </w:pPr>
  </w:style>
  <w:style w:type="paragraph" w:styleId="List2">
    <w:name w:val="List 2"/>
    <w:basedOn w:val="BodyText"/>
    <w:rsid w:val="00017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B77"/>
    <w:pPr>
      <w:numPr>
        <w:numId w:val="4"/>
      </w:numPr>
    </w:pPr>
  </w:style>
  <w:style w:type="paragraph" w:styleId="ListContinue2">
    <w:name w:val="List Continue 2"/>
    <w:basedOn w:val="List2"/>
    <w:rsid w:val="00017B77"/>
    <w:pPr>
      <w:ind w:firstLine="0"/>
    </w:pPr>
  </w:style>
  <w:style w:type="paragraph" w:styleId="ListContinue3">
    <w:name w:val="List Continue 3"/>
    <w:basedOn w:val="List3"/>
    <w:rsid w:val="00017B77"/>
    <w:pPr>
      <w:ind w:left="1021" w:firstLine="0"/>
    </w:pPr>
  </w:style>
  <w:style w:type="paragraph" w:styleId="ListContinue4">
    <w:name w:val="List Continue 4"/>
    <w:basedOn w:val="List4"/>
    <w:rsid w:val="00017B77"/>
    <w:pPr>
      <w:ind w:firstLine="0"/>
    </w:pPr>
  </w:style>
  <w:style w:type="paragraph" w:styleId="ListContinue5">
    <w:name w:val="List Continue 5"/>
    <w:basedOn w:val="List5"/>
    <w:rsid w:val="00017B77"/>
    <w:pPr>
      <w:ind w:firstLine="0"/>
    </w:pPr>
  </w:style>
  <w:style w:type="paragraph" w:styleId="ListNumber3">
    <w:name w:val="List Number 3"/>
    <w:basedOn w:val="List3"/>
    <w:rsid w:val="00017B77"/>
    <w:pPr>
      <w:numPr>
        <w:numId w:val="5"/>
      </w:numPr>
    </w:pPr>
  </w:style>
  <w:style w:type="paragraph" w:styleId="ListNumber4">
    <w:name w:val="List Number 4"/>
    <w:basedOn w:val="List4"/>
    <w:rsid w:val="00017B77"/>
    <w:pPr>
      <w:numPr>
        <w:numId w:val="6"/>
      </w:numPr>
    </w:pPr>
  </w:style>
  <w:style w:type="paragraph" w:styleId="ListNumber5">
    <w:name w:val="List Number 5"/>
    <w:basedOn w:val="List5"/>
    <w:rsid w:val="00017B77"/>
    <w:pPr>
      <w:numPr>
        <w:numId w:val="7"/>
      </w:numPr>
    </w:pPr>
  </w:style>
  <w:style w:type="paragraph" w:styleId="BlockText">
    <w:name w:val="Block Text"/>
    <w:basedOn w:val="Normal"/>
    <w:rsid w:val="00017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B77"/>
    <w:rPr>
      <w:sz w:val="16"/>
      <w:vertAlign w:val="superscript"/>
    </w:rPr>
  </w:style>
  <w:style w:type="character" w:customStyle="1" w:styleId="Symbols">
    <w:name w:val="Symbols"/>
    <w:basedOn w:val="DefaultParagraphFont"/>
    <w:rsid w:val="00017B77"/>
    <w:rPr>
      <w:rFonts w:ascii="Symbol" w:hAnsi="Symbol"/>
    </w:rPr>
  </w:style>
  <w:style w:type="character" w:customStyle="1" w:styleId="MenuOptions">
    <w:name w:val="Menu Options"/>
    <w:basedOn w:val="DefaultParagraphFont"/>
    <w:rsid w:val="00017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B77"/>
    <w:rPr>
      <w:b/>
    </w:rPr>
  </w:style>
  <w:style w:type="character" w:customStyle="1" w:styleId="Underlined">
    <w:name w:val="Underlined"/>
    <w:basedOn w:val="DefaultParagraphFont"/>
    <w:rsid w:val="00017B77"/>
    <w:rPr>
      <w:u w:val="single"/>
    </w:rPr>
  </w:style>
  <w:style w:type="paragraph" w:customStyle="1" w:styleId="TableBodyTextRight">
    <w:name w:val="Table Body Text Right"/>
    <w:basedOn w:val="TableBodyText"/>
    <w:rsid w:val="00017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B77"/>
    <w:rPr>
      <w:sz w:val="18"/>
    </w:rPr>
  </w:style>
  <w:style w:type="paragraph" w:customStyle="1" w:styleId="BodySmallRight">
    <w:name w:val="Body Small Right"/>
    <w:basedOn w:val="BodyTextRight"/>
    <w:rsid w:val="00017B77"/>
    <w:rPr>
      <w:sz w:val="18"/>
      <w:szCs w:val="18"/>
    </w:rPr>
  </w:style>
  <w:style w:type="paragraph" w:customStyle="1" w:styleId="MarginEdition">
    <w:name w:val="Margin Edition"/>
    <w:basedOn w:val="MarginNote"/>
    <w:rsid w:val="00017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B77"/>
    <w:rPr>
      <w:sz w:val="2"/>
      <w:szCs w:val="2"/>
    </w:rPr>
  </w:style>
  <w:style w:type="character" w:customStyle="1" w:styleId="Small">
    <w:name w:val="Small"/>
    <w:basedOn w:val="DefaultParagraphFont"/>
    <w:rsid w:val="00017B77"/>
    <w:rPr>
      <w:sz w:val="16"/>
    </w:rPr>
  </w:style>
  <w:style w:type="paragraph" w:customStyle="1" w:styleId="WideTable">
    <w:name w:val="Wide Table"/>
    <w:basedOn w:val="Normal"/>
    <w:rsid w:val="00017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B77"/>
  </w:style>
  <w:style w:type="paragraph" w:styleId="Quote">
    <w:name w:val="Quote"/>
    <w:basedOn w:val="Heading1"/>
    <w:link w:val="QuoteChar"/>
    <w:qFormat/>
    <w:rsid w:val="00017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B77"/>
    <w:pPr>
      <w:pageBreakBefore/>
    </w:pPr>
  </w:style>
  <w:style w:type="paragraph" w:customStyle="1" w:styleId="Border">
    <w:name w:val="Border"/>
    <w:basedOn w:val="Normal"/>
    <w:qFormat/>
    <w:rsid w:val="00017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B77"/>
    <w:rPr>
      <w:u w:val="single"/>
    </w:rPr>
  </w:style>
  <w:style w:type="character" w:customStyle="1" w:styleId="BoldandItalics">
    <w:name w:val="Bold and Italics"/>
    <w:qFormat/>
    <w:rsid w:val="00017B77"/>
    <w:rPr>
      <w:b/>
      <w:i/>
      <w:u w:val="none"/>
    </w:rPr>
  </w:style>
  <w:style w:type="paragraph" w:styleId="BalloonText">
    <w:name w:val="Balloon Text"/>
    <w:basedOn w:val="Normal"/>
    <w:link w:val="BalloonTextChar"/>
    <w:rsid w:val="00017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B77"/>
    <w:pPr>
      <w:spacing w:before="0" w:after="0"/>
    </w:pPr>
  </w:style>
  <w:style w:type="paragraph" w:customStyle="1" w:styleId="BodyTextBold">
    <w:name w:val="Body Text Bold"/>
    <w:basedOn w:val="BodyText"/>
    <w:qFormat/>
    <w:rsid w:val="00017B77"/>
    <w:rPr>
      <w:b/>
    </w:rPr>
  </w:style>
  <w:style w:type="character" w:styleId="Hyperlink">
    <w:name w:val="Hyperlink"/>
    <w:basedOn w:val="DefaultParagraphFont"/>
    <w:uiPriority w:val="99"/>
    <w:unhideWhenUsed/>
    <w:rsid w:val="00012E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4272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CPCPWT4022 Commission and maintain backflow prevention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