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B394D" w:rsidP="007B394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CPCPWT3027 Install backflow prevention devices</w:t>
      </w:r>
      <w:r>
        <w:fldChar w:fldCharType="end"/>
      </w:r>
    </w:p>
    <w:p w:rsidR="007B394D" w:rsidP="007B394D">
      <w:pPr>
        <w:pStyle w:val="Version"/>
        <w:sectPr w:rsidSect="009D0F3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9D0F3E" w:rsidP="009D0F3E">
      <w:pPr>
        <w:pStyle w:val="SuperHeading"/>
      </w:pPr>
      <w:r w:rsidRPr="009D0F3E">
        <w:t>CPCPWT3027 Install backflow prevention devices</w:t>
      </w:r>
    </w:p>
    <w:p w:rsidR="00000000" w:rsidRPr="009D0F3E" w:rsidP="009D0F3E">
      <w:pPr>
        <w:pStyle w:val="Heading1"/>
      </w:pPr>
      <w:bookmarkStart w:id="1" w:name="O_1172990"/>
      <w:bookmarkEnd w:id="1"/>
      <w:r w:rsidRPr="009D0F3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9D0F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F3E">
            <w:pPr>
              <w:pStyle w:val="BodyText"/>
              <w:rPr>
                <w:lang w:val="en-NZ"/>
              </w:rPr>
            </w:pPr>
            <w:r w:rsidRPr="009D0F3E">
              <w:t>Release 3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0F3E" w:rsidP="009D0F3E">
            <w:pPr>
              <w:pStyle w:val="BodyText"/>
            </w:pPr>
            <w:r w:rsidRPr="009D0F3E">
              <w:t>This version first released with CPC Construction, Plumbing and Services Training Package Release 6.2.</w:t>
            </w:r>
          </w:p>
          <w:p w:rsidR="00000000" w:rsidP="009D0F3E">
            <w:pPr>
              <w:pStyle w:val="BodyText"/>
              <w:rPr>
                <w:lang w:val="en-NZ"/>
              </w:rPr>
            </w:pPr>
            <w:r w:rsidRPr="009D0F3E">
              <w:t xml:space="preserve">Correction to prerequisite unit code from </w:t>
            </w:r>
            <w:r w:rsidRPr="009D0F3E">
              <w:rPr>
                <w:rStyle w:val="Emphasis"/>
              </w:rPr>
              <w:t>CPCPCM2043A Carry out WHS requirements</w:t>
            </w:r>
            <w:r w:rsidRPr="009D0F3E">
              <w:t xml:space="preserve"> to </w:t>
            </w:r>
            <w:r w:rsidRPr="009D0F3E">
              <w:rPr>
                <w:rStyle w:val="Emphasis"/>
              </w:rPr>
              <w:t>CPCPCM2043 Carry out WHS requ</w:t>
            </w:r>
            <w:r w:rsidRPr="009D0F3E">
              <w:rPr>
                <w:rStyle w:val="Emphasis"/>
              </w:rPr>
              <w:t>irements</w:t>
            </w:r>
            <w:r w:rsidRPr="009D0F3E">
              <w:t>.</w:t>
            </w:r>
          </w:p>
        </w:tc>
      </w:tr>
      <w:tr w:rsidTr="009D0F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F3E">
            <w:pPr>
              <w:pStyle w:val="BodyText"/>
              <w:rPr>
                <w:lang w:val="en-NZ"/>
              </w:rPr>
            </w:pPr>
            <w:r w:rsidRPr="009D0F3E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0F3E" w:rsidP="009D0F3E">
            <w:pPr>
              <w:pStyle w:val="BodyText"/>
            </w:pPr>
            <w:r w:rsidRPr="009D0F3E">
              <w:t>This version first released with CPC Construction, Plumbing and Services Training Package Release 5.1.</w:t>
            </w:r>
          </w:p>
          <w:p w:rsidR="00000000" w:rsidP="009D0F3E">
            <w:pPr>
              <w:pStyle w:val="BodyText"/>
              <w:rPr>
                <w:lang w:val="en-NZ"/>
              </w:rPr>
            </w:pPr>
            <w:r w:rsidRPr="009D0F3E">
              <w:t>Typographical error in Elements and Performance Criteria 1 corrected.</w:t>
            </w:r>
          </w:p>
        </w:tc>
      </w:tr>
      <w:tr w:rsidTr="009D0F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F3E">
            <w:pPr>
              <w:pStyle w:val="BodyText"/>
              <w:rPr>
                <w:lang w:val="en-NZ"/>
              </w:rPr>
            </w:pPr>
            <w:r w:rsidRPr="009D0F3E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0F3E" w:rsidP="009D0F3E">
            <w:pPr>
              <w:pStyle w:val="BodyText"/>
            </w:pPr>
            <w:r w:rsidRPr="009D0F3E">
              <w:t xml:space="preserve">This version first released with CPC Construction, </w:t>
            </w:r>
            <w:r w:rsidRPr="009D0F3E">
              <w:t>Plumbing and Services Training Package Release 5.0.</w:t>
            </w:r>
          </w:p>
          <w:p w:rsidR="00000000" w:rsidRPr="009D0F3E" w:rsidP="009D0F3E">
            <w:pPr>
              <w:pStyle w:val="BodyText"/>
            </w:pPr>
            <w:r w:rsidRPr="009D0F3E">
              <w:t>Supersedes and is equivalent to CPCPWT3027A Connect irrigation systems from drinking water supply.  Updated to meet the Standards for Training Packages 2012.</w:t>
            </w:r>
          </w:p>
        </w:tc>
      </w:tr>
    </w:tbl>
    <w:p w:rsidR="00000000" w:rsidRPr="009D0F3E" w:rsidP="009D0F3E">
      <w:pPr>
        <w:pStyle w:val="BodyText"/>
      </w:pPr>
    </w:p>
    <w:p w:rsidR="00000000" w:rsidRPr="009D0F3E" w:rsidP="009D0F3E">
      <w:pPr>
        <w:pStyle w:val="AllowPageBreak"/>
      </w:pPr>
    </w:p>
    <w:p w:rsidR="00000000" w:rsidRPr="009D0F3E" w:rsidP="009D0F3E">
      <w:pPr>
        <w:pStyle w:val="Heading1"/>
      </w:pPr>
      <w:bookmarkStart w:id="2" w:name="O_1172989"/>
      <w:bookmarkEnd w:id="2"/>
      <w:r w:rsidRPr="009D0F3E">
        <w:t>Application</w:t>
      </w:r>
    </w:p>
    <w:p w:rsidR="00000000" w:rsidRPr="009D0F3E" w:rsidP="007B394D">
      <w:pPr>
        <w:pStyle w:val="BodyText"/>
      </w:pPr>
      <w:r w:rsidRPr="009D0F3E">
        <w:t>This unit spe</w:t>
      </w:r>
      <w:r w:rsidRPr="009D0F3E">
        <w:t>cifies the skills and knowledge required to install backflow prevention devices. It does not include the commissioning or testing of backflow prevention devices or arrangements.</w:t>
      </w:r>
    </w:p>
    <w:p w:rsidR="00000000" w:rsidRPr="009D0F3E" w:rsidP="007B394D">
      <w:pPr>
        <w:pStyle w:val="BodyText"/>
      </w:pPr>
      <w:r w:rsidRPr="009D0F3E">
        <w:t>In some jurisdictions, this unit of competency may form part of accreditation,</w:t>
      </w:r>
      <w:r w:rsidRPr="009D0F3E">
        <w:t xml:space="preserve"> licensing, legislative, regulatory or certification requirements. </w:t>
      </w:r>
    </w:p>
    <w:p w:rsidR="00000000" w:rsidRPr="009D0F3E" w:rsidP="009D0F3E">
      <w:pPr>
        <w:pStyle w:val="Heading1"/>
      </w:pPr>
      <w:bookmarkStart w:id="3" w:name="O_1172988"/>
      <w:bookmarkEnd w:id="3"/>
      <w:r w:rsidRPr="009D0F3E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26"/>
      </w:tblGrid>
      <w:tr w:rsidTr="009D0F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F3E">
            <w:pPr>
              <w:pStyle w:val="BodyText"/>
              <w:rPr>
                <w:lang w:val="en-NZ"/>
              </w:rPr>
            </w:pPr>
            <w:r w:rsidRPr="009D0F3E">
              <w:t xml:space="preserve">CPCPCM2043 Carry out WHS requirements </w:t>
            </w:r>
          </w:p>
        </w:tc>
      </w:tr>
      <w:tr w:rsidTr="009D0F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0F3E" w:rsidP="009D0F3E">
            <w:pPr>
              <w:pStyle w:val="BodyText"/>
            </w:pPr>
            <w:r w:rsidRPr="009D0F3E">
              <w:t>CPCPCM3023 Fabricate and install non-ferrous pressure piping.</w:t>
            </w:r>
          </w:p>
        </w:tc>
      </w:tr>
    </w:tbl>
    <w:p w:rsidR="00000000" w:rsidRPr="009D0F3E" w:rsidP="009D0F3E">
      <w:pPr>
        <w:pStyle w:val="BodyText"/>
      </w:pPr>
    </w:p>
    <w:p w:rsidR="00000000" w:rsidRPr="009D0F3E" w:rsidP="009D0F3E">
      <w:pPr>
        <w:pStyle w:val="AllowPageBreak"/>
      </w:pPr>
    </w:p>
    <w:p w:rsidR="00000000" w:rsidRPr="009D0F3E" w:rsidP="009D0F3E">
      <w:pPr>
        <w:pStyle w:val="Heading1"/>
      </w:pPr>
      <w:bookmarkStart w:id="4" w:name="O_1172987"/>
      <w:bookmarkEnd w:id="4"/>
      <w:r w:rsidRPr="009D0F3E">
        <w:t>Unit Sector</w:t>
      </w:r>
    </w:p>
    <w:p w:rsidR="00000000" w:rsidRPr="009D0F3E" w:rsidP="007B394D">
      <w:pPr>
        <w:pStyle w:val="BodyText"/>
      </w:pPr>
      <w:r w:rsidRPr="009D0F3E">
        <w:t>Plumbing and Fire Services</w:t>
      </w:r>
    </w:p>
    <w:p w:rsidR="00000000" w:rsidRPr="009D0F3E" w:rsidP="009D0F3E">
      <w:pPr>
        <w:pStyle w:val="Heading1"/>
      </w:pPr>
      <w:bookmarkStart w:id="5" w:name="O_1172986"/>
      <w:bookmarkEnd w:id="5"/>
      <w:r w:rsidRPr="009D0F3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9D0F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F3E">
            <w:pPr>
              <w:pStyle w:val="BodyText"/>
              <w:rPr>
                <w:lang w:val="en-NZ"/>
              </w:rPr>
            </w:pPr>
            <w:r w:rsidRPr="009D0F3E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F3E">
            <w:pPr>
              <w:pStyle w:val="BodyText"/>
              <w:rPr>
                <w:lang w:val="en-NZ"/>
              </w:rPr>
            </w:pPr>
            <w:r w:rsidRPr="009D0F3E">
              <w:t>Performance criteria describe what needs to be done to demonstrate achievement of the element.</w:t>
            </w:r>
          </w:p>
        </w:tc>
      </w:tr>
      <w:tr w:rsidTr="009D0F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F3E">
            <w:pPr>
              <w:pStyle w:val="BodyText"/>
              <w:rPr>
                <w:lang w:val="en-NZ"/>
              </w:rPr>
            </w:pPr>
            <w:r w:rsidRPr="009D0F3E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F3E">
            <w:pPr>
              <w:pStyle w:val="BodyText"/>
              <w:rPr>
                <w:lang w:val="en-NZ"/>
              </w:rPr>
            </w:pPr>
            <w:r w:rsidRPr="009D0F3E">
              <w:t>Identify installation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F3E">
            <w:pPr>
              <w:pStyle w:val="BodyText"/>
              <w:rPr>
                <w:lang w:val="en-NZ"/>
              </w:rPr>
            </w:pPr>
            <w:r w:rsidRPr="009D0F3E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F3E">
            <w:pPr>
              <w:pStyle w:val="BodyText"/>
              <w:rPr>
                <w:lang w:val="en-NZ"/>
              </w:rPr>
            </w:pPr>
            <w:r w:rsidRPr="009D0F3E">
              <w:t>Access, read and determine backflow prevention device installation requirements from relevant job plans and specifications, codes, Australian standards, manufacturer’s specifications and jurisdictional requirements.</w:t>
            </w:r>
          </w:p>
        </w:tc>
      </w:tr>
      <w:tr w:rsidTr="009D0F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F3E">
            <w:pPr>
              <w:pStyle w:val="BodyText"/>
              <w:rPr>
                <w:lang w:val="en-NZ"/>
              </w:rPr>
            </w:pPr>
            <w:r w:rsidRPr="009D0F3E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F3E">
            <w:pPr>
              <w:pStyle w:val="BodyText"/>
              <w:rPr>
                <w:lang w:val="en-NZ"/>
              </w:rPr>
            </w:pPr>
            <w:r w:rsidRPr="009D0F3E">
              <w:t>Identify and apply workplace, work health and safety (WHS) and environmental requirements.</w:t>
            </w:r>
          </w:p>
        </w:tc>
      </w:tr>
      <w:tr w:rsidTr="009D0F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F3E">
            <w:pPr>
              <w:pStyle w:val="BodyText"/>
              <w:rPr>
                <w:lang w:val="en-NZ"/>
              </w:rPr>
            </w:pPr>
          </w:p>
        </w:tc>
      </w:tr>
      <w:tr w:rsidTr="009D0F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F3E">
            <w:pPr>
              <w:pStyle w:val="BodyText"/>
              <w:rPr>
                <w:lang w:val="en-NZ"/>
              </w:rPr>
            </w:pPr>
            <w:r w:rsidRPr="009D0F3E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F3E">
            <w:pPr>
              <w:pStyle w:val="BodyText"/>
              <w:rPr>
                <w:lang w:val="en-NZ"/>
              </w:rPr>
            </w:pPr>
            <w:r w:rsidRPr="009D0F3E">
              <w:t>Prepare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F3E">
            <w:pPr>
              <w:pStyle w:val="BodyText"/>
              <w:rPr>
                <w:lang w:val="en-NZ"/>
              </w:rPr>
            </w:pPr>
            <w:r w:rsidRPr="009D0F3E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F3E">
            <w:pPr>
              <w:pStyle w:val="BodyText"/>
              <w:rPr>
                <w:lang w:val="en-NZ"/>
              </w:rPr>
            </w:pPr>
            <w:r w:rsidRPr="009D0F3E">
              <w:t>Create a materials list and collect materials.</w:t>
            </w:r>
          </w:p>
        </w:tc>
      </w:tr>
      <w:tr w:rsidTr="009D0F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F3E">
            <w:pPr>
              <w:pStyle w:val="BodyText"/>
              <w:rPr>
                <w:lang w:val="en-NZ"/>
              </w:rPr>
            </w:pPr>
            <w:r w:rsidRPr="009D0F3E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F3E">
            <w:pPr>
              <w:pStyle w:val="BodyText"/>
              <w:rPr>
                <w:lang w:val="en-NZ"/>
              </w:rPr>
            </w:pPr>
            <w:r w:rsidRPr="009D0F3E">
              <w:t>Select and check serviceability of appropriate tools and equipment including personal protective equipment (PPE).</w:t>
            </w:r>
          </w:p>
        </w:tc>
      </w:tr>
      <w:tr w:rsidTr="009D0F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F3E">
            <w:pPr>
              <w:pStyle w:val="BodyText"/>
              <w:rPr>
                <w:lang w:val="en-NZ"/>
              </w:rPr>
            </w:pPr>
          </w:p>
        </w:tc>
      </w:tr>
      <w:tr w:rsidTr="009D0F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F3E">
            <w:pPr>
              <w:pStyle w:val="BodyText"/>
              <w:rPr>
                <w:lang w:val="en-NZ"/>
              </w:rPr>
            </w:pPr>
            <w:r w:rsidRPr="009D0F3E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F3E">
            <w:pPr>
              <w:pStyle w:val="BodyText"/>
              <w:rPr>
                <w:lang w:val="en-NZ"/>
              </w:rPr>
            </w:pPr>
            <w:r w:rsidRPr="009D0F3E">
              <w:t>Connect and test system.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F3E">
            <w:pPr>
              <w:pStyle w:val="BodyText"/>
              <w:rPr>
                <w:lang w:val="en-NZ"/>
              </w:rPr>
            </w:pPr>
            <w:r w:rsidRPr="009D0F3E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F3E">
            <w:pPr>
              <w:pStyle w:val="BodyText"/>
              <w:rPr>
                <w:lang w:val="en-NZ"/>
              </w:rPr>
            </w:pPr>
            <w:r w:rsidRPr="009D0F3E">
              <w:t>Set out and install backflow prevention device according to relevant from relevant job plans, specifications, codes, Australian standards, manufacturer’s specifications and jurisdictional requirements.</w:t>
            </w:r>
          </w:p>
        </w:tc>
      </w:tr>
      <w:tr w:rsidTr="009D0F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F3E">
            <w:pPr>
              <w:pStyle w:val="BodyText"/>
              <w:rPr>
                <w:lang w:val="en-NZ"/>
              </w:rPr>
            </w:pPr>
            <w:r w:rsidRPr="009D0F3E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F3E">
            <w:pPr>
              <w:pStyle w:val="BodyText"/>
              <w:rPr>
                <w:lang w:val="en-NZ"/>
              </w:rPr>
            </w:pPr>
            <w:r w:rsidRPr="009D0F3E">
              <w:t>Test installed pipework according to relevant j</w:t>
            </w:r>
            <w:r w:rsidRPr="009D0F3E">
              <w:t>ob specifications, codes, Australian standards, manufacturer’s specifications and jurisdictional requirements.</w:t>
            </w:r>
          </w:p>
        </w:tc>
      </w:tr>
      <w:tr w:rsidTr="009D0F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F3E">
            <w:pPr>
              <w:pStyle w:val="BodyText"/>
              <w:rPr>
                <w:lang w:val="en-NZ"/>
              </w:rPr>
            </w:pPr>
          </w:p>
        </w:tc>
      </w:tr>
      <w:tr w:rsidTr="009D0F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F3E">
            <w:pPr>
              <w:pStyle w:val="BodyText"/>
              <w:rPr>
                <w:lang w:val="en-NZ"/>
              </w:rPr>
            </w:pPr>
            <w:r w:rsidRPr="009D0F3E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F3E">
            <w:pPr>
              <w:pStyle w:val="BodyText"/>
              <w:rPr>
                <w:lang w:val="en-NZ"/>
              </w:rPr>
            </w:pPr>
            <w:r w:rsidRPr="009D0F3E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F3E">
            <w:pPr>
              <w:pStyle w:val="BodyText"/>
              <w:rPr>
                <w:lang w:val="en-NZ"/>
              </w:rPr>
            </w:pPr>
            <w:r w:rsidRPr="009D0F3E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F3E">
            <w:pPr>
              <w:pStyle w:val="BodyText"/>
              <w:rPr>
                <w:lang w:val="en-NZ"/>
              </w:rPr>
            </w:pPr>
            <w:r w:rsidRPr="009D0F3E">
              <w:t>Clear the work area and dispose of any materials in accordance with state and territory legislation and workplace procedures.</w:t>
            </w:r>
          </w:p>
        </w:tc>
      </w:tr>
      <w:tr w:rsidTr="009D0F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F3E">
            <w:pPr>
              <w:pStyle w:val="BodyText"/>
              <w:rPr>
                <w:lang w:val="en-NZ"/>
              </w:rPr>
            </w:pPr>
            <w:r w:rsidRPr="009D0F3E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0F3E" w:rsidP="009D0F3E">
            <w:pPr>
              <w:pStyle w:val="BodyText"/>
            </w:pPr>
            <w:r w:rsidRPr="009D0F3E">
              <w:t>Clean, check for serviceability and store and secure plant, equipment and tools reporting any damage to appropriate personnel.</w:t>
            </w:r>
          </w:p>
        </w:tc>
      </w:tr>
    </w:tbl>
    <w:p w:rsidR="00000000" w:rsidRPr="009D0F3E" w:rsidP="009D0F3E">
      <w:pPr>
        <w:pStyle w:val="BodyText"/>
      </w:pPr>
    </w:p>
    <w:p w:rsidR="00000000" w:rsidRPr="009D0F3E" w:rsidP="009D0F3E">
      <w:pPr>
        <w:pStyle w:val="AllowPageBreak"/>
      </w:pPr>
    </w:p>
    <w:p w:rsidR="00000000" w:rsidRPr="009D0F3E" w:rsidP="009D0F3E">
      <w:pPr>
        <w:pStyle w:val="Heading1"/>
      </w:pPr>
      <w:bookmarkStart w:id="6" w:name="O_1172985"/>
      <w:bookmarkEnd w:id="6"/>
      <w:r w:rsidRPr="009D0F3E">
        <w:t>Foundation Skills</w:t>
      </w:r>
    </w:p>
    <w:p w:rsidR="00000000" w:rsidRPr="009D0F3E" w:rsidP="007B394D">
      <w:pPr>
        <w:pStyle w:val="BodyText"/>
      </w:pPr>
      <w:r w:rsidRPr="009D0F3E">
        <w:t>Foundation skills essential to performance are explicit in the performance criteria of thi</w:t>
      </w:r>
      <w:r w:rsidRPr="009D0F3E">
        <w:t xml:space="preserve">s unit of competency. </w:t>
      </w:r>
    </w:p>
    <w:p w:rsidR="00000000" w:rsidRPr="009D0F3E" w:rsidP="009D0F3E">
      <w:pPr>
        <w:pStyle w:val="Heading1"/>
      </w:pPr>
      <w:bookmarkStart w:id="7" w:name="O_1172984"/>
      <w:bookmarkEnd w:id="7"/>
      <w:r w:rsidRPr="009D0F3E">
        <w:t>Unit Mapping Information</w:t>
      </w:r>
    </w:p>
    <w:p w:rsidR="00000000" w:rsidRPr="009D0F3E" w:rsidP="007B394D">
      <w:pPr>
        <w:pStyle w:val="BodyText"/>
      </w:pPr>
      <w:r w:rsidRPr="009D0F3E">
        <w:t>Supersedes and is equivalent to CPCPWT3027A Connect irrigation systems from drinking water supply.</w:t>
      </w:r>
    </w:p>
    <w:p w:rsidR="00000000" w:rsidRPr="009D0F3E" w:rsidP="009D0F3E">
      <w:pPr>
        <w:pStyle w:val="Heading1"/>
      </w:pPr>
      <w:bookmarkStart w:id="8" w:name="O_1172991"/>
      <w:bookmarkEnd w:id="8"/>
      <w:r w:rsidRPr="009D0F3E">
        <w:t>Links</w:t>
      </w:r>
    </w:p>
    <w:p w:rsidR="00000000" w:rsidRPr="009D0F3E" w:rsidP="007B394D">
      <w:pPr>
        <w:pStyle w:val="BodyText"/>
      </w:pPr>
      <w:r w:rsidRPr="009D0F3E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4B3EFE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9D0F3E" w:rsidP="009D0F3E"/>
    <w:sectPr w:rsidSect="009D0F3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F3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F3E" w:rsidRPr="007B394D" w:rsidP="007B394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F3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94D" w:rsidP="009D0F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B394D" w:rsidP="009D0F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7B394D" w:rsidP="009D0F3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F3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94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D0F3E" w:rsidRPr="007B394D" w:rsidP="007B394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F3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94D" w:rsidRPr="002D2AF8" w:rsidP="009D0F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CPCPWT3027 Install backflow prevention devices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7B394D" w:rsidP="009D0F3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0F3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D0F3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D0F3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D0F3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D0F3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D0F3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D0F3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D0F3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D0F3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D0F3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D0F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D0F3E"/>
  </w:style>
  <w:style w:type="character" w:customStyle="1" w:styleId="Heading1Char">
    <w:name w:val="Heading 1 Char"/>
    <w:basedOn w:val="DefaultParagraphFont"/>
    <w:link w:val="Heading1"/>
    <w:rsid w:val="009D0F3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D0F3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D0F3E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9D0F3E"/>
    <w:rPr>
      <w:i/>
    </w:rPr>
  </w:style>
  <w:style w:type="paragraph" w:customStyle="1" w:styleId="SuperHeading">
    <w:name w:val="SuperHeading"/>
    <w:basedOn w:val="Normal"/>
    <w:rsid w:val="009D0F3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D0F3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D0F3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D0F3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D0F3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D0F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D0F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D0F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D0F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D0F3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D0F3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D0F3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D0F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D0F3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D0F3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D0F3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D0F3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D0F3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D0F3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D0F3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D0F3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D0F3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D0F3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D0F3E"/>
    <w:rPr>
      <w:b/>
      <w:spacing w:val="0"/>
    </w:rPr>
  </w:style>
  <w:style w:type="paragraph" w:customStyle="1" w:styleId="SuperTitle">
    <w:name w:val="SuperTitle"/>
    <w:basedOn w:val="Title"/>
    <w:rsid w:val="009D0F3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D0F3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D0F3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D0F3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D0F3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D0F3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D0F3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D0F3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D0F3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D0F3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D0F3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D0F3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D0F3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D0F3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D0F3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D0F3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D0F3E"/>
  </w:style>
  <w:style w:type="paragraph" w:styleId="TableofFigures">
    <w:name w:val="table of figures"/>
    <w:basedOn w:val="Normal"/>
    <w:next w:val="Normal"/>
    <w:semiHidden/>
    <w:rsid w:val="009D0F3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D0F3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D0F3E"/>
    <w:rPr>
      <w:rFonts w:ascii="Wingdings" w:hAnsi="Wingdings"/>
    </w:rPr>
  </w:style>
  <w:style w:type="paragraph" w:customStyle="1" w:styleId="TableHeading">
    <w:name w:val="Table Heading"/>
    <w:basedOn w:val="HeadingBase"/>
    <w:rsid w:val="009D0F3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D0F3E"/>
    <w:rPr>
      <w:color w:val="0033CC"/>
      <w:u w:val="none"/>
    </w:rPr>
  </w:style>
  <w:style w:type="paragraph" w:customStyle="1" w:styleId="BodyTextRight">
    <w:name w:val="Body Text Right"/>
    <w:basedOn w:val="BodyText"/>
    <w:rsid w:val="009D0F3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D0F3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D0F3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D0F3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D0F3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D0F3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D0F3E"/>
    <w:rPr>
      <w:sz w:val="32"/>
    </w:rPr>
  </w:style>
  <w:style w:type="paragraph" w:customStyle="1" w:styleId="HeadingProcedure">
    <w:name w:val="Heading Procedure"/>
    <w:basedOn w:val="HeadingBase"/>
    <w:next w:val="Normal"/>
    <w:rsid w:val="009D0F3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D0F3E"/>
    <w:pPr>
      <w:spacing w:before="60" w:after="60"/>
    </w:pPr>
  </w:style>
  <w:style w:type="paragraph" w:styleId="ListContinue">
    <w:name w:val="List Continue"/>
    <w:basedOn w:val="List"/>
    <w:rsid w:val="009D0F3E"/>
    <w:pPr>
      <w:ind w:firstLine="0"/>
    </w:pPr>
  </w:style>
  <w:style w:type="paragraph" w:customStyle="1" w:styleId="ListNote">
    <w:name w:val="List Note"/>
    <w:basedOn w:val="List"/>
    <w:rsid w:val="009D0F3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D0F3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D0F3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D0F3E"/>
    <w:rPr>
      <w:rFonts w:ascii="Courier New" w:hAnsi="Courier New"/>
    </w:rPr>
  </w:style>
  <w:style w:type="paragraph" w:customStyle="1" w:styleId="NoteBullet">
    <w:name w:val="Note Bullet"/>
    <w:basedOn w:val="Note"/>
    <w:rsid w:val="009D0F3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D0F3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D0F3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D0F3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D0F3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D0F3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D0F3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D0F3E"/>
    <w:rPr>
      <w:b/>
      <w:smallCaps/>
    </w:rPr>
  </w:style>
  <w:style w:type="paragraph" w:customStyle="1" w:styleId="TableListNumber">
    <w:name w:val="Table List Number"/>
    <w:basedOn w:val="ListNumber"/>
    <w:rsid w:val="009D0F3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D0F3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D0F3E"/>
    <w:pPr>
      <w:numPr>
        <w:numId w:val="7"/>
      </w:numPr>
    </w:pPr>
  </w:style>
  <w:style w:type="paragraph" w:customStyle="1" w:styleId="ListAlpha2">
    <w:name w:val="List Alpha 2"/>
    <w:basedOn w:val="List2"/>
    <w:rsid w:val="009D0F3E"/>
    <w:pPr>
      <w:numPr>
        <w:numId w:val="6"/>
      </w:numPr>
    </w:pPr>
  </w:style>
  <w:style w:type="paragraph" w:styleId="List2">
    <w:name w:val="List 2"/>
    <w:basedOn w:val="BodyText"/>
    <w:rsid w:val="009D0F3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D0F3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D0F3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D0F3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D0F3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D0F3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D0F3E"/>
    <w:pPr>
      <w:numPr>
        <w:numId w:val="2"/>
      </w:numPr>
    </w:pPr>
  </w:style>
  <w:style w:type="paragraph" w:styleId="ListContinue2">
    <w:name w:val="List Continue 2"/>
    <w:basedOn w:val="List2"/>
    <w:rsid w:val="009D0F3E"/>
    <w:pPr>
      <w:ind w:firstLine="0"/>
    </w:pPr>
  </w:style>
  <w:style w:type="paragraph" w:styleId="ListContinue3">
    <w:name w:val="List Continue 3"/>
    <w:basedOn w:val="List3"/>
    <w:rsid w:val="009D0F3E"/>
    <w:pPr>
      <w:ind w:left="1021" w:firstLine="0"/>
    </w:pPr>
  </w:style>
  <w:style w:type="paragraph" w:styleId="ListContinue4">
    <w:name w:val="List Continue 4"/>
    <w:basedOn w:val="List4"/>
    <w:rsid w:val="009D0F3E"/>
    <w:pPr>
      <w:ind w:firstLine="0"/>
    </w:pPr>
  </w:style>
  <w:style w:type="paragraph" w:styleId="ListContinue5">
    <w:name w:val="List Continue 5"/>
    <w:basedOn w:val="List5"/>
    <w:rsid w:val="009D0F3E"/>
    <w:pPr>
      <w:ind w:firstLine="0"/>
    </w:pPr>
  </w:style>
  <w:style w:type="paragraph" w:styleId="ListNumber3">
    <w:name w:val="List Number 3"/>
    <w:basedOn w:val="List3"/>
    <w:rsid w:val="009D0F3E"/>
    <w:pPr>
      <w:numPr>
        <w:numId w:val="3"/>
      </w:numPr>
    </w:pPr>
  </w:style>
  <w:style w:type="paragraph" w:styleId="ListNumber4">
    <w:name w:val="List Number 4"/>
    <w:basedOn w:val="List4"/>
    <w:rsid w:val="009D0F3E"/>
    <w:pPr>
      <w:numPr>
        <w:numId w:val="4"/>
      </w:numPr>
    </w:pPr>
  </w:style>
  <w:style w:type="paragraph" w:styleId="ListNumber5">
    <w:name w:val="List Number 5"/>
    <w:basedOn w:val="List5"/>
    <w:rsid w:val="009D0F3E"/>
    <w:pPr>
      <w:numPr>
        <w:numId w:val="5"/>
      </w:numPr>
    </w:pPr>
  </w:style>
  <w:style w:type="paragraph" w:styleId="BlockText">
    <w:name w:val="Block Text"/>
    <w:basedOn w:val="Normal"/>
    <w:rsid w:val="009D0F3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D0F3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D0F3E"/>
    <w:rPr>
      <w:sz w:val="16"/>
      <w:vertAlign w:val="superscript"/>
    </w:rPr>
  </w:style>
  <w:style w:type="character" w:customStyle="1" w:styleId="Symbols">
    <w:name w:val="Symbols"/>
    <w:basedOn w:val="DefaultParagraphFont"/>
    <w:rsid w:val="009D0F3E"/>
    <w:rPr>
      <w:rFonts w:ascii="Symbol" w:hAnsi="Symbol"/>
    </w:rPr>
  </w:style>
  <w:style w:type="character" w:customStyle="1" w:styleId="MenuOptions">
    <w:name w:val="Menu Options"/>
    <w:basedOn w:val="DefaultParagraphFont"/>
    <w:rsid w:val="009D0F3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D0F3E"/>
    <w:rPr>
      <w:b/>
    </w:rPr>
  </w:style>
  <w:style w:type="character" w:customStyle="1" w:styleId="Underlined">
    <w:name w:val="Underlined"/>
    <w:basedOn w:val="DefaultParagraphFont"/>
    <w:rsid w:val="009D0F3E"/>
    <w:rPr>
      <w:u w:val="single"/>
    </w:rPr>
  </w:style>
  <w:style w:type="paragraph" w:customStyle="1" w:styleId="TableBodyTextRight">
    <w:name w:val="Table Body Text Right"/>
    <w:basedOn w:val="TableBodyText"/>
    <w:rsid w:val="009D0F3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D0F3E"/>
    <w:rPr>
      <w:sz w:val="18"/>
    </w:rPr>
  </w:style>
  <w:style w:type="paragraph" w:customStyle="1" w:styleId="BodySmallRight">
    <w:name w:val="Body Small Right"/>
    <w:basedOn w:val="BodyTextRight"/>
    <w:rsid w:val="009D0F3E"/>
    <w:rPr>
      <w:sz w:val="18"/>
      <w:szCs w:val="18"/>
    </w:rPr>
  </w:style>
  <w:style w:type="paragraph" w:customStyle="1" w:styleId="MarginEdition">
    <w:name w:val="Margin Edition"/>
    <w:basedOn w:val="MarginNote"/>
    <w:rsid w:val="009D0F3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D0F3E"/>
    <w:rPr>
      <w:sz w:val="2"/>
      <w:szCs w:val="2"/>
    </w:rPr>
  </w:style>
  <w:style w:type="character" w:customStyle="1" w:styleId="Small">
    <w:name w:val="Small"/>
    <w:basedOn w:val="DefaultParagraphFont"/>
    <w:rsid w:val="009D0F3E"/>
    <w:rPr>
      <w:sz w:val="16"/>
    </w:rPr>
  </w:style>
  <w:style w:type="paragraph" w:customStyle="1" w:styleId="WideTable">
    <w:name w:val="Wide Table"/>
    <w:basedOn w:val="Normal"/>
    <w:rsid w:val="009D0F3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D0F3E"/>
  </w:style>
  <w:style w:type="paragraph" w:styleId="Quote">
    <w:name w:val="Quote"/>
    <w:basedOn w:val="Heading1"/>
    <w:link w:val="QuoteChar"/>
    <w:qFormat/>
    <w:rsid w:val="009D0F3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D0F3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D0F3E"/>
    <w:pPr>
      <w:pageBreakBefore/>
    </w:pPr>
  </w:style>
  <w:style w:type="paragraph" w:customStyle="1" w:styleId="Border">
    <w:name w:val="Border"/>
    <w:basedOn w:val="Normal"/>
    <w:qFormat/>
    <w:rsid w:val="009D0F3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D0F3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0F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0F3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D0F3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D0F3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D0F3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D0F3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D0F3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D0F3E"/>
    <w:rPr>
      <w:u w:val="single"/>
    </w:rPr>
  </w:style>
  <w:style w:type="character" w:customStyle="1" w:styleId="BoldandItalics">
    <w:name w:val="Bold and Italics"/>
    <w:qFormat/>
    <w:rsid w:val="009D0F3E"/>
    <w:rPr>
      <w:b/>
      <w:i/>
      <w:u w:val="none"/>
    </w:rPr>
  </w:style>
  <w:style w:type="paragraph" w:styleId="BalloonText">
    <w:name w:val="Balloon Text"/>
    <w:basedOn w:val="Normal"/>
    <w:link w:val="BalloonTextChar"/>
    <w:rsid w:val="009D0F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D0F3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D0F3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D0F3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D0F3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D0F3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D0F3E"/>
    <w:pPr>
      <w:spacing w:before="0" w:after="0"/>
    </w:pPr>
  </w:style>
  <w:style w:type="paragraph" w:customStyle="1" w:styleId="BodyTextBold">
    <w:name w:val="Body Text Bold"/>
    <w:basedOn w:val="BodyText"/>
    <w:qFormat/>
    <w:rsid w:val="009D0F3E"/>
    <w:rPr>
      <w:b/>
    </w:rPr>
  </w:style>
  <w:style w:type="character" w:styleId="Hyperlink">
    <w:name w:val="Hyperlink"/>
    <w:basedOn w:val="DefaultParagraphFont"/>
    <w:uiPriority w:val="99"/>
    <w:unhideWhenUsed/>
    <w:rsid w:val="007B394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431</Words>
  <Characters>2906</Characters>
  <Application>Microsoft Office Word</Application>
  <DocSecurity>0</DocSecurity>
  <Lines>121</Lines>
  <Paragraphs>65</Paragraphs>
  <ScaleCrop>false</ScaleCrop>
  <Company>Author-it Software Corporation Ltd.</Company>
  <LinksUpToDate>false</LinksUpToDate>
  <CharactersWithSpaces>3272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CPCPWT3027 Install backflow prevention devices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2025-02-11T06:19:00Z</dcterms:created>
  <dcterms:modified xsi:type="dcterms:W3CDTF">2025-02-11T06:19:00Z</dcterms:modified>
</cp:coreProperties>
</file>