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853" w:rsidP="00EE7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CPCPWT3027 Install backflow prevention devices</w:t>
      </w:r>
      <w:r>
        <w:fldChar w:fldCharType="end"/>
      </w:r>
    </w:p>
    <w:p w:rsidR="00EE7853" w:rsidP="00EE7853">
      <w:pPr>
        <w:pStyle w:val="Version"/>
        <w:sectPr w:rsidSect="00FE0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E0BBC" w:rsidP="00FE0BBC">
      <w:pPr>
        <w:pStyle w:val="SuperHeading"/>
      </w:pPr>
      <w:r w:rsidRPr="00FE0BBC">
        <w:t>CPCPWT3027 Install backflow prevention devices</w:t>
      </w:r>
    </w:p>
    <w:p w:rsidR="00000000" w:rsidRPr="00FE0BBC" w:rsidP="00FE0BBC">
      <w:pPr>
        <w:pStyle w:val="Heading1"/>
      </w:pPr>
      <w:bookmarkStart w:id="1" w:name="O_1172990"/>
      <w:bookmarkEnd w:id="1"/>
      <w:r w:rsidRPr="00FE0B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BBC" w:rsidP="00FE0BBC">
            <w:pPr>
              <w:pStyle w:val="BodyText"/>
            </w:pPr>
            <w:r w:rsidRPr="00FE0BBC">
              <w:t>This version first released with CPC Construction, Plumbing and Services Training Package Release 6.2.</w:t>
            </w:r>
          </w:p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 xml:space="preserve">Correction to prerequisite unit code from </w:t>
            </w:r>
            <w:r w:rsidRPr="00FE0BBC">
              <w:rPr>
                <w:rStyle w:val="Emphasis"/>
              </w:rPr>
              <w:t>CPCPCM2043A Carry out WHS requirements</w:t>
            </w:r>
            <w:r w:rsidRPr="00FE0BBC">
              <w:t xml:space="preserve"> to </w:t>
            </w:r>
            <w:r w:rsidRPr="00FE0BBC">
              <w:rPr>
                <w:rStyle w:val="Emphasis"/>
              </w:rPr>
              <w:t>CPCPCM2043 Carry out WHS requ</w:t>
            </w:r>
            <w:r w:rsidRPr="00FE0BBC">
              <w:rPr>
                <w:rStyle w:val="Emphasis"/>
              </w:rPr>
              <w:t>irements</w:t>
            </w:r>
            <w:r w:rsidRPr="00FE0BBC">
              <w:t>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BBC" w:rsidP="00FE0BBC">
            <w:pPr>
              <w:pStyle w:val="BodyText"/>
            </w:pPr>
            <w:r w:rsidRPr="00FE0BBC">
              <w:t>This version first released with CPC Construction, Plumbing and Services Training Package Release 5.1.</w:t>
            </w:r>
          </w:p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Typographical error in Elements and Performance Criteria 1 corrected.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BBC" w:rsidP="00FE0BBC">
            <w:pPr>
              <w:pStyle w:val="BodyText"/>
            </w:pPr>
            <w:r w:rsidRPr="00FE0BBC">
              <w:t xml:space="preserve">This version first released with CPC Construction, </w:t>
            </w:r>
            <w:r w:rsidRPr="00FE0BBC">
              <w:t>Plumbing and Services Training Package Release 5.0.</w:t>
            </w:r>
          </w:p>
          <w:p w:rsidR="00000000" w:rsidRPr="00FE0BBC" w:rsidP="00FE0BBC">
            <w:pPr>
              <w:pStyle w:val="BodyText"/>
            </w:pPr>
            <w:r w:rsidRPr="00FE0BBC">
              <w:t>Supersedes and is equivalent to CPCPWT3027A Connect irrigation systems from drinking water supply.  Updated to meet the Standards for Training Packages 2012.</w:t>
            </w:r>
          </w:p>
        </w:tc>
      </w:tr>
    </w:tbl>
    <w:p w:rsidR="00000000" w:rsidRPr="00FE0BBC" w:rsidP="00FE0BBC">
      <w:pPr>
        <w:pStyle w:val="BodyText"/>
      </w:pPr>
    </w:p>
    <w:p w:rsidR="00000000" w:rsidRPr="00FE0BBC" w:rsidP="00FE0BBC">
      <w:pPr>
        <w:pStyle w:val="AllowPageBreak"/>
      </w:pPr>
    </w:p>
    <w:p w:rsidR="00000000" w:rsidRPr="00FE0BBC" w:rsidP="00FE0BBC">
      <w:pPr>
        <w:pStyle w:val="Heading1"/>
      </w:pPr>
      <w:bookmarkStart w:id="2" w:name="O_1172989"/>
      <w:bookmarkEnd w:id="2"/>
      <w:r w:rsidRPr="00FE0BBC">
        <w:t>Application</w:t>
      </w:r>
    </w:p>
    <w:p w:rsidR="00000000" w:rsidRPr="00FE0BBC" w:rsidP="00EE7853">
      <w:pPr>
        <w:pStyle w:val="BodyText"/>
      </w:pPr>
      <w:r w:rsidRPr="00FE0BBC">
        <w:t>This unit spe</w:t>
      </w:r>
      <w:r w:rsidRPr="00FE0BBC">
        <w:t>cifies the skills and knowledge required to install backflow prevention devices. It does not include the commissioning or testing of backflow prevention devices or arrangements.</w:t>
      </w:r>
    </w:p>
    <w:p w:rsidR="00000000" w:rsidRPr="00FE0BBC" w:rsidP="00EE7853">
      <w:pPr>
        <w:pStyle w:val="BodyText"/>
      </w:pPr>
      <w:r w:rsidRPr="00FE0BBC">
        <w:t>In some jurisdictions, this unit of competency may form part of accreditation,</w:t>
      </w:r>
      <w:r w:rsidRPr="00FE0BBC">
        <w:t xml:space="preserve"> licensing, legislative, regulatory or certification requirements. </w:t>
      </w:r>
    </w:p>
    <w:p w:rsidR="00000000" w:rsidRPr="00FE0BBC" w:rsidP="00FE0BBC">
      <w:pPr>
        <w:pStyle w:val="Heading1"/>
      </w:pPr>
      <w:bookmarkStart w:id="3" w:name="O_1172988"/>
      <w:bookmarkEnd w:id="3"/>
      <w:r w:rsidRPr="00FE0BB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 xml:space="preserve">CPCPCM2043 Carry out WHS requirements 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BBC" w:rsidP="00FE0BBC">
            <w:pPr>
              <w:pStyle w:val="BodyText"/>
            </w:pPr>
            <w:r w:rsidRPr="00FE0BBC">
              <w:t>CPCPCM3023 Fabricate and install non-ferrous pressure piping.</w:t>
            </w:r>
          </w:p>
        </w:tc>
      </w:tr>
    </w:tbl>
    <w:p w:rsidR="00000000" w:rsidRPr="00FE0BBC" w:rsidP="00FE0BBC">
      <w:pPr>
        <w:pStyle w:val="BodyText"/>
      </w:pPr>
    </w:p>
    <w:p w:rsidR="00000000" w:rsidRPr="00FE0BBC" w:rsidP="00FE0BBC">
      <w:pPr>
        <w:pStyle w:val="AllowPageBreak"/>
      </w:pPr>
    </w:p>
    <w:p w:rsidR="00000000" w:rsidRPr="00FE0BBC" w:rsidP="00FE0BBC">
      <w:pPr>
        <w:pStyle w:val="Heading1"/>
      </w:pPr>
      <w:bookmarkStart w:id="4" w:name="O_1172987"/>
      <w:bookmarkEnd w:id="4"/>
      <w:r w:rsidRPr="00FE0BBC">
        <w:t>Unit Sector</w:t>
      </w:r>
    </w:p>
    <w:p w:rsidR="00000000" w:rsidRPr="00FE0BBC" w:rsidP="00EE7853">
      <w:pPr>
        <w:pStyle w:val="BodyText"/>
      </w:pPr>
      <w:r w:rsidRPr="00FE0BBC">
        <w:t>Plumbing and Fire Services</w:t>
      </w:r>
    </w:p>
    <w:p w:rsidR="00000000" w:rsidRPr="00FE0BBC" w:rsidP="00FE0BBC">
      <w:pPr>
        <w:pStyle w:val="Heading1"/>
      </w:pPr>
      <w:bookmarkStart w:id="5" w:name="O_1172986"/>
      <w:bookmarkEnd w:id="5"/>
      <w:r w:rsidRPr="00FE0B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Performance criteria describe what needs to be done to demonstrate achievement of the element.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Access, read and determine backflow prevention device installation requirements from relevant job plans and specifications, codes, Australian standards, manufacturer’s specifications and jurisdictional requirements.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Identify and apply workplace, work health and safety (WHS) and environmental requirements.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Create a materials list and collect materials.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Select and ch</w:t>
            </w:r>
            <w:r w:rsidRPr="00FE0BBC">
              <w:t>eck serviceability of appropriate tools and equipment including personal protective equipment (PPE).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Connect and test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Set out and install backflow prevention device according to relevant from relevant job plans, specifications, codes, Australian standards, manufacturer’s specifications and jurisdictional requirements.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Test installed pipework according to relevant j</w:t>
            </w:r>
            <w:r w:rsidRPr="00FE0BBC">
              <w:t>ob specifications, codes, Australian standards, manufacturer’s specifications and jurisdictional requirements.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Clear the work area and dispose of any materials in accordance with state and territory legislation a</w:t>
            </w:r>
            <w:r w:rsidRPr="00FE0BBC">
              <w:t>nd workplace procedures.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BBC" w:rsidP="00FE0BBC">
            <w:pPr>
              <w:pStyle w:val="BodyText"/>
            </w:pPr>
            <w:r w:rsidRPr="00FE0BBC">
              <w:t>Clean, check for serviceability and store and secure plant, equipment and tools reporting any damage to appropriate personnel.</w:t>
            </w:r>
          </w:p>
        </w:tc>
      </w:tr>
    </w:tbl>
    <w:p w:rsidR="00000000" w:rsidRPr="00FE0BBC" w:rsidP="00FE0BBC">
      <w:pPr>
        <w:pStyle w:val="BodyText"/>
      </w:pPr>
    </w:p>
    <w:p w:rsidR="00000000" w:rsidRPr="00FE0BBC" w:rsidP="00FE0BBC">
      <w:pPr>
        <w:pStyle w:val="AllowPageBreak"/>
      </w:pPr>
    </w:p>
    <w:p w:rsidR="00000000" w:rsidRPr="00FE0BBC" w:rsidP="00FE0BBC">
      <w:pPr>
        <w:pStyle w:val="Heading1"/>
      </w:pPr>
      <w:bookmarkStart w:id="6" w:name="O_1172985"/>
      <w:bookmarkEnd w:id="6"/>
      <w:r w:rsidRPr="00FE0BBC">
        <w:t>Foundation Skills</w:t>
      </w:r>
    </w:p>
    <w:p w:rsidR="00000000" w:rsidRPr="00FE0BBC" w:rsidP="00EE7853">
      <w:pPr>
        <w:pStyle w:val="BodyText"/>
      </w:pPr>
      <w:r w:rsidRPr="00FE0BBC">
        <w:t xml:space="preserve">Foundation skills essential to performance are explicit in the performance criteria of this unit of competency. </w:t>
      </w:r>
    </w:p>
    <w:p w:rsidR="00000000" w:rsidRPr="00FE0BBC" w:rsidP="00FE0BBC">
      <w:pPr>
        <w:pStyle w:val="Heading1"/>
      </w:pPr>
      <w:bookmarkStart w:id="7" w:name="O_1172984"/>
      <w:bookmarkEnd w:id="7"/>
      <w:r w:rsidRPr="00FE0BBC">
        <w:t>Unit Mapping Information</w:t>
      </w:r>
    </w:p>
    <w:p w:rsidR="00000000" w:rsidRPr="00FE0BBC" w:rsidP="00EE7853">
      <w:pPr>
        <w:pStyle w:val="BodyText"/>
      </w:pPr>
      <w:r w:rsidRPr="00FE0BBC">
        <w:t>Supersedes and is equivalent to CPCPWT3027A Connect irrigation systems from drinking water supply.</w:t>
      </w:r>
    </w:p>
    <w:p w:rsidR="00000000" w:rsidRPr="00FE0BBC" w:rsidP="00FE0BBC">
      <w:pPr>
        <w:pStyle w:val="Heading1"/>
      </w:pPr>
      <w:bookmarkStart w:id="8" w:name="O_1172991"/>
      <w:bookmarkEnd w:id="8"/>
      <w:r w:rsidRPr="00FE0BBC">
        <w:t>Links</w:t>
      </w:r>
    </w:p>
    <w:p w:rsidR="00000000" w:rsidRPr="00FE0BBC" w:rsidP="00EE7853">
      <w:pPr>
        <w:pStyle w:val="BodyText"/>
      </w:pPr>
      <w:r w:rsidRPr="00FE0BB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5A9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E0BBC" w:rsidP="00EE7853">
      <w:pPr>
        <w:pStyle w:val="BodyText"/>
        <w:sectPr w:rsidSect="00FE0B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0BBC" w:rsidP="00FE0BBC">
      <w:pPr>
        <w:pStyle w:val="SuperHeading"/>
      </w:pPr>
      <w:r w:rsidRPr="00FE0BBC">
        <w:t xml:space="preserve">Assessment </w:t>
      </w:r>
      <w:r w:rsidRPr="00FE0BBC">
        <w:t>Requirements for CPCPWT3027 Install backflow prevention devices</w:t>
      </w:r>
    </w:p>
    <w:p w:rsidR="00000000" w:rsidRPr="00FE0BBC" w:rsidP="00FE0BBC">
      <w:pPr>
        <w:pStyle w:val="Heading1"/>
      </w:pPr>
      <w:bookmarkStart w:id="9" w:name="O_1172982"/>
      <w:bookmarkEnd w:id="9"/>
      <w:r w:rsidRPr="00FE0B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BBC" w:rsidP="00FE0BBC">
            <w:pPr>
              <w:pStyle w:val="BodyText"/>
            </w:pPr>
            <w:r w:rsidRPr="00FE0BBC">
              <w:t>This version first released with CPC Construction, Plumbing and Services Training Package Release 6.2.</w:t>
            </w:r>
          </w:p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Correction to prerequisite unit code fro</w:t>
            </w:r>
            <w:r w:rsidRPr="00FE0BBC">
              <w:t>m CPCPCM2043A Carry out WHS requirements to CPCPCM2043 Carry out WHS requirements.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BBC" w:rsidP="00FE0BBC">
            <w:pPr>
              <w:pStyle w:val="BodyText"/>
            </w:pPr>
            <w:r w:rsidRPr="00FE0BBC">
              <w:t>This version first released with CPC Construction, Plumbing and Services Training Package Release 5.1.</w:t>
            </w:r>
          </w:p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 xml:space="preserve">Typographical error in Elements and Performance Criteria 1 </w:t>
            </w:r>
            <w:r w:rsidRPr="00FE0BBC">
              <w:t>corrected.</w:t>
            </w:r>
          </w:p>
        </w:tc>
      </w:tr>
      <w:tr w:rsidTr="00FE0B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BBC">
            <w:pPr>
              <w:pStyle w:val="BodyText"/>
              <w:rPr>
                <w:lang w:val="en-NZ"/>
              </w:rPr>
            </w:pPr>
            <w:r w:rsidRPr="00FE0BB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BBC" w:rsidP="00FE0BBC">
            <w:pPr>
              <w:pStyle w:val="BodyText"/>
            </w:pPr>
            <w:r w:rsidRPr="00FE0BBC">
              <w:t>This version first released with CPC Construction, Plumbing and Services Training Package Release 5.0.</w:t>
            </w:r>
          </w:p>
          <w:p w:rsidR="00000000" w:rsidRPr="00FE0BBC" w:rsidP="00FE0BBC">
            <w:pPr>
              <w:pStyle w:val="BodyText"/>
            </w:pPr>
            <w:r w:rsidRPr="00FE0BBC">
              <w:t>Supersedes and is equivalent to CPCPWT3027A Connect irrigation systems from drinking water supply.  Updated to meet the Standards f</w:t>
            </w:r>
            <w:r w:rsidRPr="00FE0BBC">
              <w:t>or Training Packages 2012.</w:t>
            </w:r>
          </w:p>
        </w:tc>
      </w:tr>
    </w:tbl>
    <w:p w:rsidR="00000000" w:rsidRPr="00FE0BBC" w:rsidP="00FE0BBC">
      <w:pPr>
        <w:pStyle w:val="BodyText"/>
      </w:pPr>
    </w:p>
    <w:p w:rsidR="00000000" w:rsidRPr="00FE0BBC" w:rsidP="00FE0BBC">
      <w:pPr>
        <w:pStyle w:val="AllowPageBreak"/>
      </w:pPr>
    </w:p>
    <w:p w:rsidR="00000000" w:rsidRPr="00FE0BBC" w:rsidP="00FE0BBC">
      <w:pPr>
        <w:pStyle w:val="Heading1"/>
      </w:pPr>
      <w:bookmarkStart w:id="10" w:name="O_1172981"/>
      <w:bookmarkEnd w:id="10"/>
      <w:r w:rsidRPr="00FE0BBC">
        <w:t>Performance Evidence</w:t>
      </w:r>
    </w:p>
    <w:p w:rsidR="00000000" w:rsidRPr="00FE0BBC" w:rsidP="00EE7853">
      <w:pPr>
        <w:pStyle w:val="BodyText"/>
      </w:pPr>
      <w:r w:rsidRPr="00FE0BBC">
        <w:t>To demonstrate competency, a candidate must meet the performance criteria for this unit by:</w:t>
      </w:r>
    </w:p>
    <w:p w:rsidR="00000000" w:rsidRPr="00FE0BBC" w:rsidP="00FE0BBC">
      <w:pPr>
        <w:pStyle w:val="ListBullet"/>
      </w:pPr>
      <w:r w:rsidRPr="00FE0BBC">
        <w:t>installing three different backflow prevention devices one being low hazard rating, one being a medium hazard rating, and one being a high hazard rating from the list below, including pipework to inlet of the backflow device and ancillary equipment.</w:t>
      </w:r>
    </w:p>
    <w:p w:rsidR="00000000" w:rsidRPr="00FE0BBC" w:rsidP="00FE0BBC">
      <w:pPr>
        <w:pStyle w:val="ListBullet"/>
      </w:pPr>
      <w:r w:rsidRPr="00FE0BBC">
        <w:t>Low ha</w:t>
      </w:r>
      <w:r w:rsidRPr="00FE0BBC">
        <w:t>zard device defined as:</w:t>
      </w:r>
    </w:p>
    <w:p w:rsidR="00000000" w:rsidRPr="00FE0BBC" w:rsidP="00FE0BBC">
      <w:pPr>
        <w:pStyle w:val="ListBullet2"/>
      </w:pPr>
      <w:r w:rsidRPr="00FE0BBC">
        <w:t>dual-check valve with atmospheric port</w:t>
      </w:r>
    </w:p>
    <w:p w:rsidR="00000000" w:rsidRPr="00FE0BBC" w:rsidP="00FE0BBC">
      <w:pPr>
        <w:pStyle w:val="ListBullet2"/>
      </w:pPr>
      <w:r w:rsidRPr="00FE0BBC">
        <w:t>dual-check valve</w:t>
      </w:r>
    </w:p>
    <w:p w:rsidR="00000000" w:rsidRPr="00FE0BBC" w:rsidP="00FE0BBC">
      <w:pPr>
        <w:pStyle w:val="ListBullet2"/>
      </w:pPr>
      <w:r w:rsidRPr="00FE0BBC">
        <w:t>dual-check valve with intermediate vent</w:t>
      </w:r>
    </w:p>
    <w:p w:rsidR="00000000" w:rsidRPr="00FE0BBC" w:rsidP="00FE0BBC">
      <w:pPr>
        <w:pStyle w:val="ListBullet2"/>
      </w:pPr>
      <w:r w:rsidRPr="00FE0BBC">
        <w:t>atmospheric vacuum breaker</w:t>
      </w:r>
    </w:p>
    <w:p w:rsidR="00000000" w:rsidRPr="00FE0BBC" w:rsidP="00FE0BBC">
      <w:pPr>
        <w:pStyle w:val="ListBullet2"/>
      </w:pPr>
      <w:r w:rsidRPr="00FE0BBC">
        <w:t>single check valve (testable)</w:t>
      </w:r>
    </w:p>
    <w:p w:rsidR="00000000" w:rsidRPr="00FE0BBC" w:rsidP="00FE0BBC">
      <w:pPr>
        <w:pStyle w:val="ListBullet2"/>
      </w:pPr>
      <w:r w:rsidRPr="00FE0BBC">
        <w:t>single check detector assembly (testable).</w:t>
      </w:r>
    </w:p>
    <w:p w:rsidR="00000000" w:rsidRPr="00FE0BBC" w:rsidP="00FE0BBC">
      <w:pPr>
        <w:pStyle w:val="ListBullet"/>
      </w:pPr>
      <w:r w:rsidRPr="00FE0BBC">
        <w:t>Medium hazard testable device defi</w:t>
      </w:r>
      <w:r w:rsidRPr="00FE0BBC">
        <w:t>ned as:</w:t>
      </w:r>
    </w:p>
    <w:p w:rsidR="00000000" w:rsidRPr="00FE0BBC" w:rsidP="00FE0BBC">
      <w:pPr>
        <w:pStyle w:val="ListBullet2"/>
      </w:pPr>
      <w:r w:rsidRPr="00FE0BBC">
        <w:t>double-check valve assembly</w:t>
      </w:r>
    </w:p>
    <w:p w:rsidR="00000000" w:rsidRPr="00FE0BBC" w:rsidP="00FE0BBC">
      <w:pPr>
        <w:pStyle w:val="ListBullet2"/>
      </w:pPr>
      <w:r w:rsidRPr="00FE0BBC">
        <w:t>double-check detector assembly</w:t>
      </w:r>
    </w:p>
    <w:p w:rsidR="00000000" w:rsidRPr="00FE0BBC" w:rsidP="00FE0BBC">
      <w:pPr>
        <w:pStyle w:val="ListBullet2"/>
      </w:pPr>
      <w:r w:rsidRPr="00FE0BBC">
        <w:t>pressure type vacuum breaker.</w:t>
      </w:r>
    </w:p>
    <w:p w:rsidR="00000000" w:rsidRPr="00FE0BBC" w:rsidP="00FE0BBC">
      <w:pPr>
        <w:pStyle w:val="ListBullet"/>
      </w:pPr>
      <w:r w:rsidRPr="00FE0BBC">
        <w:t>High hazard testable device defined as:</w:t>
      </w:r>
    </w:p>
    <w:p w:rsidR="00000000" w:rsidRPr="00FE0BBC" w:rsidP="00FE0BBC">
      <w:pPr>
        <w:pStyle w:val="ListBullet2"/>
      </w:pPr>
      <w:r w:rsidRPr="00FE0BBC">
        <w:t>registered break tank</w:t>
      </w:r>
    </w:p>
    <w:p w:rsidR="00000000" w:rsidRPr="00FE0BBC" w:rsidP="00FE0BBC">
      <w:pPr>
        <w:pStyle w:val="ListBullet2"/>
      </w:pPr>
      <w:r w:rsidRPr="00FE0BBC">
        <w:t>registered air gap</w:t>
      </w:r>
    </w:p>
    <w:p w:rsidR="00000000" w:rsidRPr="00FE0BBC" w:rsidP="00FE0BBC">
      <w:pPr>
        <w:pStyle w:val="ListBullet2"/>
      </w:pPr>
      <w:r w:rsidRPr="00FE0BBC">
        <w:t>reduced pressure zone device</w:t>
      </w:r>
    </w:p>
    <w:p w:rsidR="00000000" w:rsidRPr="00FE0BBC" w:rsidP="00FE0BBC">
      <w:pPr>
        <w:pStyle w:val="ListBullet2"/>
      </w:pPr>
      <w:r w:rsidRPr="00FE0BBC">
        <w:t>reduced pressure detector assembly.</w:t>
      </w:r>
    </w:p>
    <w:p w:rsidR="00000000" w:rsidRPr="00FE0BBC" w:rsidP="00FE0BBC">
      <w:pPr>
        <w:pStyle w:val="AllowPageBreak"/>
      </w:pPr>
    </w:p>
    <w:p w:rsidR="00000000" w:rsidRPr="00FE0BBC" w:rsidP="00FE0BBC">
      <w:pPr>
        <w:pStyle w:val="Heading1"/>
      </w:pPr>
      <w:bookmarkStart w:id="11" w:name="O_1172980"/>
      <w:bookmarkEnd w:id="11"/>
      <w:r w:rsidRPr="00FE0BBC">
        <w:t>Knowledge Evidence</w:t>
      </w:r>
    </w:p>
    <w:p w:rsidR="00000000" w:rsidRPr="00FE0BBC" w:rsidP="00EE7853">
      <w:pPr>
        <w:pStyle w:val="BodyText"/>
      </w:pPr>
      <w:r w:rsidRPr="00FE0BBC">
        <w:t>To be competent in this unit, a person must demonstrate knowledge of:</w:t>
      </w:r>
    </w:p>
    <w:p w:rsidR="00000000" w:rsidRPr="00FE0BBC" w:rsidP="00FE0BBC">
      <w:pPr>
        <w:pStyle w:val="ListBullet"/>
      </w:pPr>
      <w:r w:rsidRPr="00FE0BBC">
        <w:t xml:space="preserve">pressure and flow rates </w:t>
      </w:r>
    </w:p>
    <w:p w:rsidR="00000000" w:rsidRPr="00FE0BBC" w:rsidP="00FE0BBC">
      <w:pPr>
        <w:pStyle w:val="ListBullet"/>
      </w:pPr>
      <w:r w:rsidRPr="00FE0BBC">
        <w:t>types of backflow prevention devices such as:</w:t>
      </w:r>
    </w:p>
    <w:p w:rsidR="00000000" w:rsidRPr="00FE0BBC" w:rsidP="00FE0BBC">
      <w:pPr>
        <w:pStyle w:val="ListBullet2"/>
      </w:pPr>
      <w:r w:rsidRPr="00FE0BBC">
        <w:t>testable</w:t>
      </w:r>
    </w:p>
    <w:p w:rsidR="00000000" w:rsidRPr="00FE0BBC" w:rsidP="00FE0BBC">
      <w:pPr>
        <w:pStyle w:val="ListBullet2"/>
      </w:pPr>
      <w:r w:rsidRPr="00FE0BBC">
        <w:t>non-testable</w:t>
      </w:r>
    </w:p>
    <w:p w:rsidR="00000000" w:rsidRPr="00FE0BBC" w:rsidP="00FE0BBC">
      <w:pPr>
        <w:pStyle w:val="ListBullet"/>
      </w:pPr>
      <w:r w:rsidRPr="00FE0BBC">
        <w:t xml:space="preserve">backflow hazard ratings </w:t>
      </w:r>
    </w:p>
    <w:p w:rsidR="00000000" w:rsidRPr="00FE0BBC" w:rsidP="00FE0BBC">
      <w:pPr>
        <w:pStyle w:val="ListBullet"/>
      </w:pPr>
      <w:r w:rsidRPr="00FE0BBC">
        <w:t>suitability of backflow prevention devices</w:t>
      </w:r>
    </w:p>
    <w:p w:rsidR="00000000" w:rsidRPr="00FE0BBC" w:rsidP="00FE0BBC">
      <w:pPr>
        <w:pStyle w:val="ListBullet"/>
      </w:pPr>
      <w:r w:rsidRPr="00FE0BBC">
        <w:t>types of irrigation systems</w:t>
      </w:r>
    </w:p>
    <w:p w:rsidR="00000000" w:rsidRPr="00FE0BBC" w:rsidP="00FE0BBC">
      <w:pPr>
        <w:pStyle w:val="ListBullet"/>
      </w:pPr>
      <w:r w:rsidRPr="00FE0BBC">
        <w:t>how to access relevant information, including codes and standards</w:t>
      </w:r>
    </w:p>
    <w:p w:rsidR="00000000" w:rsidRPr="00FE0BBC" w:rsidP="00FE0BBC">
      <w:pPr>
        <w:pStyle w:val="ListBullet"/>
      </w:pPr>
      <w:r w:rsidRPr="00FE0BBC">
        <w:t>tools, materials and equipment used to install backflow prevention devices</w:t>
      </w:r>
    </w:p>
    <w:p w:rsidR="00000000" w:rsidRPr="00FE0BBC" w:rsidP="00FE0BBC">
      <w:pPr>
        <w:pStyle w:val="ListBullet"/>
      </w:pPr>
      <w:r w:rsidRPr="00FE0BBC">
        <w:t>work health and safety (WHS) requirements to</w:t>
      </w:r>
      <w:r w:rsidRPr="00FE0BBC">
        <w:t xml:space="preserve"> install backflow prevention devices. </w:t>
      </w:r>
    </w:p>
    <w:p w:rsidR="00000000" w:rsidRPr="00FE0BBC" w:rsidP="00FE0BBC">
      <w:pPr>
        <w:pStyle w:val="AllowPageBreak"/>
      </w:pPr>
    </w:p>
    <w:p w:rsidR="00000000" w:rsidRPr="00FE0BBC" w:rsidP="00FE0BBC">
      <w:pPr>
        <w:pStyle w:val="Heading1"/>
      </w:pPr>
      <w:bookmarkStart w:id="12" w:name="O_1172979"/>
      <w:bookmarkEnd w:id="12"/>
      <w:r w:rsidRPr="00FE0BBC">
        <w:t>Assessment Conditions</w:t>
      </w:r>
    </w:p>
    <w:p w:rsidR="00000000" w:rsidRPr="00FE0BBC" w:rsidP="00EE7853">
      <w:pPr>
        <w:pStyle w:val="BodyText"/>
      </w:pPr>
      <w:r w:rsidRPr="00FE0BBC">
        <w:t>Assessors must meet the requirements for assessors contained in the Standards for Registered Training Organisations.</w:t>
      </w:r>
    </w:p>
    <w:p w:rsidR="00000000" w:rsidRPr="00FE0BBC" w:rsidP="00EE7853">
      <w:pPr>
        <w:pStyle w:val="BodyText"/>
      </w:pPr>
      <w:r w:rsidRPr="00FE0BBC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FE0BBC" w:rsidP="00FE0BBC">
      <w:pPr>
        <w:pStyle w:val="Heading1"/>
      </w:pPr>
      <w:bookmarkStart w:id="13" w:name="O_1172992"/>
      <w:bookmarkEnd w:id="13"/>
      <w:r w:rsidRPr="00FE0BBC">
        <w:t>Links</w:t>
      </w:r>
    </w:p>
    <w:p w:rsidR="00000000" w:rsidRPr="00FE0BBC" w:rsidP="00EE7853">
      <w:pPr>
        <w:pStyle w:val="BodyText"/>
      </w:pPr>
      <w:r w:rsidRPr="00FE0BBC">
        <w:t>Companion volumes to</w:t>
      </w:r>
      <w:r w:rsidRPr="00FE0BBC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35A9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E0BBC" w:rsidP="00FE0BBC"/>
    <w:sectPr w:rsidSect="00FE0B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BC" w:rsidRPr="00EE7853" w:rsidP="00EE7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853" w:rsidP="00FE0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853" w:rsidP="00FE0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E7853" w:rsidP="00FE0B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BC" w:rsidP="00FE0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7853">
      <w:t>Approved</w:t>
    </w:r>
    <w:r w:rsidR="00EE78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78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7853">
      <w:rPr>
        <w:noProof/>
      </w:rPr>
      <w:t>4</w:t>
    </w:r>
    <w:r>
      <w:rPr>
        <w:noProof/>
      </w:rPr>
      <w:fldChar w:fldCharType="end"/>
    </w:r>
  </w:p>
  <w:p w:rsidR="00FE0BBC" w:rsidP="00FE0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78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7853">
      <w:t>BuildSkills Australia</w:t>
    </w:r>
    <w:r w:rsidR="00EE7853">
      <w:fldChar w:fldCharType="end"/>
    </w:r>
  </w:p>
  <w:p w:rsidR="00FE0BBC" w:rsidP="00FE0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BBC" w:rsidRPr="00EE7853" w:rsidP="00EE7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853" w:rsidRPr="002D2AF8" w:rsidP="00FE0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CPCPWT3027 Install backflow prevention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7853" w:rsidP="00FE0B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BBC" w:rsidRPr="002D2AF8" w:rsidP="00FE0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7853">
      <w:t>CPCPWT3027 Install backflow prevention devices</w:t>
    </w:r>
    <w:r w:rsidR="00EE78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7853">
      <w:rPr>
        <w:noProof/>
      </w:rPr>
      <w:t>2 March 2025</w:t>
    </w:r>
    <w:r>
      <w:fldChar w:fldCharType="end"/>
    </w:r>
  </w:p>
  <w:p w:rsidR="00FE0BBC" w:rsidP="00FE0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6E6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805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045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BBC"/>
  </w:style>
  <w:style w:type="character" w:customStyle="1" w:styleId="Heading1Char">
    <w:name w:val="Heading 1 Char"/>
    <w:basedOn w:val="DefaultParagraphFont"/>
    <w:link w:val="Heading1"/>
    <w:rsid w:val="00FE0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B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B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0B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0BBC"/>
    <w:rPr>
      <w:i/>
    </w:rPr>
  </w:style>
  <w:style w:type="paragraph" w:customStyle="1" w:styleId="SuperHeading">
    <w:name w:val="SuperHeading"/>
    <w:basedOn w:val="Normal"/>
    <w:rsid w:val="00FE0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BBC"/>
    <w:rPr>
      <w:b/>
      <w:spacing w:val="0"/>
    </w:rPr>
  </w:style>
  <w:style w:type="paragraph" w:customStyle="1" w:styleId="SuperTitle">
    <w:name w:val="SuperTitle"/>
    <w:basedOn w:val="Title"/>
    <w:rsid w:val="00FE0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0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B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0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BBC"/>
  </w:style>
  <w:style w:type="paragraph" w:styleId="TableofFigures">
    <w:name w:val="table of figures"/>
    <w:basedOn w:val="Normal"/>
    <w:next w:val="Normal"/>
    <w:semiHidden/>
    <w:rsid w:val="00FE0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B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0BBC"/>
    <w:rPr>
      <w:rFonts w:ascii="Wingdings" w:hAnsi="Wingdings"/>
    </w:rPr>
  </w:style>
  <w:style w:type="paragraph" w:customStyle="1" w:styleId="TableHeading">
    <w:name w:val="Table Heading"/>
    <w:basedOn w:val="HeadingBase"/>
    <w:rsid w:val="00FE0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BBC"/>
    <w:rPr>
      <w:color w:val="0033CC"/>
      <w:u w:val="none"/>
    </w:rPr>
  </w:style>
  <w:style w:type="paragraph" w:customStyle="1" w:styleId="BodyTextRight">
    <w:name w:val="Body Text Right"/>
    <w:basedOn w:val="BodyText"/>
    <w:rsid w:val="00FE0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B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BBC"/>
    <w:rPr>
      <w:sz w:val="32"/>
    </w:rPr>
  </w:style>
  <w:style w:type="paragraph" w:customStyle="1" w:styleId="HeadingProcedure">
    <w:name w:val="Heading Procedure"/>
    <w:basedOn w:val="HeadingBase"/>
    <w:next w:val="Normal"/>
    <w:rsid w:val="00FE0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BBC"/>
    <w:pPr>
      <w:spacing w:before="60" w:after="60"/>
    </w:pPr>
  </w:style>
  <w:style w:type="paragraph" w:styleId="ListContinue">
    <w:name w:val="List Continue"/>
    <w:basedOn w:val="List"/>
    <w:rsid w:val="00FE0BBC"/>
    <w:pPr>
      <w:ind w:firstLine="0"/>
    </w:pPr>
  </w:style>
  <w:style w:type="paragraph" w:customStyle="1" w:styleId="ListNote">
    <w:name w:val="List Note"/>
    <w:basedOn w:val="List"/>
    <w:rsid w:val="00FE0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BBC"/>
    <w:rPr>
      <w:rFonts w:ascii="Courier New" w:hAnsi="Courier New"/>
    </w:rPr>
  </w:style>
  <w:style w:type="paragraph" w:customStyle="1" w:styleId="NoteBullet">
    <w:name w:val="Note Bullet"/>
    <w:basedOn w:val="Note"/>
    <w:rsid w:val="00FE0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B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0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BBC"/>
    <w:rPr>
      <w:b/>
      <w:smallCaps/>
    </w:rPr>
  </w:style>
  <w:style w:type="paragraph" w:customStyle="1" w:styleId="TableListNumber">
    <w:name w:val="Table List Number"/>
    <w:basedOn w:val="ListNumber"/>
    <w:rsid w:val="00FE0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BBC"/>
    <w:pPr>
      <w:numPr>
        <w:numId w:val="9"/>
      </w:numPr>
    </w:pPr>
  </w:style>
  <w:style w:type="paragraph" w:customStyle="1" w:styleId="ListAlpha2">
    <w:name w:val="List Alpha 2"/>
    <w:basedOn w:val="List2"/>
    <w:rsid w:val="00FE0BBC"/>
    <w:pPr>
      <w:numPr>
        <w:numId w:val="8"/>
      </w:numPr>
    </w:pPr>
  </w:style>
  <w:style w:type="paragraph" w:styleId="List2">
    <w:name w:val="List 2"/>
    <w:basedOn w:val="BodyText"/>
    <w:rsid w:val="00FE0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B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B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0BBC"/>
    <w:pPr>
      <w:numPr>
        <w:numId w:val="4"/>
      </w:numPr>
    </w:pPr>
  </w:style>
  <w:style w:type="paragraph" w:styleId="ListContinue2">
    <w:name w:val="List Continue 2"/>
    <w:basedOn w:val="List2"/>
    <w:rsid w:val="00FE0BBC"/>
    <w:pPr>
      <w:ind w:firstLine="0"/>
    </w:pPr>
  </w:style>
  <w:style w:type="paragraph" w:styleId="ListContinue3">
    <w:name w:val="List Continue 3"/>
    <w:basedOn w:val="List3"/>
    <w:rsid w:val="00FE0BBC"/>
    <w:pPr>
      <w:ind w:left="1021" w:firstLine="0"/>
    </w:pPr>
  </w:style>
  <w:style w:type="paragraph" w:styleId="ListContinue4">
    <w:name w:val="List Continue 4"/>
    <w:basedOn w:val="List4"/>
    <w:rsid w:val="00FE0BBC"/>
    <w:pPr>
      <w:ind w:firstLine="0"/>
    </w:pPr>
  </w:style>
  <w:style w:type="paragraph" w:styleId="ListContinue5">
    <w:name w:val="List Continue 5"/>
    <w:basedOn w:val="List5"/>
    <w:rsid w:val="00FE0BBC"/>
    <w:pPr>
      <w:ind w:firstLine="0"/>
    </w:pPr>
  </w:style>
  <w:style w:type="paragraph" w:styleId="ListNumber3">
    <w:name w:val="List Number 3"/>
    <w:basedOn w:val="List3"/>
    <w:rsid w:val="00FE0BBC"/>
    <w:pPr>
      <w:numPr>
        <w:numId w:val="5"/>
      </w:numPr>
    </w:pPr>
  </w:style>
  <w:style w:type="paragraph" w:styleId="ListNumber4">
    <w:name w:val="List Number 4"/>
    <w:basedOn w:val="List4"/>
    <w:rsid w:val="00FE0BBC"/>
    <w:pPr>
      <w:numPr>
        <w:numId w:val="6"/>
      </w:numPr>
    </w:pPr>
  </w:style>
  <w:style w:type="paragraph" w:styleId="ListNumber5">
    <w:name w:val="List Number 5"/>
    <w:basedOn w:val="List5"/>
    <w:rsid w:val="00FE0BBC"/>
    <w:pPr>
      <w:numPr>
        <w:numId w:val="7"/>
      </w:numPr>
    </w:pPr>
  </w:style>
  <w:style w:type="paragraph" w:styleId="BlockText">
    <w:name w:val="Block Text"/>
    <w:basedOn w:val="Normal"/>
    <w:rsid w:val="00FE0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BBC"/>
    <w:rPr>
      <w:sz w:val="16"/>
      <w:vertAlign w:val="superscript"/>
    </w:rPr>
  </w:style>
  <w:style w:type="character" w:customStyle="1" w:styleId="Symbols">
    <w:name w:val="Symbols"/>
    <w:basedOn w:val="DefaultParagraphFont"/>
    <w:rsid w:val="00FE0BBC"/>
    <w:rPr>
      <w:rFonts w:ascii="Symbol" w:hAnsi="Symbol"/>
    </w:rPr>
  </w:style>
  <w:style w:type="character" w:customStyle="1" w:styleId="MenuOptions">
    <w:name w:val="Menu Options"/>
    <w:basedOn w:val="DefaultParagraphFont"/>
    <w:rsid w:val="00FE0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BBC"/>
    <w:rPr>
      <w:b/>
    </w:rPr>
  </w:style>
  <w:style w:type="character" w:customStyle="1" w:styleId="Underlined">
    <w:name w:val="Underlined"/>
    <w:basedOn w:val="DefaultParagraphFont"/>
    <w:rsid w:val="00FE0BBC"/>
    <w:rPr>
      <w:u w:val="single"/>
    </w:rPr>
  </w:style>
  <w:style w:type="paragraph" w:customStyle="1" w:styleId="TableBodyTextRight">
    <w:name w:val="Table Body Text Right"/>
    <w:basedOn w:val="TableBodyText"/>
    <w:rsid w:val="00FE0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BBC"/>
    <w:rPr>
      <w:sz w:val="18"/>
    </w:rPr>
  </w:style>
  <w:style w:type="paragraph" w:customStyle="1" w:styleId="BodySmallRight">
    <w:name w:val="Body Small Right"/>
    <w:basedOn w:val="BodyTextRight"/>
    <w:rsid w:val="00FE0BBC"/>
    <w:rPr>
      <w:sz w:val="18"/>
      <w:szCs w:val="18"/>
    </w:rPr>
  </w:style>
  <w:style w:type="paragraph" w:customStyle="1" w:styleId="MarginEdition">
    <w:name w:val="Margin Edition"/>
    <w:basedOn w:val="MarginNote"/>
    <w:rsid w:val="00FE0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BBC"/>
    <w:rPr>
      <w:sz w:val="2"/>
      <w:szCs w:val="2"/>
    </w:rPr>
  </w:style>
  <w:style w:type="character" w:customStyle="1" w:styleId="Small">
    <w:name w:val="Small"/>
    <w:basedOn w:val="DefaultParagraphFont"/>
    <w:rsid w:val="00FE0BBC"/>
    <w:rPr>
      <w:sz w:val="16"/>
    </w:rPr>
  </w:style>
  <w:style w:type="paragraph" w:customStyle="1" w:styleId="WideTable">
    <w:name w:val="Wide Table"/>
    <w:basedOn w:val="Normal"/>
    <w:rsid w:val="00FE0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BBC"/>
  </w:style>
  <w:style w:type="paragraph" w:styleId="Quote">
    <w:name w:val="Quote"/>
    <w:basedOn w:val="Heading1"/>
    <w:link w:val="QuoteChar"/>
    <w:qFormat/>
    <w:rsid w:val="00FE0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BBC"/>
    <w:pPr>
      <w:pageBreakBefore/>
    </w:pPr>
  </w:style>
  <w:style w:type="paragraph" w:customStyle="1" w:styleId="Border">
    <w:name w:val="Border"/>
    <w:basedOn w:val="Normal"/>
    <w:qFormat/>
    <w:rsid w:val="00FE0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BBC"/>
    <w:rPr>
      <w:u w:val="single"/>
    </w:rPr>
  </w:style>
  <w:style w:type="character" w:customStyle="1" w:styleId="BoldandItalics">
    <w:name w:val="Bold and Italics"/>
    <w:qFormat/>
    <w:rsid w:val="00FE0BBC"/>
    <w:rPr>
      <w:b/>
      <w:i/>
      <w:u w:val="none"/>
    </w:rPr>
  </w:style>
  <w:style w:type="paragraph" w:styleId="BalloonText">
    <w:name w:val="Balloon Text"/>
    <w:basedOn w:val="Normal"/>
    <w:link w:val="BalloonTextChar"/>
    <w:rsid w:val="00FE0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BBC"/>
    <w:pPr>
      <w:spacing w:before="0" w:after="0"/>
    </w:pPr>
  </w:style>
  <w:style w:type="paragraph" w:customStyle="1" w:styleId="BodyTextBold">
    <w:name w:val="Body Text Bold"/>
    <w:basedOn w:val="BodyText"/>
    <w:qFormat/>
    <w:rsid w:val="00FE0BBC"/>
    <w:rPr>
      <w:b/>
    </w:rPr>
  </w:style>
  <w:style w:type="character" w:styleId="Hyperlink">
    <w:name w:val="Hyperlink"/>
    <w:basedOn w:val="DefaultParagraphFont"/>
    <w:uiPriority w:val="99"/>
    <w:unhideWhenUsed/>
    <w:rsid w:val="00EE7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5327</Characters>
  <Application>Microsoft Office Word</Application>
  <DocSecurity>0</DocSecurity>
  <Lines>190</Lines>
  <Paragraphs>120</Paragraphs>
  <ScaleCrop>false</ScaleCrop>
  <Company>Author-it Software Corporation Ltd.</Company>
  <LinksUpToDate>false</LinksUpToDate>
  <CharactersWithSpaces>6002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CPCPWT3027 Install backflow prevention devices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2025-03-01T13:56:00Z</dcterms:created>
  <dcterms:modified xsi:type="dcterms:W3CDTF">2025-03-01T13:56:00Z</dcterms:modified>
</cp:coreProperties>
</file>