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A46" w:rsidP="00DE3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CPCPWT3027 Install backflow prevention devices</w:t>
      </w:r>
      <w:r>
        <w:fldChar w:fldCharType="end"/>
      </w:r>
    </w:p>
    <w:p w:rsidR="00DE3A46" w:rsidP="00DE3A46">
      <w:pPr>
        <w:pStyle w:val="Version"/>
        <w:sectPr w:rsidSect="009D7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D7B46" w:rsidP="009D7B46">
      <w:pPr>
        <w:pStyle w:val="SuperHeading"/>
      </w:pPr>
      <w:r w:rsidRPr="009D7B46">
        <w:t>Assessment Requirements for CPCPWT3027 Install backflow prevention devices</w:t>
      </w:r>
    </w:p>
    <w:p w:rsidR="00000000" w:rsidRPr="009D7B46" w:rsidP="009D7B46">
      <w:pPr>
        <w:pStyle w:val="Heading1"/>
      </w:pPr>
      <w:bookmarkStart w:id="1" w:name="O_1172982"/>
      <w:bookmarkEnd w:id="1"/>
      <w:r w:rsidRPr="009D7B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D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46">
            <w:pPr>
              <w:pStyle w:val="BodyText"/>
              <w:rPr>
                <w:lang w:val="en-NZ"/>
              </w:rPr>
            </w:pPr>
            <w:r w:rsidRPr="009D7B46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46" w:rsidP="009D7B46">
            <w:pPr>
              <w:pStyle w:val="BodyText"/>
            </w:pPr>
            <w:r w:rsidRPr="009D7B46">
              <w:t>This version first released with CPC Construction, Plumbing and Services Training Package Release 6.2.</w:t>
            </w:r>
          </w:p>
          <w:p w:rsidR="00000000" w:rsidP="009D7B46">
            <w:pPr>
              <w:pStyle w:val="BodyText"/>
              <w:rPr>
                <w:lang w:val="en-NZ"/>
              </w:rPr>
            </w:pPr>
            <w:r w:rsidRPr="009D7B46">
              <w:t>Correction to prerequisite unit code from CPCPCM2043A Carry out WHS requirements to CPCPCM2043 Carry out WHS requirements.</w:t>
            </w:r>
          </w:p>
        </w:tc>
      </w:tr>
      <w:tr w:rsidTr="009D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46">
            <w:pPr>
              <w:pStyle w:val="BodyText"/>
              <w:rPr>
                <w:lang w:val="en-NZ"/>
              </w:rPr>
            </w:pPr>
            <w:r w:rsidRPr="009D7B4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46" w:rsidP="009D7B46">
            <w:pPr>
              <w:pStyle w:val="BodyText"/>
            </w:pPr>
            <w:r w:rsidRPr="009D7B46">
              <w:t>This version first released with CPC Construction, Plumbing and Services Training Package Release 5.1.</w:t>
            </w:r>
          </w:p>
          <w:p w:rsidR="00000000" w:rsidP="009D7B46">
            <w:pPr>
              <w:pStyle w:val="BodyText"/>
              <w:rPr>
                <w:lang w:val="en-NZ"/>
              </w:rPr>
            </w:pPr>
            <w:r w:rsidRPr="009D7B46">
              <w:t>Typographical error</w:t>
            </w:r>
            <w:r w:rsidRPr="009D7B46">
              <w:t xml:space="preserve"> in Elements and Performance Criteria 1 corrected.</w:t>
            </w:r>
          </w:p>
        </w:tc>
      </w:tr>
      <w:tr w:rsidTr="009D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46">
            <w:pPr>
              <w:pStyle w:val="BodyText"/>
              <w:rPr>
                <w:lang w:val="en-NZ"/>
              </w:rPr>
            </w:pPr>
            <w:r w:rsidRPr="009D7B4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46" w:rsidP="009D7B46">
            <w:pPr>
              <w:pStyle w:val="BodyText"/>
            </w:pPr>
            <w:r w:rsidRPr="009D7B46">
              <w:t>This version first released with CPC Construction, Plumbing and Services Training Package Release 5.0.</w:t>
            </w:r>
          </w:p>
          <w:p w:rsidR="00000000" w:rsidRPr="009D7B46" w:rsidP="009D7B46">
            <w:pPr>
              <w:pStyle w:val="BodyText"/>
            </w:pPr>
            <w:r w:rsidRPr="009D7B46">
              <w:t xml:space="preserve">Supersedes and is equivalent to CPCPWT3027A Connect irrigation systems from drinking water </w:t>
            </w:r>
            <w:r w:rsidRPr="009D7B46">
              <w:t>supply.  Updated to meet the Standards for Training Packages 2012.</w:t>
            </w:r>
          </w:p>
        </w:tc>
      </w:tr>
    </w:tbl>
    <w:p w:rsidR="00000000" w:rsidRPr="009D7B46" w:rsidP="009D7B46">
      <w:pPr>
        <w:pStyle w:val="BodyText"/>
      </w:pPr>
    </w:p>
    <w:p w:rsidR="00000000" w:rsidRPr="009D7B46" w:rsidP="009D7B46">
      <w:pPr>
        <w:pStyle w:val="AllowPageBreak"/>
      </w:pPr>
    </w:p>
    <w:p w:rsidR="00000000" w:rsidRPr="009D7B46" w:rsidP="009D7B46">
      <w:pPr>
        <w:pStyle w:val="Heading1"/>
      </w:pPr>
      <w:bookmarkStart w:id="2" w:name="O_1172981"/>
      <w:bookmarkEnd w:id="2"/>
      <w:r w:rsidRPr="009D7B46">
        <w:t>Performance Evidence</w:t>
      </w:r>
    </w:p>
    <w:p w:rsidR="00000000" w:rsidRPr="009D7B46" w:rsidP="00DE3A46">
      <w:pPr>
        <w:pStyle w:val="BodyText"/>
      </w:pPr>
      <w:r w:rsidRPr="009D7B46">
        <w:t>To demonstrate competency, a candidate must meet the performance criteria for this unit by:</w:t>
      </w:r>
    </w:p>
    <w:p w:rsidR="00000000" w:rsidRPr="009D7B46" w:rsidP="009D7B46">
      <w:pPr>
        <w:pStyle w:val="ListBullet"/>
      </w:pPr>
      <w:r w:rsidRPr="009D7B46">
        <w:t>installing three different backflow prevention devices</w:t>
      </w:r>
      <w:r w:rsidRPr="009D7B46">
        <w:t xml:space="preserve"> one being low hazard rating, one being a medium hazard rating, and one being a high hazard rating from the list below, including pipework to inlet of the backflow device and ancillary equipment.</w:t>
      </w:r>
    </w:p>
    <w:p w:rsidR="00000000" w:rsidRPr="009D7B46" w:rsidP="009D7B46">
      <w:pPr>
        <w:pStyle w:val="ListBullet"/>
      </w:pPr>
      <w:r w:rsidRPr="009D7B46">
        <w:t>Low hazard device defined as:</w:t>
      </w:r>
    </w:p>
    <w:p w:rsidR="00000000" w:rsidRPr="009D7B46" w:rsidP="009D7B46">
      <w:pPr>
        <w:pStyle w:val="ListBullet2"/>
      </w:pPr>
      <w:r w:rsidRPr="009D7B46">
        <w:t>dual-check valve with atmospheric port</w:t>
      </w:r>
    </w:p>
    <w:p w:rsidR="00000000" w:rsidRPr="009D7B46" w:rsidP="009D7B46">
      <w:pPr>
        <w:pStyle w:val="ListBullet2"/>
      </w:pPr>
      <w:r w:rsidRPr="009D7B46">
        <w:t>dual-check valve</w:t>
      </w:r>
    </w:p>
    <w:p w:rsidR="00000000" w:rsidRPr="009D7B46" w:rsidP="009D7B46">
      <w:pPr>
        <w:pStyle w:val="ListBullet2"/>
      </w:pPr>
      <w:r w:rsidRPr="009D7B46">
        <w:t>dual-check valve with intermediate vent</w:t>
      </w:r>
    </w:p>
    <w:p w:rsidR="00000000" w:rsidRPr="009D7B46" w:rsidP="009D7B46">
      <w:pPr>
        <w:pStyle w:val="ListBullet2"/>
      </w:pPr>
      <w:r w:rsidRPr="009D7B46">
        <w:t>atmospheric vacuum breaker</w:t>
      </w:r>
    </w:p>
    <w:p w:rsidR="00000000" w:rsidRPr="009D7B46" w:rsidP="009D7B46">
      <w:pPr>
        <w:pStyle w:val="ListBullet2"/>
      </w:pPr>
      <w:r w:rsidRPr="009D7B46">
        <w:t>single check valve (testable)</w:t>
      </w:r>
    </w:p>
    <w:p w:rsidR="00000000" w:rsidRPr="009D7B46" w:rsidP="009D7B46">
      <w:pPr>
        <w:pStyle w:val="ListBullet2"/>
      </w:pPr>
      <w:r w:rsidRPr="009D7B46">
        <w:t>single check detector assembly (testable).</w:t>
      </w:r>
    </w:p>
    <w:p w:rsidR="00000000" w:rsidRPr="009D7B46" w:rsidP="009D7B46">
      <w:pPr>
        <w:pStyle w:val="ListBullet"/>
      </w:pPr>
      <w:r w:rsidRPr="009D7B46">
        <w:t>Medium hazard testable device defined as:</w:t>
      </w:r>
    </w:p>
    <w:p w:rsidR="00000000" w:rsidRPr="009D7B46" w:rsidP="009D7B46">
      <w:pPr>
        <w:pStyle w:val="ListBullet2"/>
      </w:pPr>
      <w:r w:rsidRPr="009D7B46">
        <w:t>double-check val</w:t>
      </w:r>
      <w:r w:rsidRPr="009D7B46">
        <w:t>ve assembly</w:t>
      </w:r>
    </w:p>
    <w:p w:rsidR="00000000" w:rsidRPr="009D7B46" w:rsidP="009D7B46">
      <w:pPr>
        <w:pStyle w:val="ListBullet2"/>
      </w:pPr>
      <w:r w:rsidRPr="009D7B46">
        <w:t>double-check detector assembly</w:t>
      </w:r>
    </w:p>
    <w:p w:rsidR="00000000" w:rsidRPr="009D7B46" w:rsidP="009D7B46">
      <w:pPr>
        <w:pStyle w:val="ListBullet2"/>
      </w:pPr>
      <w:r w:rsidRPr="009D7B46">
        <w:t>pressure type vacuum breaker.</w:t>
      </w:r>
    </w:p>
    <w:p w:rsidR="00000000" w:rsidRPr="009D7B46" w:rsidP="009D7B46">
      <w:pPr>
        <w:pStyle w:val="ListBullet"/>
      </w:pPr>
      <w:r w:rsidRPr="009D7B46">
        <w:t>High hazard testable device defined as:</w:t>
      </w:r>
    </w:p>
    <w:p w:rsidR="00000000" w:rsidRPr="009D7B46" w:rsidP="009D7B46">
      <w:pPr>
        <w:pStyle w:val="ListBullet2"/>
      </w:pPr>
      <w:r w:rsidRPr="009D7B46">
        <w:t>registered break tank</w:t>
      </w:r>
    </w:p>
    <w:p w:rsidR="00000000" w:rsidRPr="009D7B46" w:rsidP="009D7B46">
      <w:pPr>
        <w:pStyle w:val="ListBullet2"/>
      </w:pPr>
      <w:r w:rsidRPr="009D7B46">
        <w:t>registered air gap</w:t>
      </w:r>
    </w:p>
    <w:p w:rsidR="00000000" w:rsidRPr="009D7B46" w:rsidP="009D7B46">
      <w:pPr>
        <w:pStyle w:val="ListBullet2"/>
      </w:pPr>
      <w:r w:rsidRPr="009D7B46">
        <w:t>reduced pressure zone device</w:t>
      </w:r>
    </w:p>
    <w:p w:rsidR="00000000" w:rsidRPr="009D7B46" w:rsidP="009D7B46">
      <w:pPr>
        <w:pStyle w:val="ListBullet2"/>
      </w:pPr>
      <w:r w:rsidRPr="009D7B46">
        <w:t>reduced pressure detector assembly.</w:t>
      </w:r>
    </w:p>
    <w:p w:rsidR="00000000" w:rsidRPr="009D7B46" w:rsidP="009D7B46">
      <w:pPr>
        <w:pStyle w:val="AllowPageBreak"/>
      </w:pPr>
    </w:p>
    <w:p w:rsidR="00000000" w:rsidRPr="009D7B46" w:rsidP="009D7B46">
      <w:pPr>
        <w:pStyle w:val="Heading1"/>
      </w:pPr>
      <w:bookmarkStart w:id="3" w:name="O_1172980"/>
      <w:bookmarkEnd w:id="3"/>
      <w:r w:rsidRPr="009D7B46">
        <w:t>Knowledge Evidence</w:t>
      </w:r>
    </w:p>
    <w:p w:rsidR="00000000" w:rsidRPr="009D7B46" w:rsidP="00DE3A46">
      <w:pPr>
        <w:pStyle w:val="BodyText"/>
      </w:pPr>
      <w:r w:rsidRPr="009D7B46">
        <w:t>To be competent in this unit, a person must demonstrate knowledge of:</w:t>
      </w:r>
    </w:p>
    <w:p w:rsidR="00000000" w:rsidRPr="009D7B46" w:rsidP="009D7B46">
      <w:pPr>
        <w:pStyle w:val="ListBullet"/>
      </w:pPr>
      <w:r w:rsidRPr="009D7B46">
        <w:t xml:space="preserve">pressure and flow rates </w:t>
      </w:r>
    </w:p>
    <w:p w:rsidR="00000000" w:rsidRPr="009D7B46" w:rsidP="009D7B46">
      <w:pPr>
        <w:pStyle w:val="ListBullet"/>
      </w:pPr>
      <w:r w:rsidRPr="009D7B46">
        <w:t>types of backflow prevention devices such as:</w:t>
      </w:r>
    </w:p>
    <w:p w:rsidR="00000000" w:rsidRPr="009D7B46" w:rsidP="009D7B46">
      <w:pPr>
        <w:pStyle w:val="ListBullet2"/>
      </w:pPr>
      <w:r w:rsidRPr="009D7B46">
        <w:t>testable</w:t>
      </w:r>
    </w:p>
    <w:p w:rsidR="00000000" w:rsidRPr="009D7B46" w:rsidP="009D7B46">
      <w:pPr>
        <w:pStyle w:val="ListBullet2"/>
      </w:pPr>
      <w:r w:rsidRPr="009D7B46">
        <w:t>non-testable</w:t>
      </w:r>
    </w:p>
    <w:p w:rsidR="00000000" w:rsidRPr="009D7B46" w:rsidP="009D7B46">
      <w:pPr>
        <w:pStyle w:val="ListBullet"/>
      </w:pPr>
      <w:r w:rsidRPr="009D7B46">
        <w:t xml:space="preserve">backflow hazard ratings </w:t>
      </w:r>
    </w:p>
    <w:p w:rsidR="00000000" w:rsidRPr="009D7B46" w:rsidP="009D7B46">
      <w:pPr>
        <w:pStyle w:val="ListBullet"/>
      </w:pPr>
      <w:r w:rsidRPr="009D7B46">
        <w:t>suitability of backflow prevention devices</w:t>
      </w:r>
    </w:p>
    <w:p w:rsidR="00000000" w:rsidRPr="009D7B46" w:rsidP="009D7B46">
      <w:pPr>
        <w:pStyle w:val="ListBullet"/>
      </w:pPr>
      <w:r w:rsidRPr="009D7B46">
        <w:t>types of irrigation systems</w:t>
      </w:r>
    </w:p>
    <w:p w:rsidR="00000000" w:rsidRPr="009D7B46" w:rsidP="009D7B46">
      <w:pPr>
        <w:pStyle w:val="ListBullet"/>
      </w:pPr>
      <w:r w:rsidRPr="009D7B46">
        <w:t>how to access relevant information, including codes and standards</w:t>
      </w:r>
    </w:p>
    <w:p w:rsidR="00000000" w:rsidRPr="009D7B46" w:rsidP="009D7B46">
      <w:pPr>
        <w:pStyle w:val="ListBullet"/>
      </w:pPr>
      <w:r w:rsidRPr="009D7B46">
        <w:t>tools, materials and equipment used to install backflow prevention devices</w:t>
      </w:r>
    </w:p>
    <w:p w:rsidR="00000000" w:rsidRPr="009D7B46" w:rsidP="009D7B46">
      <w:pPr>
        <w:pStyle w:val="ListBullet"/>
      </w:pPr>
      <w:r w:rsidRPr="009D7B46">
        <w:t xml:space="preserve">work health and safety (WHS) requirements to install backflow prevention devices. </w:t>
      </w:r>
    </w:p>
    <w:p w:rsidR="00000000" w:rsidRPr="009D7B46" w:rsidP="009D7B46">
      <w:pPr>
        <w:pStyle w:val="AllowPageBreak"/>
      </w:pPr>
    </w:p>
    <w:p w:rsidR="00000000" w:rsidRPr="009D7B46" w:rsidP="009D7B46">
      <w:pPr>
        <w:pStyle w:val="Heading1"/>
      </w:pPr>
      <w:bookmarkStart w:id="4" w:name="O_1172979"/>
      <w:bookmarkEnd w:id="4"/>
      <w:r w:rsidRPr="009D7B46">
        <w:t>Assessment Conditions</w:t>
      </w:r>
    </w:p>
    <w:p w:rsidR="00000000" w:rsidRPr="009D7B46" w:rsidP="00DE3A46">
      <w:pPr>
        <w:pStyle w:val="BodyText"/>
      </w:pPr>
      <w:r w:rsidRPr="009D7B46">
        <w:t>Assessors must meet the requirements for assessors contained in the Standards for Registered Training Organisations.</w:t>
      </w:r>
    </w:p>
    <w:p w:rsidR="00000000" w:rsidRPr="009D7B46" w:rsidP="00DE3A46">
      <w:pPr>
        <w:pStyle w:val="BodyText"/>
      </w:pPr>
      <w:r w:rsidRPr="009D7B46">
        <w:t>This unit must be assessed in the workplace or a close simulation using realistic workplace conditions</w:t>
      </w:r>
      <w:r w:rsidRPr="009D7B46">
        <w:t>, materials, activities, responsibilities, procedures, safety requirements and environmental considerations.</w:t>
      </w:r>
    </w:p>
    <w:p w:rsidR="00000000" w:rsidRPr="009D7B46" w:rsidP="009D7B46">
      <w:pPr>
        <w:pStyle w:val="Heading1"/>
      </w:pPr>
      <w:bookmarkStart w:id="5" w:name="O_1172992"/>
      <w:bookmarkEnd w:id="5"/>
      <w:r w:rsidRPr="009D7B46">
        <w:t>Links</w:t>
      </w:r>
    </w:p>
    <w:p w:rsidR="00000000" w:rsidRPr="009D7B46" w:rsidP="00DE3A46">
      <w:pPr>
        <w:pStyle w:val="BodyText"/>
      </w:pPr>
      <w:r w:rsidRPr="009D7B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9044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D7B46" w:rsidP="009D7B46"/>
    <w:sectPr w:rsidSect="009D7B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46" w:rsidRPr="00DE3A46" w:rsidP="00DE3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46" w:rsidP="009D7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3A46" w:rsidP="009D7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3A46" w:rsidP="009D7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B46" w:rsidRPr="00DE3A46" w:rsidP="00DE3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46" w:rsidRPr="002D2AF8" w:rsidP="009D7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CPCPWT3027 Install backflow prevention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E3A46" w:rsidP="009D7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C85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C8C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B80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B46"/>
  </w:style>
  <w:style w:type="character" w:customStyle="1" w:styleId="Heading1Char">
    <w:name w:val="Heading 1 Char"/>
    <w:basedOn w:val="DefaultParagraphFont"/>
    <w:link w:val="Heading1"/>
    <w:rsid w:val="009D7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B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B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B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B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B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B46"/>
    <w:rPr>
      <w:b/>
      <w:spacing w:val="0"/>
    </w:rPr>
  </w:style>
  <w:style w:type="paragraph" w:customStyle="1" w:styleId="SuperTitle">
    <w:name w:val="SuperTitle"/>
    <w:basedOn w:val="Title"/>
    <w:rsid w:val="009D7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B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B46"/>
    <w:rPr>
      <w:i/>
    </w:rPr>
  </w:style>
  <w:style w:type="paragraph" w:styleId="Caption">
    <w:name w:val="caption"/>
    <w:basedOn w:val="BodyText"/>
    <w:next w:val="Normal"/>
    <w:qFormat/>
    <w:rsid w:val="009D7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B46"/>
  </w:style>
  <w:style w:type="paragraph" w:styleId="TableofFigures">
    <w:name w:val="table of figures"/>
    <w:basedOn w:val="Normal"/>
    <w:next w:val="Normal"/>
    <w:semiHidden/>
    <w:rsid w:val="009D7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B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7B46"/>
    <w:rPr>
      <w:rFonts w:ascii="Wingdings" w:hAnsi="Wingdings"/>
    </w:rPr>
  </w:style>
  <w:style w:type="paragraph" w:customStyle="1" w:styleId="TableHeading">
    <w:name w:val="Table Heading"/>
    <w:basedOn w:val="HeadingBase"/>
    <w:rsid w:val="009D7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B46"/>
    <w:rPr>
      <w:color w:val="0033CC"/>
      <w:u w:val="none"/>
    </w:rPr>
  </w:style>
  <w:style w:type="paragraph" w:customStyle="1" w:styleId="BodyTextRight">
    <w:name w:val="Body Text Right"/>
    <w:basedOn w:val="BodyText"/>
    <w:rsid w:val="009D7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B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B46"/>
    <w:rPr>
      <w:sz w:val="32"/>
    </w:rPr>
  </w:style>
  <w:style w:type="paragraph" w:customStyle="1" w:styleId="HeadingProcedure">
    <w:name w:val="Heading Procedure"/>
    <w:basedOn w:val="HeadingBase"/>
    <w:next w:val="Normal"/>
    <w:rsid w:val="009D7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B46"/>
    <w:pPr>
      <w:spacing w:before="60" w:after="60"/>
    </w:pPr>
  </w:style>
  <w:style w:type="paragraph" w:styleId="ListContinue">
    <w:name w:val="List Continue"/>
    <w:basedOn w:val="List"/>
    <w:rsid w:val="009D7B46"/>
    <w:pPr>
      <w:ind w:firstLine="0"/>
    </w:pPr>
  </w:style>
  <w:style w:type="paragraph" w:customStyle="1" w:styleId="ListNote">
    <w:name w:val="List Note"/>
    <w:basedOn w:val="List"/>
    <w:rsid w:val="009D7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B46"/>
    <w:rPr>
      <w:rFonts w:ascii="Courier New" w:hAnsi="Courier New"/>
    </w:rPr>
  </w:style>
  <w:style w:type="paragraph" w:customStyle="1" w:styleId="NoteBullet">
    <w:name w:val="Note Bullet"/>
    <w:basedOn w:val="Note"/>
    <w:rsid w:val="009D7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B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7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B46"/>
    <w:rPr>
      <w:b/>
      <w:smallCaps/>
    </w:rPr>
  </w:style>
  <w:style w:type="paragraph" w:customStyle="1" w:styleId="TableListNumber">
    <w:name w:val="Table List Number"/>
    <w:basedOn w:val="ListNumber"/>
    <w:rsid w:val="009D7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B46"/>
    <w:pPr>
      <w:numPr>
        <w:numId w:val="9"/>
      </w:numPr>
    </w:pPr>
  </w:style>
  <w:style w:type="paragraph" w:customStyle="1" w:styleId="ListAlpha2">
    <w:name w:val="List Alpha 2"/>
    <w:basedOn w:val="List2"/>
    <w:rsid w:val="009D7B46"/>
    <w:pPr>
      <w:numPr>
        <w:numId w:val="8"/>
      </w:numPr>
    </w:pPr>
  </w:style>
  <w:style w:type="paragraph" w:styleId="List2">
    <w:name w:val="List 2"/>
    <w:basedOn w:val="BodyText"/>
    <w:rsid w:val="009D7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B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B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7B46"/>
    <w:pPr>
      <w:numPr>
        <w:numId w:val="4"/>
      </w:numPr>
    </w:pPr>
  </w:style>
  <w:style w:type="paragraph" w:styleId="ListContinue2">
    <w:name w:val="List Continue 2"/>
    <w:basedOn w:val="List2"/>
    <w:rsid w:val="009D7B46"/>
    <w:pPr>
      <w:ind w:firstLine="0"/>
    </w:pPr>
  </w:style>
  <w:style w:type="paragraph" w:styleId="ListContinue3">
    <w:name w:val="List Continue 3"/>
    <w:basedOn w:val="List3"/>
    <w:rsid w:val="009D7B46"/>
    <w:pPr>
      <w:ind w:left="1021" w:firstLine="0"/>
    </w:pPr>
  </w:style>
  <w:style w:type="paragraph" w:styleId="ListContinue4">
    <w:name w:val="List Continue 4"/>
    <w:basedOn w:val="List4"/>
    <w:rsid w:val="009D7B46"/>
    <w:pPr>
      <w:ind w:firstLine="0"/>
    </w:pPr>
  </w:style>
  <w:style w:type="paragraph" w:styleId="ListContinue5">
    <w:name w:val="List Continue 5"/>
    <w:basedOn w:val="List5"/>
    <w:rsid w:val="009D7B46"/>
    <w:pPr>
      <w:ind w:firstLine="0"/>
    </w:pPr>
  </w:style>
  <w:style w:type="paragraph" w:styleId="ListNumber3">
    <w:name w:val="List Number 3"/>
    <w:basedOn w:val="List3"/>
    <w:rsid w:val="009D7B46"/>
    <w:pPr>
      <w:numPr>
        <w:numId w:val="5"/>
      </w:numPr>
    </w:pPr>
  </w:style>
  <w:style w:type="paragraph" w:styleId="ListNumber4">
    <w:name w:val="List Number 4"/>
    <w:basedOn w:val="List4"/>
    <w:rsid w:val="009D7B46"/>
    <w:pPr>
      <w:numPr>
        <w:numId w:val="6"/>
      </w:numPr>
    </w:pPr>
  </w:style>
  <w:style w:type="paragraph" w:styleId="ListNumber5">
    <w:name w:val="List Number 5"/>
    <w:basedOn w:val="List5"/>
    <w:rsid w:val="009D7B46"/>
    <w:pPr>
      <w:numPr>
        <w:numId w:val="7"/>
      </w:numPr>
    </w:pPr>
  </w:style>
  <w:style w:type="paragraph" w:styleId="BlockText">
    <w:name w:val="Block Text"/>
    <w:basedOn w:val="Normal"/>
    <w:rsid w:val="009D7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B46"/>
    <w:rPr>
      <w:sz w:val="16"/>
      <w:vertAlign w:val="superscript"/>
    </w:rPr>
  </w:style>
  <w:style w:type="character" w:customStyle="1" w:styleId="Symbols">
    <w:name w:val="Symbols"/>
    <w:basedOn w:val="DefaultParagraphFont"/>
    <w:rsid w:val="009D7B46"/>
    <w:rPr>
      <w:rFonts w:ascii="Symbol" w:hAnsi="Symbol"/>
    </w:rPr>
  </w:style>
  <w:style w:type="character" w:customStyle="1" w:styleId="MenuOptions">
    <w:name w:val="Menu Options"/>
    <w:basedOn w:val="DefaultParagraphFont"/>
    <w:rsid w:val="009D7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B46"/>
    <w:rPr>
      <w:b/>
    </w:rPr>
  </w:style>
  <w:style w:type="character" w:customStyle="1" w:styleId="Underlined">
    <w:name w:val="Underlined"/>
    <w:basedOn w:val="DefaultParagraphFont"/>
    <w:rsid w:val="009D7B46"/>
    <w:rPr>
      <w:u w:val="single"/>
    </w:rPr>
  </w:style>
  <w:style w:type="paragraph" w:customStyle="1" w:styleId="TableBodyTextRight">
    <w:name w:val="Table Body Text Right"/>
    <w:basedOn w:val="TableBodyText"/>
    <w:rsid w:val="009D7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B46"/>
    <w:rPr>
      <w:sz w:val="18"/>
    </w:rPr>
  </w:style>
  <w:style w:type="paragraph" w:customStyle="1" w:styleId="BodySmallRight">
    <w:name w:val="Body Small Right"/>
    <w:basedOn w:val="BodyTextRight"/>
    <w:rsid w:val="009D7B46"/>
    <w:rPr>
      <w:sz w:val="18"/>
      <w:szCs w:val="18"/>
    </w:rPr>
  </w:style>
  <w:style w:type="paragraph" w:customStyle="1" w:styleId="MarginEdition">
    <w:name w:val="Margin Edition"/>
    <w:basedOn w:val="MarginNote"/>
    <w:rsid w:val="009D7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B46"/>
    <w:rPr>
      <w:sz w:val="2"/>
      <w:szCs w:val="2"/>
    </w:rPr>
  </w:style>
  <w:style w:type="character" w:customStyle="1" w:styleId="Small">
    <w:name w:val="Small"/>
    <w:basedOn w:val="DefaultParagraphFont"/>
    <w:rsid w:val="009D7B46"/>
    <w:rPr>
      <w:sz w:val="16"/>
    </w:rPr>
  </w:style>
  <w:style w:type="paragraph" w:customStyle="1" w:styleId="WideTable">
    <w:name w:val="Wide Table"/>
    <w:basedOn w:val="Normal"/>
    <w:rsid w:val="009D7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B46"/>
  </w:style>
  <w:style w:type="paragraph" w:styleId="Quote">
    <w:name w:val="Quote"/>
    <w:basedOn w:val="Heading1"/>
    <w:link w:val="QuoteChar"/>
    <w:qFormat/>
    <w:rsid w:val="009D7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B46"/>
    <w:pPr>
      <w:pageBreakBefore/>
    </w:pPr>
  </w:style>
  <w:style w:type="paragraph" w:customStyle="1" w:styleId="Border">
    <w:name w:val="Border"/>
    <w:basedOn w:val="Normal"/>
    <w:qFormat/>
    <w:rsid w:val="009D7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B46"/>
    <w:rPr>
      <w:u w:val="single"/>
    </w:rPr>
  </w:style>
  <w:style w:type="character" w:customStyle="1" w:styleId="BoldandItalics">
    <w:name w:val="Bold and Italics"/>
    <w:qFormat/>
    <w:rsid w:val="009D7B46"/>
    <w:rPr>
      <w:b/>
      <w:i/>
      <w:u w:val="none"/>
    </w:rPr>
  </w:style>
  <w:style w:type="paragraph" w:styleId="BalloonText">
    <w:name w:val="Balloon Text"/>
    <w:basedOn w:val="Normal"/>
    <w:link w:val="BalloonTextChar"/>
    <w:rsid w:val="009D7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B46"/>
    <w:pPr>
      <w:spacing w:before="0" w:after="0"/>
    </w:pPr>
  </w:style>
  <w:style w:type="paragraph" w:customStyle="1" w:styleId="BodyTextBold">
    <w:name w:val="Body Text Bold"/>
    <w:basedOn w:val="BodyText"/>
    <w:qFormat/>
    <w:rsid w:val="009D7B46"/>
    <w:rPr>
      <w:b/>
    </w:rPr>
  </w:style>
  <w:style w:type="character" w:styleId="Hyperlink">
    <w:name w:val="Hyperlink"/>
    <w:basedOn w:val="DefaultParagraphFont"/>
    <w:uiPriority w:val="99"/>
    <w:unhideWhenUsed/>
    <w:rsid w:val="00DE3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2558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CPCPWT3027 Install backflow prevention devices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