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99B" w:rsidP="00D7799B">
      <w:pPr>
        <w:pStyle w:val="Title"/>
      </w:pPr>
      <w:r>
        <w:fldChar w:fldCharType="begin"/>
      </w:r>
      <w:r>
        <w:instrText xml:space="preserve"> TITLE   \* MERGEFORMAT </w:instrText>
      </w:r>
      <w:r>
        <w:fldChar w:fldCharType="separate"/>
      </w:r>
      <w:r>
        <w:t>CPCPRE3001 Patch prefabricated components of concrete elements</w:t>
      </w:r>
      <w:r>
        <w:fldChar w:fldCharType="end"/>
      </w:r>
    </w:p>
    <w:p w:rsidR="00D7799B" w:rsidP="00D7799B">
      <w:pPr>
        <w:pStyle w:val="Version"/>
        <w:sectPr w:rsidSect="001514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4B7" w:rsidP="001514B7">
      <w:pPr>
        <w:pStyle w:val="SuperHeading"/>
      </w:pPr>
      <w:r w:rsidRPr="001514B7">
        <w:t>CPCPRE3001 Patch prefabricated components of concrete e</w:t>
      </w:r>
      <w:r w:rsidRPr="001514B7">
        <w:t>lements</w:t>
      </w:r>
    </w:p>
    <w:p w:rsidR="00000000" w:rsidRPr="001514B7" w:rsidP="001514B7">
      <w:pPr>
        <w:pStyle w:val="Heading1"/>
      </w:pPr>
      <w:bookmarkStart w:id="1" w:name="O_1260747"/>
      <w:bookmarkEnd w:id="1"/>
      <w:r w:rsidRPr="001514B7">
        <w:t>Modification History</w:t>
      </w:r>
    </w:p>
    <w:tbl>
      <w:tblPr>
        <w:tblW w:w="0" w:type="auto"/>
        <w:tblLayout w:type="fixed"/>
        <w:tblCellMar>
          <w:left w:w="62" w:type="dxa"/>
          <w:right w:w="62" w:type="dxa"/>
        </w:tblCellMar>
        <w:tblLook w:val="0000"/>
      </w:tblPr>
      <w:tblGrid>
        <w:gridCol w:w="1066"/>
        <w:gridCol w:w="7944"/>
      </w:tblGrid>
      <w:tr w:rsidTr="001514B7">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Release 1</w:t>
            </w:r>
          </w:p>
        </w:tc>
        <w:tc>
          <w:tcPr>
            <w:tcW w:w="7944" w:type="dxa"/>
            <w:tcBorders>
              <w:top w:val="nil"/>
              <w:left w:val="nil"/>
              <w:bottom w:val="nil"/>
              <w:right w:val="nil"/>
            </w:tcBorders>
            <w:tcMar>
              <w:top w:w="0" w:type="dxa"/>
              <w:left w:w="62" w:type="dxa"/>
              <w:bottom w:w="0" w:type="dxa"/>
              <w:right w:w="62" w:type="dxa"/>
            </w:tcMar>
          </w:tcPr>
          <w:p w:rsidR="00000000" w:rsidRPr="001514B7" w:rsidP="001514B7">
            <w:pPr>
              <w:pStyle w:val="BodyText"/>
            </w:pPr>
            <w:r w:rsidRPr="001514B7">
              <w:t>This version first released with CPC Construction, Plumbing and Services Training Package Release 9.0.</w:t>
            </w:r>
          </w:p>
          <w:p w:rsidR="00000000" w:rsidRPr="001514B7" w:rsidP="001514B7">
            <w:pPr>
              <w:pStyle w:val="BodyText"/>
            </w:pPr>
            <w:r w:rsidRPr="001514B7">
              <w:t>Newly created unit.</w:t>
            </w:r>
          </w:p>
        </w:tc>
      </w:tr>
    </w:tbl>
    <w:p w:rsidR="00000000" w:rsidRPr="001514B7" w:rsidP="001514B7">
      <w:pPr>
        <w:pStyle w:val="BodyText"/>
      </w:pPr>
    </w:p>
    <w:p w:rsidR="00000000" w:rsidRPr="001514B7" w:rsidP="001514B7">
      <w:pPr>
        <w:pStyle w:val="AllowPageBreak"/>
      </w:pPr>
    </w:p>
    <w:p w:rsidR="00000000" w:rsidRPr="001514B7" w:rsidP="001514B7">
      <w:pPr>
        <w:pStyle w:val="Heading1"/>
      </w:pPr>
      <w:bookmarkStart w:id="2" w:name="O_1260753"/>
      <w:bookmarkEnd w:id="2"/>
      <w:r w:rsidRPr="001514B7">
        <w:t>Application</w:t>
      </w:r>
    </w:p>
    <w:p w:rsidR="00000000" w:rsidRPr="001514B7" w:rsidP="00D7799B">
      <w:pPr>
        <w:pStyle w:val="BodyText"/>
      </w:pPr>
      <w:r w:rsidRPr="001514B7">
        <w:t>This unit of competency specifies the skills and knowledge required to patch prefabricated components of concrete elements, including determining requirements, preparing patching components, conducting the patching activity and cleaning up upon completion.</w:t>
      </w:r>
      <w:r w:rsidRPr="001514B7">
        <w:t xml:space="preserve"> </w:t>
      </w:r>
    </w:p>
    <w:p w:rsidR="00000000" w:rsidRPr="001514B7" w:rsidP="00D7799B">
      <w:pPr>
        <w:pStyle w:val="BodyText"/>
      </w:pPr>
      <w:r w:rsidRPr="001514B7">
        <w:t>It requires using appropriate tools, equipment, materials and working at heights and in a team environment to patch prefabricated components of concrete elements.</w:t>
      </w:r>
    </w:p>
    <w:p w:rsidR="00000000" w:rsidRPr="001514B7" w:rsidP="00D7799B">
      <w:pPr>
        <w:pStyle w:val="BodyText"/>
      </w:pPr>
      <w:r w:rsidRPr="001514B7">
        <w:t>A person who has achieved this unit of competency would be expected to follow safety regula</w:t>
      </w:r>
      <w:r w:rsidRPr="001514B7">
        <w:t>tions and relevant specifications.</w:t>
      </w:r>
    </w:p>
    <w:p w:rsidR="00000000" w:rsidRPr="001514B7" w:rsidP="00D7799B">
      <w:pPr>
        <w:pStyle w:val="BodyText"/>
      </w:pPr>
      <w:r w:rsidRPr="001514B7">
        <w:t>Completion of the general construction induction training program, specified in the Safe Work Australia model Code of Practice: Construction Work, is required by anyone carrying out construction work. Achievement of CPCWH</w:t>
      </w:r>
      <w:r w:rsidRPr="001514B7">
        <w:t>S1001 Prepare to work safely in the construction industry meets this requirement.</w:t>
      </w:r>
    </w:p>
    <w:p w:rsidR="00000000" w:rsidRPr="001514B7" w:rsidP="00D7799B">
      <w:pPr>
        <w:pStyle w:val="BodyText"/>
      </w:pPr>
      <w:r w:rsidRPr="001514B7">
        <w:t>Licensing, legislative, regulatory or certification requirements apply to this unit of competency in some states and territories. For further information, check with the rele</w:t>
      </w:r>
      <w:r w:rsidRPr="001514B7">
        <w:t>vant regulatory authority.</w:t>
      </w:r>
    </w:p>
    <w:p w:rsidR="00000000" w:rsidRPr="001514B7" w:rsidP="001514B7">
      <w:pPr>
        <w:pStyle w:val="Heading1"/>
      </w:pPr>
      <w:bookmarkStart w:id="3" w:name="O_1260752"/>
      <w:bookmarkEnd w:id="3"/>
      <w:r w:rsidRPr="001514B7">
        <w:t>Pre-requisite Unit</w:t>
      </w:r>
    </w:p>
    <w:p w:rsidR="00000000" w:rsidRPr="001514B7" w:rsidP="001514B7">
      <w:pPr>
        <w:pStyle w:val="ListBullet"/>
      </w:pPr>
      <w:r w:rsidRPr="001514B7">
        <w:t xml:space="preserve">CPCCWHS2001 Apply WHS requirements policies and procedures in the construction industry </w:t>
      </w:r>
    </w:p>
    <w:p w:rsidR="00000000" w:rsidRPr="001514B7" w:rsidP="001514B7">
      <w:pPr>
        <w:pStyle w:val="ListBullet"/>
      </w:pPr>
      <w:r w:rsidRPr="001514B7">
        <w:t>CPCCCM2012 Work safely at heights</w:t>
      </w:r>
    </w:p>
    <w:p w:rsidR="00000000" w:rsidRPr="001514B7" w:rsidP="001514B7">
      <w:pPr>
        <w:pStyle w:val="AllowPageBreak"/>
      </w:pPr>
    </w:p>
    <w:p w:rsidR="00000000" w:rsidRPr="001514B7" w:rsidP="001514B7">
      <w:pPr>
        <w:pStyle w:val="Heading1"/>
      </w:pPr>
      <w:bookmarkStart w:id="4" w:name="O_1260751"/>
      <w:bookmarkEnd w:id="4"/>
      <w:r w:rsidRPr="001514B7">
        <w:t>Unit Sector</w:t>
      </w:r>
    </w:p>
    <w:p w:rsidR="00000000" w:rsidRPr="001514B7" w:rsidP="00D7799B">
      <w:pPr>
        <w:pStyle w:val="BodyText"/>
      </w:pPr>
      <w:r w:rsidRPr="001514B7">
        <w:t>Prefabricated concrete</w:t>
      </w:r>
    </w:p>
    <w:p w:rsidR="00000000" w:rsidRPr="001514B7" w:rsidP="001514B7">
      <w:pPr>
        <w:pStyle w:val="Heading1"/>
      </w:pPr>
      <w:bookmarkStart w:id="5" w:name="O_1260750"/>
      <w:bookmarkEnd w:id="5"/>
      <w:r w:rsidRPr="001514B7">
        <w:t>Elements and Performance Criteria</w:t>
      </w:r>
    </w:p>
    <w:tbl>
      <w:tblPr>
        <w:tblW w:w="0" w:type="auto"/>
        <w:tblLayout w:type="fixed"/>
        <w:tblCellMar>
          <w:left w:w="62" w:type="dxa"/>
          <w:right w:w="62" w:type="dxa"/>
        </w:tblCellMar>
        <w:tblLook w:val="0000"/>
      </w:tblPr>
      <w:tblGrid>
        <w:gridCol w:w="460"/>
        <w:gridCol w:w="2210"/>
        <w:gridCol w:w="804"/>
        <w:gridCol w:w="5659"/>
      </w:tblGrid>
      <w:tr w:rsidTr="001514B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Performance criteria describe what needs to be done to demonstrate achievement of the element.</w:t>
            </w:r>
          </w:p>
        </w:tc>
      </w:tr>
      <w:tr w:rsidTr="001514B7">
        <w:tblPrEx>
          <w:tblW w:w="0" w:type="auto"/>
          <w:tblLayout w:type="fixed"/>
          <w:tblCellMar>
            <w:left w:w="62" w:type="dxa"/>
            <w:right w:w="62" w:type="dxa"/>
          </w:tblCellMar>
          <w:tblLook w:val="0000"/>
        </w:tblPrEx>
        <w:tc>
          <w:tcPr>
            <w:tcW w:w="4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p>
        </w:tc>
      </w:tr>
      <w:tr w:rsidTr="001514B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w:t>
            </w:r>
          </w:p>
        </w:tc>
        <w:tc>
          <w:tcPr>
            <w:tcW w:w="221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Determine requirements to patch prefabricated components of concrete elements.</w:t>
            </w: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1.1</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Review and clarify prefabricated concrete element patch task according to the approved repair procedure, project specifications and safety data sheets (SDS).</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1.2</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Determine location of the components of prefabricated concrete elements from drawings and/or patching schedule.</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1.3</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 xml:space="preserve">Determine the materials and patching procedures and check to ensure they comply with the approved repair procedure and are in accordance </w:t>
            </w:r>
            <w:r w:rsidRPr="001514B7">
              <w:t>with relevant legislation, regulations, standards and codes of practice.</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1.4</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Review work health and safety (WHS) requirements for the task in accordance with safety plans and policies.</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1.5</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 xml:space="preserve">Conduct working at heights risk assessment and follow appropriate WHS processes. </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1.6</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 xml:space="preserve">Assess the risk of respirable crystalline silica and follow jurisdictional regulations. </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1.7</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Identify safety signage and barricade requirements.</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1.8</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Review envir</w:t>
            </w:r>
            <w:r w:rsidRPr="001514B7">
              <w:t>onmental requirements for the task in accordance with environmental plans and legislative requirements.</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1.9</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Determine plant, tools, equipment, and materials required to carry out task.</w:t>
            </w:r>
          </w:p>
        </w:tc>
      </w:tr>
      <w:tr w:rsidTr="001514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14B7">
            <w:pPr>
              <w:pStyle w:val="BodyText"/>
              <w:rPr>
                <w:lang w:val="en-NZ"/>
              </w:rPr>
            </w:pPr>
          </w:p>
        </w:tc>
      </w:tr>
      <w:tr w:rsidTr="001514B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2.</w:t>
            </w:r>
          </w:p>
        </w:tc>
        <w:tc>
          <w:tcPr>
            <w:tcW w:w="221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Prepare to patch prefabricated components of concrete elements.</w:t>
            </w: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2.1</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Erect identified safety signage and barricade requirements, and fit personal protective equipment (PPE).</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2.2</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 xml:space="preserve">Obtain plant, tools, equipment, check for serviceability and rectify or report any faults. </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2.3</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 xml:space="preserve">Check panels for damage or cracks and report to appropriate person.  </w:t>
            </w:r>
          </w:p>
        </w:tc>
      </w:tr>
      <w:tr w:rsidTr="001514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14B7">
            <w:pPr>
              <w:pStyle w:val="BodyText"/>
              <w:rPr>
                <w:lang w:val="en-NZ"/>
              </w:rPr>
            </w:pPr>
          </w:p>
        </w:tc>
      </w:tr>
      <w:tr w:rsidTr="001514B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3.</w:t>
            </w:r>
          </w:p>
        </w:tc>
        <w:tc>
          <w:tcPr>
            <w:tcW w:w="221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Mix prefabricated concrete patch agents.</w:t>
            </w: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3.1</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Access patching substance for prefabricated concrete components in accordance with safety requirements and hazardous substances code of practice.</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3.2</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Measure liquid and powdered substance ratios according to manufacturer specifications and pour into mix</w:t>
            </w:r>
            <w:r w:rsidRPr="001514B7">
              <w:t>ing container without spillage.</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3.3</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Check mix is lump free, impose curing times with cognisance to environmental variables and attain the required consistency in accordance with manufacturer specifications.</w:t>
            </w:r>
          </w:p>
        </w:tc>
      </w:tr>
      <w:tr w:rsidTr="001514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14B7">
            <w:pPr>
              <w:pStyle w:val="BodyText"/>
              <w:rPr>
                <w:lang w:val="en-NZ"/>
              </w:rPr>
            </w:pPr>
          </w:p>
        </w:tc>
      </w:tr>
      <w:tr w:rsidTr="001514B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4.</w:t>
            </w:r>
          </w:p>
        </w:tc>
        <w:tc>
          <w:tcPr>
            <w:tcW w:w="221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Undertake the patching of prefabricated components of concrete elements.</w:t>
            </w: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4.1</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Determine the position of the prefabricated components of concrete elements that require patching.</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4.2</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Provide suitabl</w:t>
            </w:r>
            <w:r w:rsidRPr="001514B7">
              <w:t>e access to work zone in accordance with the specifications and safety standards.</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4.3</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Review the approved patching procedure and specifications and determine job sequencing and team roles.</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4.4</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Access correct/approved patching materials and tools, inc</w:t>
            </w:r>
            <w:r w:rsidRPr="001514B7">
              <w:t>luding adequate quantity.</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4.5</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 xml:space="preserve">Complete patching in accordance with the approved repair procedures, including curing as specified. </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4.6</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Once complete, undertake sign-off procedures in accordance with approved workplace requirements.</w:t>
            </w:r>
          </w:p>
        </w:tc>
      </w:tr>
      <w:tr w:rsidTr="001514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14B7">
            <w:pPr>
              <w:pStyle w:val="BodyText"/>
              <w:rPr>
                <w:lang w:val="en-NZ"/>
              </w:rPr>
            </w:pPr>
          </w:p>
        </w:tc>
      </w:tr>
      <w:tr w:rsidTr="001514B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5.</w:t>
            </w:r>
          </w:p>
        </w:tc>
        <w:tc>
          <w:tcPr>
            <w:tcW w:w="2210" w:type="dxa"/>
            <w:vMerge w:val="restart"/>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Clean up.</w:t>
            </w: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5.1</w:t>
            </w:r>
          </w:p>
        </w:tc>
        <w:tc>
          <w:tcPr>
            <w:tcW w:w="5659"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Clear work area and dispose of, re-use or recycle materials in accordance with regulatory and workplace requirements.</w:t>
            </w:r>
          </w:p>
        </w:tc>
      </w:tr>
      <w:tr w:rsidTr="001514B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4B7">
            <w:pPr>
              <w:pStyle w:val="BodyText"/>
              <w:rPr>
                <w:lang w:val="en-NZ"/>
              </w:rPr>
            </w:pPr>
            <w:r w:rsidRPr="001514B7">
              <w:t>5.2</w:t>
            </w:r>
          </w:p>
        </w:tc>
        <w:tc>
          <w:tcPr>
            <w:tcW w:w="5659" w:type="dxa"/>
            <w:tcBorders>
              <w:top w:val="nil"/>
              <w:left w:val="nil"/>
              <w:bottom w:val="nil"/>
              <w:right w:val="nil"/>
            </w:tcBorders>
            <w:tcMar>
              <w:top w:w="0" w:type="dxa"/>
              <w:left w:w="62" w:type="dxa"/>
              <w:bottom w:w="0" w:type="dxa"/>
              <w:right w:w="62" w:type="dxa"/>
            </w:tcMar>
          </w:tcPr>
          <w:p w:rsidR="00000000" w:rsidRPr="001514B7" w:rsidP="001514B7">
            <w:pPr>
              <w:pStyle w:val="BodyText"/>
            </w:pPr>
            <w:r w:rsidRPr="001514B7">
              <w:t>Clean, check, maintain and store tools and equipment in accordance with manufacturer and workplace requirements.</w:t>
            </w:r>
          </w:p>
        </w:tc>
      </w:tr>
    </w:tbl>
    <w:p w:rsidR="00000000" w:rsidRPr="001514B7" w:rsidP="001514B7">
      <w:pPr>
        <w:pStyle w:val="BodyText"/>
      </w:pPr>
    </w:p>
    <w:p w:rsidR="00000000" w:rsidRPr="001514B7" w:rsidP="001514B7">
      <w:pPr>
        <w:pStyle w:val="AllowPageBreak"/>
      </w:pPr>
    </w:p>
    <w:p w:rsidR="00000000" w:rsidRPr="001514B7" w:rsidP="001514B7">
      <w:pPr>
        <w:pStyle w:val="Heading1"/>
      </w:pPr>
      <w:bookmarkStart w:id="6" w:name="O_1260749"/>
      <w:bookmarkEnd w:id="6"/>
      <w:r w:rsidRPr="001514B7">
        <w:t>Foundation Skills</w:t>
      </w:r>
    </w:p>
    <w:p w:rsidR="00000000" w:rsidRPr="001514B7" w:rsidP="00D7799B">
      <w:pPr>
        <w:pStyle w:val="BodyText"/>
      </w:pPr>
      <w:r w:rsidRPr="001514B7">
        <w:t xml:space="preserve">Foundation skills essential to performance are explicit in the performance criteria of this unit of competency. </w:t>
      </w:r>
    </w:p>
    <w:p w:rsidR="00000000" w:rsidRPr="001514B7" w:rsidP="001514B7">
      <w:pPr>
        <w:pStyle w:val="Heading1"/>
      </w:pPr>
      <w:bookmarkStart w:id="7" w:name="O_1260748"/>
      <w:bookmarkEnd w:id="7"/>
      <w:r w:rsidRPr="001514B7">
        <w:t>Unit Mapping Information</w:t>
      </w:r>
    </w:p>
    <w:p w:rsidR="00000000" w:rsidRPr="001514B7" w:rsidP="00D7799B">
      <w:pPr>
        <w:pStyle w:val="BodyText"/>
      </w:pPr>
      <w:r w:rsidRPr="001514B7">
        <w:t>No equivalent unit.</w:t>
      </w:r>
    </w:p>
    <w:p w:rsidR="00000000" w:rsidRPr="001514B7" w:rsidP="001514B7">
      <w:pPr>
        <w:pStyle w:val="Heading1"/>
      </w:pPr>
      <w:bookmarkStart w:id="8" w:name="O_1260741"/>
      <w:bookmarkEnd w:id="8"/>
      <w:r w:rsidRPr="001514B7">
        <w:t>Links</w:t>
      </w:r>
    </w:p>
    <w:p w:rsidR="00000000" w:rsidRPr="001514B7" w:rsidP="00D7799B">
      <w:pPr>
        <w:pStyle w:val="BodyText"/>
      </w:pPr>
      <w:r w:rsidRPr="001514B7">
        <w:t>Companion volumes to this t</w:t>
      </w:r>
      <w:r w:rsidRPr="001514B7">
        <w:t xml:space="preserve">raining package are available at the VETNet website - </w:t>
      </w:r>
      <w:r>
        <w:fldChar w:fldCharType="begin"/>
      </w:r>
      <w:r>
        <w:instrText xml:space="preserve"> HYPERLINK "https://vetnet.gov.au/Pages/TrainingDocs.aspx?q=7e15fa6a-68b8-4097-b099-030a5569b1ad" </w:instrText>
      </w:r>
      <w:r>
        <w:fldChar w:fldCharType="separate"/>
      </w:r>
      <w:r w:rsidRPr="00547AD7">
        <w:rPr>
          <w:rStyle w:val="Hyperlink"/>
        </w:rPr>
        <w:t>https://vetnet.gov.au/Pages/TrainingDocs.aspx?q=7e15fa6a-68b8-4097-b099-030a5569b1ad</w:t>
      </w:r>
      <w:r>
        <w:fldChar w:fldCharType="end"/>
      </w:r>
    </w:p>
    <w:p w:rsidR="00000000" w:rsidRPr="001514B7" w:rsidP="001514B7"/>
    <w:sectPr w:rsidSect="001514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B7" w:rsidRPr="00D7799B" w:rsidP="00D779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9B" w:rsidP="00151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799B" w:rsidP="001514B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7799B" w:rsidP="00151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4B7" w:rsidRPr="00D7799B" w:rsidP="00D779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9B" w:rsidRPr="002D2AF8" w:rsidP="001514B7">
    <w:pPr>
      <w:pStyle w:val="Header"/>
      <w:framePr w:wrap="around"/>
    </w:pPr>
    <w:r>
      <w:fldChar w:fldCharType="begin"/>
    </w:r>
    <w:r>
      <w:instrText xml:space="preserve"> TITLE   \* MERGEFORMAT </w:instrText>
    </w:r>
    <w:r>
      <w:fldChar w:fldCharType="separate"/>
    </w:r>
    <w:r>
      <w:t>CPCPRE3001 Patch prefabricated components of concrete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7799B" w:rsidP="00151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12CE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C020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4B7"/>
    <w:pPr>
      <w:spacing w:before="360" w:after="60"/>
      <w:outlineLvl w:val="0"/>
    </w:pPr>
    <w:rPr>
      <w:sz w:val="32"/>
    </w:rPr>
  </w:style>
  <w:style w:type="paragraph" w:styleId="Heading2">
    <w:name w:val="heading 2"/>
    <w:basedOn w:val="HeadingBase"/>
    <w:next w:val="BodyText"/>
    <w:link w:val="Heading2Char"/>
    <w:qFormat/>
    <w:rsid w:val="001514B7"/>
    <w:pPr>
      <w:keepLines/>
      <w:spacing w:before="240" w:after="120"/>
      <w:outlineLvl w:val="1"/>
    </w:pPr>
    <w:rPr>
      <w:sz w:val="28"/>
      <w:szCs w:val="40"/>
    </w:rPr>
  </w:style>
  <w:style w:type="paragraph" w:styleId="Heading3">
    <w:name w:val="heading 3"/>
    <w:basedOn w:val="HeadingBase"/>
    <w:next w:val="BodyText"/>
    <w:link w:val="Heading3Char"/>
    <w:qFormat/>
    <w:rsid w:val="001514B7"/>
    <w:pPr>
      <w:spacing w:before="180" w:after="120"/>
      <w:outlineLvl w:val="2"/>
    </w:pPr>
    <w:rPr>
      <w:spacing w:val="-10"/>
      <w:kern w:val="32"/>
    </w:rPr>
  </w:style>
  <w:style w:type="paragraph" w:styleId="Heading4">
    <w:name w:val="heading 4"/>
    <w:basedOn w:val="HeadingBase"/>
    <w:next w:val="BodyText"/>
    <w:link w:val="Heading4Char"/>
    <w:qFormat/>
    <w:rsid w:val="001514B7"/>
    <w:pPr>
      <w:spacing w:before="160" w:after="120"/>
      <w:outlineLvl w:val="3"/>
    </w:pPr>
    <w:rPr>
      <w:sz w:val="22"/>
    </w:rPr>
  </w:style>
  <w:style w:type="paragraph" w:styleId="Heading5">
    <w:name w:val="heading 5"/>
    <w:basedOn w:val="HeadingBase"/>
    <w:next w:val="Normal"/>
    <w:link w:val="Heading5Char"/>
    <w:qFormat/>
    <w:rsid w:val="001514B7"/>
    <w:pPr>
      <w:spacing w:before="80"/>
      <w:outlineLvl w:val="4"/>
    </w:pPr>
    <w:rPr>
      <w:color w:val="918585"/>
      <w:sz w:val="20"/>
    </w:rPr>
  </w:style>
  <w:style w:type="paragraph" w:styleId="Heading6">
    <w:name w:val="heading 6"/>
    <w:basedOn w:val="HeadingBase"/>
    <w:next w:val="Normal"/>
    <w:link w:val="Heading6Char"/>
    <w:qFormat/>
    <w:rsid w:val="001514B7"/>
    <w:pPr>
      <w:spacing w:before="60"/>
      <w:outlineLvl w:val="5"/>
    </w:pPr>
    <w:rPr>
      <w:color w:val="918585"/>
      <w:sz w:val="20"/>
    </w:rPr>
  </w:style>
  <w:style w:type="paragraph" w:styleId="Heading7">
    <w:name w:val="heading 7"/>
    <w:basedOn w:val="Normal"/>
    <w:next w:val="Normal"/>
    <w:link w:val="Heading7Char"/>
    <w:qFormat/>
    <w:rsid w:val="001514B7"/>
    <w:pPr>
      <w:ind w:left="720"/>
      <w:outlineLvl w:val="6"/>
    </w:pPr>
    <w:rPr>
      <w:i/>
    </w:rPr>
  </w:style>
  <w:style w:type="paragraph" w:styleId="Heading8">
    <w:name w:val="heading 8"/>
    <w:basedOn w:val="Normal"/>
    <w:next w:val="Normal"/>
    <w:link w:val="Heading8Char"/>
    <w:qFormat/>
    <w:rsid w:val="001514B7"/>
    <w:pPr>
      <w:ind w:left="720"/>
      <w:outlineLvl w:val="7"/>
    </w:pPr>
    <w:rPr>
      <w:i/>
    </w:rPr>
  </w:style>
  <w:style w:type="paragraph" w:styleId="Heading9">
    <w:name w:val="heading 9"/>
    <w:basedOn w:val="Normal"/>
    <w:next w:val="Normal"/>
    <w:link w:val="Heading9Char"/>
    <w:qFormat/>
    <w:rsid w:val="001514B7"/>
    <w:pPr>
      <w:ind w:left="720"/>
      <w:outlineLvl w:val="8"/>
    </w:pPr>
    <w:rPr>
      <w:i/>
    </w:rPr>
  </w:style>
  <w:style w:type="character" w:default="1" w:styleId="DefaultParagraphFont">
    <w:name w:val="Default Paragraph Font"/>
    <w:uiPriority w:val="1"/>
    <w:unhideWhenUsed/>
    <w:rsid w:val="00151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4B7"/>
  </w:style>
  <w:style w:type="character" w:customStyle="1" w:styleId="Heading1Char">
    <w:name w:val="Heading 1 Char"/>
    <w:basedOn w:val="DefaultParagraphFont"/>
    <w:link w:val="Heading1"/>
    <w:rsid w:val="001514B7"/>
    <w:rPr>
      <w:rFonts w:ascii="Times New Roman" w:eastAsia="Times New Roman" w:hAnsi="Times New Roman" w:cs="Times New Roman"/>
      <w:b/>
      <w:sz w:val="32"/>
      <w:szCs w:val="20"/>
      <w:lang w:eastAsia="en-US"/>
    </w:rPr>
  </w:style>
  <w:style w:type="paragraph" w:styleId="BodyText">
    <w:name w:val="Body Text"/>
    <w:basedOn w:val="Normal"/>
    <w:link w:val="BodyTextChar"/>
    <w:rsid w:val="001514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4B7"/>
    <w:rPr>
      <w:rFonts w:ascii="Times New Roman" w:eastAsia="Times New Roman" w:hAnsi="Times New Roman" w:cs="Times New Roman"/>
      <w:sz w:val="24"/>
      <w:lang w:eastAsia="en-US"/>
    </w:rPr>
  </w:style>
  <w:style w:type="paragraph" w:styleId="ListBullet">
    <w:name w:val="List Bullet"/>
    <w:basedOn w:val="List"/>
    <w:rsid w:val="001514B7"/>
    <w:pPr>
      <w:numPr>
        <w:numId w:val="11"/>
      </w:numPr>
      <w:tabs>
        <w:tab w:val="clear" w:pos="340"/>
      </w:tabs>
      <w:spacing w:before="40" w:after="40"/>
    </w:pPr>
  </w:style>
  <w:style w:type="paragraph" w:customStyle="1" w:styleId="SuperHeading">
    <w:name w:val="SuperHeading"/>
    <w:basedOn w:val="Normal"/>
    <w:rsid w:val="001514B7"/>
    <w:pPr>
      <w:spacing w:before="240" w:after="120"/>
      <w:outlineLvl w:val="0"/>
    </w:pPr>
    <w:rPr>
      <w:rFonts w:ascii="Times New Roman" w:hAnsi="Times New Roman"/>
      <w:b/>
      <w:sz w:val="32"/>
    </w:rPr>
  </w:style>
  <w:style w:type="paragraph" w:customStyle="1" w:styleId="AllowPageBreak">
    <w:name w:val="AllowPageBreak"/>
    <w:rsid w:val="00151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4B7"/>
    <w:rPr>
      <w:rFonts w:ascii="Courier New" w:eastAsia="Times New Roman" w:hAnsi="Courier New" w:cs="Times New Roman"/>
      <w:i/>
      <w:szCs w:val="20"/>
      <w:lang w:eastAsia="en-US"/>
    </w:rPr>
  </w:style>
  <w:style w:type="paragraph" w:customStyle="1" w:styleId="HeadingBase">
    <w:name w:val="Heading Base"/>
    <w:rsid w:val="00151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4B7"/>
    <w:pPr>
      <w:tabs>
        <w:tab w:val="right" w:leader="dot" w:pos="9072"/>
      </w:tabs>
      <w:ind w:left="567"/>
    </w:pPr>
    <w:rPr>
      <w:szCs w:val="22"/>
    </w:rPr>
  </w:style>
  <w:style w:type="paragraph" w:customStyle="1" w:styleId="TOCBase">
    <w:name w:val="TOC Base"/>
    <w:rsid w:val="00151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4B7"/>
    <w:pPr>
      <w:tabs>
        <w:tab w:val="right" w:leader="dot" w:pos="9072"/>
      </w:tabs>
      <w:spacing w:before="40" w:after="40"/>
      <w:ind w:left="284"/>
    </w:pPr>
    <w:rPr>
      <w:rFonts w:ascii="Times New Roman" w:hAnsi="Times New Roman"/>
    </w:rPr>
  </w:style>
  <w:style w:type="paragraph" w:styleId="TOC1">
    <w:name w:val="toc 1"/>
    <w:basedOn w:val="TOCBase"/>
    <w:next w:val="Normal"/>
    <w:rsid w:val="00151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4B7"/>
    <w:rPr>
      <w:rFonts w:ascii="Times New Roman" w:eastAsia="Times New Roman" w:hAnsi="Times New Roman" w:cs="Times New Roman"/>
      <w:sz w:val="16"/>
      <w:lang w:eastAsia="en-US"/>
    </w:rPr>
  </w:style>
  <w:style w:type="paragraph" w:styleId="Title">
    <w:name w:val="Title"/>
    <w:basedOn w:val="HeadingBase"/>
    <w:link w:val="TitleChar"/>
    <w:qFormat/>
    <w:rsid w:val="001514B7"/>
    <w:pPr>
      <w:spacing w:before="5040"/>
      <w:jc w:val="center"/>
    </w:pPr>
    <w:rPr>
      <w:sz w:val="48"/>
      <w:szCs w:val="72"/>
      <w:lang w:val="en-US"/>
    </w:rPr>
  </w:style>
  <w:style w:type="character" w:customStyle="1" w:styleId="TitleChar">
    <w:name w:val="Title Char"/>
    <w:basedOn w:val="DefaultParagraphFont"/>
    <w:link w:val="Title"/>
    <w:rsid w:val="00151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4B7"/>
    <w:pPr>
      <w:tabs>
        <w:tab w:val="left" w:pos="3600"/>
        <w:tab w:val="left" w:pos="3958"/>
      </w:tabs>
    </w:pPr>
  </w:style>
  <w:style w:type="paragraph" w:styleId="List">
    <w:name w:val="List"/>
    <w:basedOn w:val="BodyText"/>
    <w:next w:val="BodyText"/>
    <w:rsid w:val="001514B7"/>
    <w:pPr>
      <w:tabs>
        <w:tab w:val="left" w:pos="340"/>
      </w:tabs>
      <w:spacing w:before="60" w:after="60"/>
      <w:ind w:left="340" w:hanging="340"/>
    </w:pPr>
  </w:style>
  <w:style w:type="paragraph" w:customStyle="1" w:styleId="Note">
    <w:name w:val="Note"/>
    <w:basedOn w:val="BodyText"/>
    <w:rsid w:val="001514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14B7"/>
    <w:rPr>
      <w:b/>
      <w:spacing w:val="0"/>
    </w:rPr>
  </w:style>
  <w:style w:type="paragraph" w:customStyle="1" w:styleId="SuperTitle">
    <w:name w:val="SuperTitle"/>
    <w:basedOn w:val="Title"/>
    <w:rsid w:val="001514B7"/>
    <w:pPr>
      <w:framePr w:wrap="auto" w:hAnchor="text" w:y="6049"/>
    </w:pPr>
    <w:rPr>
      <w:color w:val="000000"/>
      <w:sz w:val="40"/>
    </w:rPr>
  </w:style>
  <w:style w:type="paragraph" w:customStyle="1" w:styleId="TOCTitle">
    <w:name w:val="TOCTitle"/>
    <w:basedOn w:val="Heading1"/>
    <w:rsid w:val="001514B7"/>
    <w:pPr>
      <w:spacing w:after="240"/>
      <w:jc w:val="center"/>
      <w:outlineLvl w:val="9"/>
    </w:pPr>
    <w:rPr>
      <w:caps/>
    </w:rPr>
  </w:style>
  <w:style w:type="paragraph" w:customStyle="1" w:styleId="Version">
    <w:name w:val="Version"/>
    <w:rsid w:val="001514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4B7"/>
    <w:pPr>
      <w:numPr>
        <w:numId w:val="12"/>
      </w:numPr>
      <w:tabs>
        <w:tab w:val="clear" w:pos="680"/>
      </w:tabs>
    </w:pPr>
  </w:style>
  <w:style w:type="paragraph" w:styleId="Index1">
    <w:name w:val="index 1"/>
    <w:basedOn w:val="Normal"/>
    <w:next w:val="Normal"/>
    <w:semiHidden/>
    <w:rsid w:val="001514B7"/>
    <w:pPr>
      <w:keepNext w:val="0"/>
      <w:tabs>
        <w:tab w:val="right" w:pos="4176"/>
      </w:tabs>
      <w:ind w:left="198" w:hanging="198"/>
    </w:pPr>
    <w:rPr>
      <w:rFonts w:ascii="Garamond" w:hAnsi="Garamond"/>
    </w:rPr>
  </w:style>
  <w:style w:type="paragraph" w:styleId="IndexHeading">
    <w:name w:val="index heading"/>
    <w:basedOn w:val="Normal"/>
    <w:next w:val="Index1"/>
    <w:semiHidden/>
    <w:rsid w:val="001514B7"/>
    <w:pPr>
      <w:spacing w:before="120" w:after="120"/>
    </w:pPr>
    <w:rPr>
      <w:rFonts w:ascii="Arial" w:hAnsi="Arial"/>
      <w:b/>
      <w:color w:val="918585"/>
      <w:sz w:val="24"/>
    </w:rPr>
  </w:style>
  <w:style w:type="paragraph" w:styleId="Header">
    <w:name w:val="header"/>
    <w:basedOn w:val="Normal"/>
    <w:link w:val="HeaderChar"/>
    <w:rsid w:val="00151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4B7"/>
    <w:rPr>
      <w:rFonts w:ascii="Times New Roman" w:eastAsia="Times New Roman" w:hAnsi="Times New Roman" w:cs="Times New Roman"/>
      <w:sz w:val="16"/>
      <w:szCs w:val="20"/>
      <w:lang w:val="en-GB" w:eastAsia="en-US"/>
    </w:rPr>
  </w:style>
  <w:style w:type="paragraph" w:customStyle="1" w:styleId="Chapter">
    <w:name w:val="Chapter"/>
    <w:basedOn w:val="Normal"/>
    <w:rsid w:val="001514B7"/>
    <w:pPr>
      <w:spacing w:before="240"/>
    </w:pPr>
    <w:rPr>
      <w:rFonts w:ascii="Times New Roman" w:hAnsi="Times New Roman"/>
      <w:smallCaps/>
      <w:spacing w:val="80"/>
      <w:sz w:val="28"/>
    </w:rPr>
  </w:style>
  <w:style w:type="paragraph" w:customStyle="1" w:styleId="InChapter">
    <w:name w:val="InChapter"/>
    <w:basedOn w:val="Heading3"/>
    <w:rsid w:val="001514B7"/>
    <w:pPr>
      <w:spacing w:after="240"/>
      <w:outlineLvl w:val="9"/>
    </w:pPr>
    <w:rPr>
      <w:noProof/>
    </w:rPr>
  </w:style>
  <w:style w:type="paragraph" w:styleId="Index2">
    <w:name w:val="index 2"/>
    <w:basedOn w:val="Normal"/>
    <w:next w:val="Normal"/>
    <w:semiHidden/>
    <w:rsid w:val="001514B7"/>
    <w:pPr>
      <w:tabs>
        <w:tab w:val="right" w:pos="4176"/>
      </w:tabs>
      <w:ind w:left="568" w:hanging="284"/>
    </w:pPr>
    <w:rPr>
      <w:rFonts w:ascii="Garamond" w:hAnsi="Garamond"/>
    </w:rPr>
  </w:style>
  <w:style w:type="paragraph" w:customStyle="1" w:styleId="Byline">
    <w:name w:val="Byline"/>
    <w:rsid w:val="00151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4B7"/>
    <w:pPr>
      <w:tabs>
        <w:tab w:val="clear" w:pos="3600"/>
        <w:tab w:val="clear" w:pos="3958"/>
      </w:tabs>
      <w:jc w:val="right"/>
    </w:pPr>
  </w:style>
  <w:style w:type="character" w:styleId="Emphasis">
    <w:name w:val="Emphasis"/>
    <w:basedOn w:val="DefaultParagraphFont"/>
    <w:qFormat/>
    <w:rsid w:val="001514B7"/>
    <w:rPr>
      <w:i/>
    </w:rPr>
  </w:style>
  <w:style w:type="paragraph" w:styleId="Caption">
    <w:name w:val="caption"/>
    <w:basedOn w:val="BodyText"/>
    <w:next w:val="Normal"/>
    <w:qFormat/>
    <w:rsid w:val="001514B7"/>
    <w:pPr>
      <w:framePr w:w="2268" w:hSpace="181" w:vSpace="181" w:wrap="around" w:vAnchor="text" w:hAnchor="page" w:x="1135" w:y="285" w:anchorLock="1"/>
    </w:pPr>
    <w:rPr>
      <w:i/>
    </w:rPr>
  </w:style>
  <w:style w:type="paragraph" w:customStyle="1" w:styleId="MiniTOCTitle">
    <w:name w:val="MiniTOCTitle"/>
    <w:basedOn w:val="Heading4"/>
    <w:rsid w:val="001514B7"/>
    <w:pPr>
      <w:spacing w:before="240"/>
      <w:outlineLvl w:val="9"/>
    </w:pPr>
    <w:rPr>
      <w:noProof/>
      <w:sz w:val="24"/>
    </w:rPr>
  </w:style>
  <w:style w:type="paragraph" w:customStyle="1" w:styleId="MiniTOCItem">
    <w:name w:val="MiniTOCItem"/>
    <w:basedOn w:val="ListBullet"/>
    <w:rsid w:val="001514B7"/>
    <w:pPr>
      <w:numPr>
        <w:numId w:val="0"/>
      </w:numPr>
      <w:tabs>
        <w:tab w:val="right" w:leader="dot" w:pos="6521"/>
      </w:tabs>
      <w:spacing w:before="0" w:after="0"/>
    </w:pPr>
  </w:style>
  <w:style w:type="paragraph" w:customStyle="1" w:styleId="TOFTitle">
    <w:name w:val="TOFTitle"/>
    <w:basedOn w:val="TOCTitle"/>
    <w:rsid w:val="001514B7"/>
  </w:style>
  <w:style w:type="paragraph" w:styleId="TableofFigures">
    <w:name w:val="table of figures"/>
    <w:basedOn w:val="Normal"/>
    <w:next w:val="Normal"/>
    <w:semiHidden/>
    <w:rsid w:val="001514B7"/>
    <w:pPr>
      <w:tabs>
        <w:tab w:val="right" w:leader="dot" w:pos="9072"/>
      </w:tabs>
      <w:ind w:left="970" w:hanging="403"/>
    </w:pPr>
    <w:rPr>
      <w:rFonts w:ascii="Times New Roman" w:hAnsi="Times New Roman"/>
      <w:b/>
    </w:rPr>
  </w:style>
  <w:style w:type="paragraph" w:styleId="ListNumber">
    <w:name w:val="List Number"/>
    <w:basedOn w:val="List"/>
    <w:rsid w:val="001514B7"/>
    <w:pPr>
      <w:numPr>
        <w:numId w:val="14"/>
      </w:numPr>
      <w:tabs>
        <w:tab w:val="clear" w:pos="340"/>
      </w:tabs>
    </w:pPr>
  </w:style>
  <w:style w:type="character" w:customStyle="1" w:styleId="WingdingSymbols">
    <w:name w:val="Wingding Symbols"/>
    <w:rsid w:val="001514B7"/>
    <w:rPr>
      <w:rFonts w:ascii="Wingdings" w:hAnsi="Wingdings"/>
    </w:rPr>
  </w:style>
  <w:style w:type="paragraph" w:customStyle="1" w:styleId="TableHeading">
    <w:name w:val="Table Heading"/>
    <w:basedOn w:val="HeadingBase"/>
    <w:rsid w:val="001514B7"/>
    <w:pPr>
      <w:keepLines/>
      <w:pBdr>
        <w:bottom w:val="single" w:sz="6" w:space="1" w:color="918585"/>
      </w:pBdr>
      <w:spacing w:before="240"/>
    </w:pPr>
  </w:style>
  <w:style w:type="character" w:customStyle="1" w:styleId="HotSpot">
    <w:name w:val="HotSpot"/>
    <w:rsid w:val="001514B7"/>
    <w:rPr>
      <w:color w:val="0033CC"/>
      <w:u w:val="none"/>
    </w:rPr>
  </w:style>
  <w:style w:type="paragraph" w:customStyle="1" w:styleId="BodyTextRight">
    <w:name w:val="Body Text Right"/>
    <w:basedOn w:val="BodyText"/>
    <w:rsid w:val="001514B7"/>
    <w:pPr>
      <w:spacing w:before="0" w:after="0"/>
      <w:jc w:val="right"/>
    </w:pPr>
  </w:style>
  <w:style w:type="paragraph" w:styleId="Index3">
    <w:name w:val="index 3"/>
    <w:basedOn w:val="ListNumber2"/>
    <w:next w:val="Normal"/>
    <w:semiHidden/>
    <w:rsid w:val="001514B7"/>
    <w:pPr>
      <w:numPr>
        <w:numId w:val="0"/>
      </w:numPr>
      <w:tabs>
        <w:tab w:val="right" w:leader="dot" w:pos="4176"/>
      </w:tabs>
    </w:pPr>
  </w:style>
  <w:style w:type="paragraph" w:styleId="ListNumber2">
    <w:name w:val="List Number 2"/>
    <w:basedOn w:val="List2"/>
    <w:rsid w:val="001514B7"/>
    <w:pPr>
      <w:numPr>
        <w:numId w:val="9"/>
      </w:numPr>
      <w:tabs>
        <w:tab w:val="clear" w:pos="1060"/>
      </w:tabs>
    </w:pPr>
  </w:style>
  <w:style w:type="paragraph" w:customStyle="1" w:styleId="MarginNote">
    <w:name w:val="Margin Note"/>
    <w:basedOn w:val="BodyText"/>
    <w:rsid w:val="00151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4B7"/>
    <w:rPr>
      <w:sz w:val="32"/>
    </w:rPr>
  </w:style>
  <w:style w:type="paragraph" w:customStyle="1" w:styleId="HeadingProcedure">
    <w:name w:val="Heading Procedure"/>
    <w:basedOn w:val="HeadingBase"/>
    <w:next w:val="Normal"/>
    <w:rsid w:val="001514B7"/>
    <w:pPr>
      <w:tabs>
        <w:tab w:val="left" w:pos="0"/>
      </w:tabs>
      <w:spacing w:before="120" w:after="60"/>
    </w:pPr>
    <w:rPr>
      <w:i/>
      <w:color w:val="918585"/>
      <w:sz w:val="22"/>
    </w:rPr>
  </w:style>
  <w:style w:type="paragraph" w:customStyle="1" w:styleId="TableBodyText">
    <w:name w:val="Table Body Text"/>
    <w:basedOn w:val="BodyText"/>
    <w:rsid w:val="001514B7"/>
    <w:pPr>
      <w:spacing w:before="60" w:after="60"/>
    </w:pPr>
  </w:style>
  <w:style w:type="paragraph" w:styleId="ListContinue">
    <w:name w:val="List Continue"/>
    <w:basedOn w:val="List"/>
    <w:rsid w:val="001514B7"/>
    <w:pPr>
      <w:ind w:firstLine="0"/>
    </w:pPr>
  </w:style>
  <w:style w:type="paragraph" w:customStyle="1" w:styleId="ListNote">
    <w:name w:val="List Note"/>
    <w:basedOn w:val="List"/>
    <w:rsid w:val="001514B7"/>
    <w:pPr>
      <w:pBdr>
        <w:top w:val="single" w:sz="6" w:space="2" w:color="918585"/>
        <w:bottom w:val="single" w:sz="6" w:space="2" w:color="918585"/>
      </w:pBdr>
      <w:tabs>
        <w:tab w:val="left" w:pos="1021"/>
      </w:tabs>
      <w:ind w:firstLine="0"/>
    </w:pPr>
  </w:style>
  <w:style w:type="paragraph" w:customStyle="1" w:styleId="Warning">
    <w:name w:val="Warning"/>
    <w:basedOn w:val="BodyText"/>
    <w:rsid w:val="001514B7"/>
    <w:pPr>
      <w:shd w:val="clear" w:color="auto" w:fill="D9D9D9"/>
      <w:tabs>
        <w:tab w:val="left" w:pos="992"/>
      </w:tabs>
      <w:ind w:left="119" w:right="119"/>
    </w:pPr>
    <w:rPr>
      <w:sz w:val="20"/>
    </w:rPr>
  </w:style>
  <w:style w:type="paragraph" w:customStyle="1" w:styleId="MarginIcons">
    <w:name w:val="Margin Icons"/>
    <w:basedOn w:val="BodyText"/>
    <w:rsid w:val="00151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4B7"/>
    <w:rPr>
      <w:rFonts w:ascii="Courier New" w:hAnsi="Courier New"/>
    </w:rPr>
  </w:style>
  <w:style w:type="paragraph" w:customStyle="1" w:styleId="NoteBullet">
    <w:name w:val="Note Bullet"/>
    <w:basedOn w:val="Note"/>
    <w:rsid w:val="001514B7"/>
    <w:pPr>
      <w:tabs>
        <w:tab w:val="clear" w:pos="680"/>
      </w:tabs>
      <w:spacing w:before="60" w:after="60"/>
    </w:pPr>
  </w:style>
  <w:style w:type="paragraph" w:customStyle="1" w:styleId="SubHeading2">
    <w:name w:val="SubHeading2"/>
    <w:basedOn w:val="HeadingBase"/>
    <w:rsid w:val="001514B7"/>
    <w:pPr>
      <w:spacing w:before="240" w:after="60"/>
    </w:pPr>
    <w:rPr>
      <w:sz w:val="20"/>
    </w:rPr>
  </w:style>
  <w:style w:type="paragraph" w:customStyle="1" w:styleId="SubHeading1">
    <w:name w:val="SubHeading1"/>
    <w:basedOn w:val="HeadingBase"/>
    <w:rsid w:val="001514B7"/>
    <w:pPr>
      <w:spacing w:before="240" w:after="60"/>
    </w:pPr>
    <w:rPr>
      <w:color w:val="918585"/>
      <w:sz w:val="22"/>
    </w:rPr>
  </w:style>
  <w:style w:type="paragraph" w:customStyle="1" w:styleId="SideHeading">
    <w:name w:val="Side Heading"/>
    <w:basedOn w:val="HeadingBase"/>
    <w:rsid w:val="00151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4B7"/>
    <w:pPr>
      <w:numPr>
        <w:numId w:val="10"/>
      </w:numPr>
    </w:pPr>
  </w:style>
  <w:style w:type="paragraph" w:styleId="PlainText">
    <w:name w:val="Plain Text"/>
    <w:basedOn w:val="Normal"/>
    <w:link w:val="PlainTextChar"/>
    <w:rsid w:val="001514B7"/>
    <w:rPr>
      <w:sz w:val="20"/>
    </w:rPr>
  </w:style>
  <w:style w:type="character" w:customStyle="1" w:styleId="PlainTextChar">
    <w:name w:val="Plain Text Char"/>
    <w:basedOn w:val="DefaultParagraphFont"/>
    <w:link w:val="PlainText"/>
    <w:rsid w:val="001514B7"/>
    <w:rPr>
      <w:rFonts w:ascii="Courier New" w:eastAsia="Times New Roman" w:hAnsi="Courier New" w:cs="Times New Roman"/>
      <w:sz w:val="20"/>
      <w:szCs w:val="20"/>
      <w:lang w:eastAsia="en-US"/>
    </w:rPr>
  </w:style>
  <w:style w:type="character" w:customStyle="1" w:styleId="MenuOption">
    <w:name w:val="Menu Option"/>
    <w:basedOn w:val="DefaultParagraphFont"/>
    <w:rsid w:val="001514B7"/>
    <w:rPr>
      <w:b/>
      <w:smallCaps/>
    </w:rPr>
  </w:style>
  <w:style w:type="paragraph" w:customStyle="1" w:styleId="TableListNumber">
    <w:name w:val="Table List Number"/>
    <w:basedOn w:val="ListNumber"/>
    <w:rsid w:val="001514B7"/>
    <w:pPr>
      <w:numPr>
        <w:numId w:val="0"/>
      </w:numPr>
    </w:pPr>
  </w:style>
  <w:style w:type="paragraph" w:styleId="TOC4">
    <w:name w:val="toc 4"/>
    <w:basedOn w:val="TOCBase"/>
    <w:next w:val="Normal"/>
    <w:semiHidden/>
    <w:rsid w:val="001514B7"/>
    <w:pPr>
      <w:tabs>
        <w:tab w:val="right" w:leader="dot" w:pos="9071"/>
      </w:tabs>
      <w:ind w:left="1701"/>
    </w:pPr>
  </w:style>
  <w:style w:type="paragraph" w:customStyle="1" w:styleId="ListAlpha">
    <w:name w:val="List Alpha"/>
    <w:basedOn w:val="List"/>
    <w:rsid w:val="001514B7"/>
    <w:pPr>
      <w:numPr>
        <w:numId w:val="8"/>
      </w:numPr>
    </w:pPr>
  </w:style>
  <w:style w:type="paragraph" w:customStyle="1" w:styleId="ListAlpha2">
    <w:name w:val="List Alpha 2"/>
    <w:basedOn w:val="List2"/>
    <w:rsid w:val="001514B7"/>
    <w:pPr>
      <w:numPr>
        <w:numId w:val="7"/>
      </w:numPr>
    </w:pPr>
  </w:style>
  <w:style w:type="paragraph" w:styleId="List2">
    <w:name w:val="List 2"/>
    <w:basedOn w:val="BodyText"/>
    <w:rsid w:val="001514B7"/>
    <w:pPr>
      <w:tabs>
        <w:tab w:val="left" w:pos="680"/>
      </w:tabs>
      <w:spacing w:before="60" w:after="60"/>
      <w:ind w:left="680" w:hanging="340"/>
    </w:pPr>
  </w:style>
  <w:style w:type="paragraph" w:styleId="List3">
    <w:name w:val="List 3"/>
    <w:basedOn w:val="BodyText"/>
    <w:rsid w:val="001514B7"/>
    <w:pPr>
      <w:tabs>
        <w:tab w:val="left" w:pos="1021"/>
      </w:tabs>
      <w:spacing w:before="60" w:after="60"/>
      <w:ind w:left="1020" w:hanging="340"/>
    </w:pPr>
  </w:style>
  <w:style w:type="paragraph" w:styleId="List4">
    <w:name w:val="List 4"/>
    <w:basedOn w:val="BodyText"/>
    <w:rsid w:val="001514B7"/>
    <w:pPr>
      <w:tabs>
        <w:tab w:val="left" w:pos="1361"/>
      </w:tabs>
      <w:spacing w:before="60" w:after="60"/>
      <w:ind w:left="1361" w:hanging="340"/>
    </w:pPr>
  </w:style>
  <w:style w:type="paragraph" w:styleId="List5">
    <w:name w:val="List 5"/>
    <w:basedOn w:val="BodyText"/>
    <w:rsid w:val="001514B7"/>
    <w:pPr>
      <w:tabs>
        <w:tab w:val="left" w:pos="1701"/>
      </w:tabs>
      <w:spacing w:before="60" w:after="60"/>
      <w:ind w:left="1701" w:hanging="340"/>
    </w:pPr>
  </w:style>
  <w:style w:type="paragraph" w:styleId="ListBullet3">
    <w:name w:val="List Bullet 3"/>
    <w:basedOn w:val="List3"/>
    <w:rsid w:val="001514B7"/>
    <w:pPr>
      <w:numPr>
        <w:numId w:val="13"/>
      </w:numPr>
      <w:tabs>
        <w:tab w:val="clear" w:pos="1021"/>
      </w:tabs>
      <w:ind w:left="1037" w:hanging="357"/>
    </w:pPr>
  </w:style>
  <w:style w:type="paragraph" w:styleId="ListBullet4">
    <w:name w:val="List Bullet 4"/>
    <w:basedOn w:val="List4"/>
    <w:rsid w:val="001514B7"/>
    <w:pPr>
      <w:numPr>
        <w:numId w:val="2"/>
      </w:numPr>
      <w:tabs>
        <w:tab w:val="clear" w:pos="1361"/>
      </w:tabs>
    </w:pPr>
  </w:style>
  <w:style w:type="paragraph" w:styleId="ListBullet5">
    <w:name w:val="List Bullet 5"/>
    <w:basedOn w:val="List5"/>
    <w:rsid w:val="001514B7"/>
    <w:pPr>
      <w:numPr>
        <w:numId w:val="3"/>
      </w:numPr>
    </w:pPr>
  </w:style>
  <w:style w:type="paragraph" w:styleId="ListContinue2">
    <w:name w:val="List Continue 2"/>
    <w:basedOn w:val="List2"/>
    <w:rsid w:val="001514B7"/>
    <w:pPr>
      <w:ind w:firstLine="0"/>
    </w:pPr>
  </w:style>
  <w:style w:type="paragraph" w:styleId="ListContinue3">
    <w:name w:val="List Continue 3"/>
    <w:basedOn w:val="List3"/>
    <w:rsid w:val="001514B7"/>
    <w:pPr>
      <w:ind w:left="1021" w:firstLine="0"/>
    </w:pPr>
  </w:style>
  <w:style w:type="paragraph" w:styleId="ListContinue4">
    <w:name w:val="List Continue 4"/>
    <w:basedOn w:val="List4"/>
    <w:rsid w:val="001514B7"/>
    <w:pPr>
      <w:ind w:firstLine="0"/>
    </w:pPr>
  </w:style>
  <w:style w:type="paragraph" w:styleId="ListContinue5">
    <w:name w:val="List Continue 5"/>
    <w:basedOn w:val="List5"/>
    <w:rsid w:val="001514B7"/>
    <w:pPr>
      <w:ind w:firstLine="0"/>
    </w:pPr>
  </w:style>
  <w:style w:type="paragraph" w:styleId="ListNumber3">
    <w:name w:val="List Number 3"/>
    <w:basedOn w:val="List3"/>
    <w:rsid w:val="001514B7"/>
    <w:pPr>
      <w:numPr>
        <w:numId w:val="4"/>
      </w:numPr>
    </w:pPr>
  </w:style>
  <w:style w:type="paragraph" w:styleId="ListNumber4">
    <w:name w:val="List Number 4"/>
    <w:basedOn w:val="List4"/>
    <w:rsid w:val="001514B7"/>
    <w:pPr>
      <w:numPr>
        <w:numId w:val="5"/>
      </w:numPr>
    </w:pPr>
  </w:style>
  <w:style w:type="paragraph" w:styleId="ListNumber5">
    <w:name w:val="List Number 5"/>
    <w:basedOn w:val="List5"/>
    <w:rsid w:val="001514B7"/>
    <w:pPr>
      <w:numPr>
        <w:numId w:val="6"/>
      </w:numPr>
    </w:pPr>
  </w:style>
  <w:style w:type="paragraph" w:styleId="BlockText">
    <w:name w:val="Block Text"/>
    <w:basedOn w:val="Normal"/>
    <w:rsid w:val="001514B7"/>
    <w:pPr>
      <w:spacing w:after="120"/>
      <w:ind w:left="1440" w:right="1440"/>
    </w:pPr>
  </w:style>
  <w:style w:type="character" w:customStyle="1" w:styleId="Subscript">
    <w:name w:val="Subscript"/>
    <w:basedOn w:val="DefaultParagraphFont"/>
    <w:rsid w:val="001514B7"/>
    <w:rPr>
      <w:sz w:val="16"/>
      <w:vertAlign w:val="subscript"/>
    </w:rPr>
  </w:style>
  <w:style w:type="character" w:customStyle="1" w:styleId="Superscript">
    <w:name w:val="Superscript"/>
    <w:basedOn w:val="DefaultParagraphFont"/>
    <w:rsid w:val="001514B7"/>
    <w:rPr>
      <w:sz w:val="16"/>
      <w:vertAlign w:val="superscript"/>
    </w:rPr>
  </w:style>
  <w:style w:type="character" w:customStyle="1" w:styleId="Symbols">
    <w:name w:val="Symbols"/>
    <w:basedOn w:val="DefaultParagraphFont"/>
    <w:rsid w:val="001514B7"/>
    <w:rPr>
      <w:rFonts w:ascii="Symbol" w:hAnsi="Symbol"/>
    </w:rPr>
  </w:style>
  <w:style w:type="character" w:customStyle="1" w:styleId="MenuOptions">
    <w:name w:val="Menu Options"/>
    <w:basedOn w:val="DefaultParagraphFont"/>
    <w:rsid w:val="001514B7"/>
    <w:rPr>
      <w:rFonts w:ascii="Arial Narrow" w:hAnsi="Arial Narrow"/>
      <w:smallCaps/>
    </w:rPr>
  </w:style>
  <w:style w:type="character" w:customStyle="1" w:styleId="Buttons">
    <w:name w:val="Buttons"/>
    <w:basedOn w:val="DefaultParagraphFont"/>
    <w:rsid w:val="001514B7"/>
    <w:rPr>
      <w:b/>
    </w:rPr>
  </w:style>
  <w:style w:type="character" w:customStyle="1" w:styleId="Underlined">
    <w:name w:val="Underlined"/>
    <w:basedOn w:val="DefaultParagraphFont"/>
    <w:rsid w:val="001514B7"/>
    <w:rPr>
      <w:u w:val="single"/>
    </w:rPr>
  </w:style>
  <w:style w:type="paragraph" w:customStyle="1" w:styleId="TableBodyTextRight">
    <w:name w:val="Table Body Text Right"/>
    <w:basedOn w:val="TableBodyText"/>
    <w:rsid w:val="001514B7"/>
    <w:pPr>
      <w:widowControl w:val="0"/>
      <w:autoSpaceDE w:val="0"/>
      <w:autoSpaceDN w:val="0"/>
      <w:adjustRightInd w:val="0"/>
      <w:jc w:val="right"/>
    </w:pPr>
    <w:rPr>
      <w:rFonts w:cs="Arial"/>
      <w:szCs w:val="18"/>
    </w:rPr>
  </w:style>
  <w:style w:type="paragraph" w:customStyle="1" w:styleId="CopyrightText">
    <w:name w:val="Copyright Text"/>
    <w:basedOn w:val="BodyText"/>
    <w:rsid w:val="001514B7"/>
    <w:rPr>
      <w:sz w:val="18"/>
    </w:rPr>
  </w:style>
  <w:style w:type="paragraph" w:customStyle="1" w:styleId="BodySmallRight">
    <w:name w:val="Body Small Right"/>
    <w:basedOn w:val="BodyTextRight"/>
    <w:rsid w:val="001514B7"/>
    <w:rPr>
      <w:sz w:val="18"/>
      <w:szCs w:val="18"/>
    </w:rPr>
  </w:style>
  <w:style w:type="paragraph" w:customStyle="1" w:styleId="MarginEdition">
    <w:name w:val="Margin Edition"/>
    <w:basedOn w:val="MarginNote"/>
    <w:rsid w:val="001514B7"/>
    <w:pPr>
      <w:spacing w:before="0" w:after="0"/>
    </w:pPr>
    <w:rPr>
      <w:rFonts w:ascii="Times New Roman" w:hAnsi="Times New Roman"/>
      <w:color w:val="999999"/>
    </w:rPr>
  </w:style>
  <w:style w:type="paragraph" w:customStyle="1" w:styleId="Spacer">
    <w:name w:val="Spacer"/>
    <w:basedOn w:val="Normal"/>
    <w:rsid w:val="001514B7"/>
    <w:rPr>
      <w:sz w:val="2"/>
      <w:szCs w:val="2"/>
    </w:rPr>
  </w:style>
  <w:style w:type="character" w:customStyle="1" w:styleId="Small">
    <w:name w:val="Small"/>
    <w:basedOn w:val="DefaultParagraphFont"/>
    <w:rsid w:val="001514B7"/>
    <w:rPr>
      <w:sz w:val="16"/>
    </w:rPr>
  </w:style>
  <w:style w:type="paragraph" w:customStyle="1" w:styleId="WideTable">
    <w:name w:val="Wide Table"/>
    <w:basedOn w:val="Normal"/>
    <w:rsid w:val="001514B7"/>
    <w:pPr>
      <w:ind w:left="-1418"/>
    </w:pPr>
    <w:rPr>
      <w:sz w:val="2"/>
      <w:szCs w:val="2"/>
    </w:rPr>
  </w:style>
  <w:style w:type="character" w:styleId="PageNumber">
    <w:name w:val="page number"/>
    <w:basedOn w:val="DefaultParagraphFont"/>
    <w:rsid w:val="001514B7"/>
  </w:style>
  <w:style w:type="paragraph" w:styleId="Quote">
    <w:name w:val="Quote"/>
    <w:basedOn w:val="Heading1"/>
    <w:link w:val="QuoteChar"/>
    <w:qFormat/>
    <w:rsid w:val="001514B7"/>
    <w:rPr>
      <w:b w:val="0"/>
      <w:sz w:val="72"/>
      <w:szCs w:val="72"/>
      <w:lang w:val="en-NZ"/>
    </w:rPr>
  </w:style>
  <w:style w:type="character" w:customStyle="1" w:styleId="QuoteChar">
    <w:name w:val="Quote Char"/>
    <w:basedOn w:val="DefaultParagraphFont"/>
    <w:link w:val="Quote"/>
    <w:rsid w:val="00151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4B7"/>
    <w:pPr>
      <w:pageBreakBefore/>
    </w:pPr>
  </w:style>
  <w:style w:type="paragraph" w:customStyle="1" w:styleId="Border">
    <w:name w:val="Border"/>
    <w:basedOn w:val="Normal"/>
    <w:qFormat/>
    <w:rsid w:val="00151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4B7"/>
    <w:rPr>
      <w:b/>
      <w:bCs/>
      <w:i/>
      <w:iCs/>
      <w:color w:val="auto"/>
    </w:rPr>
  </w:style>
  <w:style w:type="paragraph" w:styleId="IntenseQuote">
    <w:name w:val="Intense Quote"/>
    <w:basedOn w:val="Normal"/>
    <w:next w:val="Normal"/>
    <w:link w:val="IntenseQuoteChar"/>
    <w:uiPriority w:val="30"/>
    <w:qFormat/>
    <w:rsid w:val="00151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4B7"/>
    <w:rPr>
      <w:smallCaps/>
      <w:color w:val="auto"/>
      <w:u w:val="single"/>
    </w:rPr>
  </w:style>
  <w:style w:type="character" w:styleId="IntenseReference">
    <w:name w:val="Intense Reference"/>
    <w:basedOn w:val="DefaultParagraphFont"/>
    <w:uiPriority w:val="32"/>
    <w:qFormat/>
    <w:rsid w:val="001514B7"/>
    <w:rPr>
      <w:b/>
      <w:bCs/>
      <w:smallCaps/>
      <w:color w:val="auto"/>
      <w:spacing w:val="5"/>
      <w:u w:val="single"/>
    </w:rPr>
  </w:style>
  <w:style w:type="paragraph" w:customStyle="1" w:styleId="2ColumnHeading">
    <w:name w:val="2Column Heading"/>
    <w:basedOn w:val="BodyText"/>
    <w:qFormat/>
    <w:rsid w:val="001514B7"/>
    <w:pPr>
      <w:spacing w:after="60"/>
      <w:ind w:left="-2268"/>
    </w:pPr>
    <w:rPr>
      <w:b/>
    </w:rPr>
  </w:style>
  <w:style w:type="paragraph" w:customStyle="1" w:styleId="Heading1TOC">
    <w:name w:val="Heading1 TOC"/>
    <w:basedOn w:val="Normal"/>
    <w:qFormat/>
    <w:rsid w:val="001514B7"/>
    <w:pPr>
      <w:spacing w:before="240" w:after="120"/>
    </w:pPr>
    <w:rPr>
      <w:rFonts w:ascii="Times New Roman" w:hAnsi="Times New Roman"/>
      <w:b/>
      <w:sz w:val="32"/>
    </w:rPr>
  </w:style>
  <w:style w:type="paragraph" w:customStyle="1" w:styleId="Heading2TOC">
    <w:name w:val="Heading2 TOC"/>
    <w:basedOn w:val="Normal"/>
    <w:qFormat/>
    <w:rsid w:val="001514B7"/>
    <w:pPr>
      <w:spacing w:before="240" w:after="60"/>
    </w:pPr>
    <w:rPr>
      <w:rFonts w:ascii="Times New Roman" w:hAnsi="Times New Roman"/>
      <w:b/>
      <w:sz w:val="28"/>
    </w:rPr>
  </w:style>
  <w:style w:type="character" w:customStyle="1" w:styleId="Underline">
    <w:name w:val="Underline"/>
    <w:basedOn w:val="DefaultParagraphFont"/>
    <w:qFormat/>
    <w:rsid w:val="001514B7"/>
    <w:rPr>
      <w:u w:val="single"/>
    </w:rPr>
  </w:style>
  <w:style w:type="character" w:customStyle="1" w:styleId="BoldandItalics">
    <w:name w:val="Bold and Italics"/>
    <w:qFormat/>
    <w:rsid w:val="001514B7"/>
    <w:rPr>
      <w:b/>
      <w:i/>
      <w:u w:val="none"/>
    </w:rPr>
  </w:style>
  <w:style w:type="paragraph" w:styleId="BalloonText">
    <w:name w:val="Balloon Text"/>
    <w:basedOn w:val="Normal"/>
    <w:link w:val="BalloonTextChar"/>
    <w:rsid w:val="001514B7"/>
    <w:rPr>
      <w:rFonts w:ascii="Tahoma" w:hAnsi="Tahoma" w:cs="Tahoma"/>
      <w:sz w:val="16"/>
      <w:szCs w:val="16"/>
    </w:rPr>
  </w:style>
  <w:style w:type="character" w:customStyle="1" w:styleId="BalloonTextChar">
    <w:name w:val="Balloon Text Char"/>
    <w:basedOn w:val="DefaultParagraphFont"/>
    <w:link w:val="BalloonText"/>
    <w:rsid w:val="00151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4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4B7"/>
    <w:rPr>
      <w:b/>
      <w:color w:val="660033"/>
      <w:spacing w:val="0"/>
    </w:rPr>
  </w:style>
  <w:style w:type="paragraph" w:customStyle="1" w:styleId="Nameditemlist">
    <w:name w:val="Named item list"/>
    <w:basedOn w:val="BodyText"/>
    <w:qFormat/>
    <w:rsid w:val="001514B7"/>
    <w:pPr>
      <w:tabs>
        <w:tab w:val="left" w:pos="2835"/>
      </w:tabs>
      <w:ind w:left="2835" w:hanging="2835"/>
    </w:pPr>
  </w:style>
  <w:style w:type="paragraph" w:customStyle="1" w:styleId="BodyTextnopadding">
    <w:name w:val="Body Text no padding"/>
    <w:basedOn w:val="BodyText"/>
    <w:qFormat/>
    <w:rsid w:val="001514B7"/>
    <w:pPr>
      <w:spacing w:before="0" w:after="0"/>
    </w:pPr>
  </w:style>
  <w:style w:type="paragraph" w:customStyle="1" w:styleId="BodyTextBold">
    <w:name w:val="Body Text Bold"/>
    <w:basedOn w:val="BodyText"/>
    <w:qFormat/>
    <w:rsid w:val="001514B7"/>
    <w:rPr>
      <w:b/>
    </w:rPr>
  </w:style>
  <w:style w:type="character" w:styleId="Hyperlink">
    <w:name w:val="Hyperlink"/>
    <w:basedOn w:val="DefaultParagraphFont"/>
    <w:uiPriority w:val="99"/>
    <w:unhideWhenUsed/>
    <w:rsid w:val="00D779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4513</Characters>
  <Application>Microsoft Office Word</Application>
  <DocSecurity>0</DocSecurity>
  <Lines>214</Lines>
  <Paragraphs>100</Paragraphs>
  <ScaleCrop>false</ScaleCrop>
  <Company>Author-it Software Corporation Ltd.</Company>
  <LinksUpToDate>false</LinksUpToDate>
  <CharactersWithSpaces>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CPCPRE3001 Patch prefabricated components of concrete elements</dc:title>
  <dc:subject>Approved</dc:subject>
  <dc:creator>BuildSkills Australia</dc:creator>
  <cp:keywords>Release: 1</cp:keywords>
  <dc:description>Review Date: 12 April 2008</dc:description>
  <cp:lastModifiedBy>HSD_TPCMSd.prod</cp:lastModifiedBy>
  <cp:revision>3</cp:revision>
  <dcterms:created xsi:type="dcterms:W3CDTF">2024-12-24T01:08:00Z</dcterms:created>
  <dcterms:modified xsi:type="dcterms:W3CDTF">2024-12-24T01:08:00Z</dcterms:modified>
</cp:coreProperties>
</file>