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B99" w:rsidP="00FE6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CPCPRE3001 Patch prefabricated components of concrete elements</w:t>
      </w:r>
      <w:r>
        <w:fldChar w:fldCharType="end"/>
      </w:r>
    </w:p>
    <w:p w:rsidR="00FE6B99" w:rsidP="00FE6B99">
      <w:pPr>
        <w:pStyle w:val="Version"/>
        <w:sectPr w:rsidSect="00504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3E1" w:rsidP="005043E1">
      <w:pPr>
        <w:pStyle w:val="SuperHeading"/>
      </w:pPr>
      <w:r w:rsidRPr="005043E1">
        <w:t>CPCPRE3001 Patch prefabricated components of concrete elements</w:t>
      </w:r>
    </w:p>
    <w:p w:rsidR="00000000" w:rsidRPr="005043E1" w:rsidP="005043E1">
      <w:pPr>
        <w:pStyle w:val="Heading1"/>
      </w:pPr>
      <w:bookmarkStart w:id="1" w:name="O_1260747"/>
      <w:bookmarkEnd w:id="1"/>
      <w:r w:rsidRPr="005043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3E1" w:rsidP="005043E1">
            <w:pPr>
              <w:pStyle w:val="BodyText"/>
            </w:pPr>
            <w:r w:rsidRPr="005043E1">
              <w:t>This version first released with CPC Construction, Plumbing and Services Training Package Release 9.0.</w:t>
            </w:r>
          </w:p>
          <w:p w:rsidR="00000000" w:rsidRPr="005043E1" w:rsidP="005043E1">
            <w:pPr>
              <w:pStyle w:val="BodyText"/>
            </w:pPr>
            <w:r w:rsidRPr="005043E1">
              <w:t>Newly created unit.</w:t>
            </w:r>
          </w:p>
        </w:tc>
      </w:tr>
    </w:tbl>
    <w:p w:rsidR="00000000" w:rsidRPr="005043E1" w:rsidP="005043E1">
      <w:pPr>
        <w:pStyle w:val="BodyText"/>
      </w:pPr>
    </w:p>
    <w:p w:rsidR="00000000" w:rsidRPr="005043E1" w:rsidP="005043E1">
      <w:pPr>
        <w:pStyle w:val="AllowPageBreak"/>
      </w:pPr>
    </w:p>
    <w:p w:rsidR="00000000" w:rsidRPr="005043E1" w:rsidP="005043E1">
      <w:pPr>
        <w:pStyle w:val="Heading1"/>
      </w:pPr>
      <w:bookmarkStart w:id="2" w:name="O_1260753"/>
      <w:bookmarkEnd w:id="2"/>
      <w:r w:rsidRPr="005043E1">
        <w:t>Application</w:t>
      </w:r>
    </w:p>
    <w:p w:rsidR="00000000" w:rsidRPr="005043E1" w:rsidP="00FE6B99">
      <w:pPr>
        <w:pStyle w:val="BodyText"/>
      </w:pPr>
      <w:r w:rsidRPr="005043E1">
        <w:t>This unit of competency specifies the skills and knowledge required to patch prefabricated components of concrete elements, including determining requirements, preparing patching components, conducting the patching activity and cleanin</w:t>
      </w:r>
      <w:r w:rsidRPr="005043E1">
        <w:t xml:space="preserve">g up upon completion. </w:t>
      </w:r>
    </w:p>
    <w:p w:rsidR="00000000" w:rsidRPr="005043E1" w:rsidP="00FE6B99">
      <w:pPr>
        <w:pStyle w:val="BodyText"/>
      </w:pPr>
      <w:r w:rsidRPr="005043E1">
        <w:t>It requires using appropriate tools, equipment, materials and working at heights and in a team environment to patch prefabricated components of concrete elements.</w:t>
      </w:r>
    </w:p>
    <w:p w:rsidR="00000000" w:rsidRPr="005043E1" w:rsidP="00FE6B99">
      <w:pPr>
        <w:pStyle w:val="BodyText"/>
      </w:pPr>
      <w:r w:rsidRPr="005043E1">
        <w:t>A person who has achieved this unit of competency would be expected to</w:t>
      </w:r>
      <w:r w:rsidRPr="005043E1">
        <w:t xml:space="preserve"> follow safety regulations and relevant specifications.</w:t>
      </w:r>
    </w:p>
    <w:p w:rsidR="00000000" w:rsidRPr="005043E1" w:rsidP="00FE6B99">
      <w:pPr>
        <w:pStyle w:val="BodyText"/>
      </w:pPr>
      <w:r w:rsidRPr="005043E1">
        <w:t>Completion of the general construction induction training program, specified in the Safe Work Australia model Code of Practice: Construction Work, is required by anyone carrying out construction work.</w:t>
      </w:r>
      <w:r w:rsidRPr="005043E1">
        <w:t xml:space="preserve"> Achievement of CPCWHS1001 Prepare to work safely in the construction industry meets this requirement.</w:t>
      </w:r>
    </w:p>
    <w:p w:rsidR="00000000" w:rsidRPr="005043E1" w:rsidP="00FE6B99">
      <w:pPr>
        <w:pStyle w:val="BodyText"/>
      </w:pPr>
      <w:r w:rsidRPr="005043E1">
        <w:t>Licensing, legislative, regulatory or certification requirements apply to this unit of competency in some states and territories. For further information</w:t>
      </w:r>
      <w:r w:rsidRPr="005043E1">
        <w:t>, check with the relevant regulatory authority.</w:t>
      </w:r>
    </w:p>
    <w:p w:rsidR="00000000" w:rsidRPr="005043E1" w:rsidP="005043E1">
      <w:pPr>
        <w:pStyle w:val="Heading1"/>
      </w:pPr>
      <w:bookmarkStart w:id="3" w:name="O_1260752"/>
      <w:bookmarkEnd w:id="3"/>
      <w:r w:rsidRPr="005043E1">
        <w:t>Pre-requisite Unit</w:t>
      </w:r>
    </w:p>
    <w:p w:rsidR="00000000" w:rsidRPr="005043E1" w:rsidP="005043E1">
      <w:pPr>
        <w:pStyle w:val="ListBullet"/>
      </w:pPr>
      <w:r w:rsidRPr="005043E1">
        <w:t xml:space="preserve">CPCCWHS2001 Apply WHS requirements policies and procedures in the construction industry </w:t>
      </w:r>
    </w:p>
    <w:p w:rsidR="00000000" w:rsidRPr="005043E1" w:rsidP="005043E1">
      <w:pPr>
        <w:pStyle w:val="ListBullet"/>
      </w:pPr>
      <w:r w:rsidRPr="005043E1">
        <w:t>CPCCCM2012 Work safely at heights</w:t>
      </w:r>
    </w:p>
    <w:p w:rsidR="00000000" w:rsidRPr="005043E1" w:rsidP="005043E1">
      <w:pPr>
        <w:pStyle w:val="AllowPageBreak"/>
      </w:pPr>
    </w:p>
    <w:p w:rsidR="00000000" w:rsidRPr="005043E1" w:rsidP="005043E1">
      <w:pPr>
        <w:pStyle w:val="Heading1"/>
      </w:pPr>
      <w:bookmarkStart w:id="4" w:name="O_1260751"/>
      <w:bookmarkEnd w:id="4"/>
      <w:r w:rsidRPr="005043E1">
        <w:t>Unit Sector</w:t>
      </w:r>
    </w:p>
    <w:p w:rsidR="00000000" w:rsidRPr="005043E1" w:rsidP="00FE6B99">
      <w:pPr>
        <w:pStyle w:val="BodyText"/>
      </w:pPr>
      <w:r w:rsidRPr="005043E1">
        <w:t>Prefabricated concrete</w:t>
      </w:r>
    </w:p>
    <w:p w:rsidR="00000000" w:rsidRPr="005043E1" w:rsidP="005043E1">
      <w:pPr>
        <w:pStyle w:val="Heading1"/>
      </w:pPr>
      <w:bookmarkStart w:id="5" w:name="O_1260750"/>
      <w:bookmarkEnd w:id="5"/>
      <w:r w:rsidRPr="005043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60"/>
        <w:gridCol w:w="2210"/>
        <w:gridCol w:w="804"/>
        <w:gridCol w:w="5659"/>
      </w:tblGrid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Performance criteria describe what needs to be done to demonstrate achievement of the element.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1.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Determine requirements to patch prefabricated components of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Review and clarify prefabricated concrete element patch task according to the approved repair procedure, project specifications and safety data sheets (SDS).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Determine location of the components of prefabricated concrete elements from drawings and/or patching schedule.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 xml:space="preserve">Determine the materials and patching procedures and check to ensure they comply with the approved repair procedure and are in accordance </w:t>
            </w:r>
            <w:r w:rsidRPr="005043E1">
              <w:t>with relevant legislation, regulations, standards and codes of practice.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Review work health and safety (WHS) requirements for the task in accordance with safety plans and policies.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 xml:space="preserve">Conduct working at heights risk assessment and follow appropriate WHS processes. 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 xml:space="preserve">Assess the risk of respirable crystalline silica and follow jurisdictional regulations. 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Identify safety signage and barricade requirements.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Review envir</w:t>
            </w:r>
            <w:r w:rsidRPr="005043E1">
              <w:t>onmental requirements for the task in accordance with environmental plans and legislative requirements.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Determine plant, tools, equipment, and materials required to carry out task.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2.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Prepare to patch prefabricate</w:t>
            </w:r>
            <w:r w:rsidRPr="005043E1">
              <w:t>d components of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Erect identified safety signage and barricade requirements, and fit personal protective equipment (PPE).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 xml:space="preserve">Obtain plant, tools, equipment, check for serviceability and rectify or report any faults. 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 xml:space="preserve">Check panels for damage or cracks and report to appropriate person.  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3.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Mix prefabricated concrete patch agents.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Access patching substance for prefabricated concrete components in accordance with safety requirements and hazardous substances code of practice.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Measure liquid and powdered substance ratios according to manufacturer specifications and pour into mix</w:t>
            </w:r>
            <w:r w:rsidRPr="005043E1">
              <w:t>ing container without spillage.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Check mix is lump free, impose curing times with cognisance to environmental variables and attain the required consistency in accordance with manufacturer specifications.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4.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Undertake the patching of prefabricated components of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Determine the position of the prefabricated components of concrete elements that require patching.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Provide suitable access to work zone in accordance with the specifications and safety standards.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Review the approved patching procedure and specifications and determine job sequencing and team roles.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Access correct/approved patching materials</w:t>
            </w:r>
            <w:r w:rsidRPr="005043E1">
              <w:t xml:space="preserve"> and tools, including adequate quantity.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 xml:space="preserve">Complete patching in accordance with the approved repair procedures, including curing as specified. 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Once complete, undertake sign-off procedures in accordance with approved workplace requirements.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5.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Clear work area and dispose of, re-use or recycle materials in accordance with regulatory and workplace requirements.</w:t>
            </w:r>
          </w:p>
        </w:tc>
      </w:tr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3E1" w:rsidP="005043E1">
            <w:pPr>
              <w:pStyle w:val="BodyText"/>
            </w:pPr>
            <w:r w:rsidRPr="005043E1">
              <w:t>Clean, check, maintain and store tools and equipment in accordance with manufacturer and workplace requirements.</w:t>
            </w:r>
          </w:p>
        </w:tc>
      </w:tr>
    </w:tbl>
    <w:p w:rsidR="00000000" w:rsidRPr="005043E1" w:rsidP="005043E1">
      <w:pPr>
        <w:pStyle w:val="BodyText"/>
      </w:pPr>
    </w:p>
    <w:p w:rsidR="00000000" w:rsidRPr="005043E1" w:rsidP="005043E1">
      <w:pPr>
        <w:pStyle w:val="AllowPageBreak"/>
      </w:pPr>
    </w:p>
    <w:p w:rsidR="00000000" w:rsidRPr="005043E1" w:rsidP="005043E1">
      <w:pPr>
        <w:pStyle w:val="Heading1"/>
      </w:pPr>
      <w:bookmarkStart w:id="6" w:name="O_1260749"/>
      <w:bookmarkEnd w:id="6"/>
      <w:r w:rsidRPr="005043E1">
        <w:t>Foundation Skills</w:t>
      </w:r>
    </w:p>
    <w:p w:rsidR="00000000" w:rsidRPr="005043E1" w:rsidP="00FE6B99">
      <w:pPr>
        <w:pStyle w:val="BodyText"/>
      </w:pPr>
      <w:r w:rsidRPr="005043E1">
        <w:t xml:space="preserve">Foundation skills essential to performance are explicit in the performance criteria of this unit of competency. </w:t>
      </w:r>
    </w:p>
    <w:p w:rsidR="00000000" w:rsidRPr="005043E1" w:rsidP="005043E1">
      <w:pPr>
        <w:pStyle w:val="Heading1"/>
      </w:pPr>
      <w:bookmarkStart w:id="7" w:name="O_1260748"/>
      <w:bookmarkEnd w:id="7"/>
      <w:r w:rsidRPr="005043E1">
        <w:t>Unit Mapping Information</w:t>
      </w:r>
    </w:p>
    <w:p w:rsidR="00000000" w:rsidRPr="005043E1" w:rsidP="00FE6B99">
      <w:pPr>
        <w:pStyle w:val="BodyText"/>
      </w:pPr>
      <w:r w:rsidRPr="005043E1">
        <w:t>No equivalent unit.</w:t>
      </w:r>
    </w:p>
    <w:p w:rsidR="00000000" w:rsidRPr="005043E1" w:rsidP="005043E1">
      <w:pPr>
        <w:pStyle w:val="Heading1"/>
      </w:pPr>
      <w:bookmarkStart w:id="8" w:name="O_1260741"/>
      <w:bookmarkEnd w:id="8"/>
      <w:r w:rsidRPr="005043E1">
        <w:t>Links</w:t>
      </w:r>
    </w:p>
    <w:p w:rsidR="00000000" w:rsidRPr="005043E1" w:rsidP="00FE6B99">
      <w:pPr>
        <w:pStyle w:val="BodyText"/>
      </w:pPr>
      <w:r w:rsidRPr="005043E1">
        <w:t>Companion volumes to this training package are availab</w:t>
      </w:r>
      <w:r w:rsidRPr="005043E1">
        <w:t xml:space="preserve">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726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043E1" w:rsidP="00FE6B99">
      <w:pPr>
        <w:pStyle w:val="BodyText"/>
        <w:sectPr w:rsidSect="005043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43E1" w:rsidP="005043E1">
      <w:pPr>
        <w:pStyle w:val="SuperHeading"/>
      </w:pPr>
      <w:r w:rsidRPr="005043E1">
        <w:t>Assessment Requirements for CPCPRE3001 Patch prefabricated components of concrete elements</w:t>
      </w:r>
    </w:p>
    <w:p w:rsidR="00000000" w:rsidRPr="005043E1" w:rsidP="005043E1">
      <w:pPr>
        <w:pStyle w:val="Heading1"/>
      </w:pPr>
      <w:bookmarkStart w:id="9" w:name="O_1260743"/>
      <w:bookmarkEnd w:id="9"/>
      <w:r w:rsidRPr="005043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504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3E1">
            <w:pPr>
              <w:pStyle w:val="BodyText"/>
              <w:rPr>
                <w:lang w:val="en-NZ"/>
              </w:rPr>
            </w:pPr>
            <w:r w:rsidRPr="005043E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3E1" w:rsidP="005043E1">
            <w:pPr>
              <w:pStyle w:val="BodyText"/>
            </w:pPr>
            <w:r w:rsidRPr="005043E1">
              <w:t>This version first released with CPC Construction, Plumbing and Services Training Package Release 9.0.</w:t>
            </w:r>
          </w:p>
          <w:p w:rsidR="00000000" w:rsidRPr="005043E1" w:rsidP="005043E1">
            <w:pPr>
              <w:pStyle w:val="BodyText"/>
            </w:pPr>
            <w:r w:rsidRPr="005043E1">
              <w:t>Newly created unit.</w:t>
            </w:r>
          </w:p>
        </w:tc>
      </w:tr>
    </w:tbl>
    <w:p w:rsidR="00000000" w:rsidRPr="005043E1" w:rsidP="005043E1">
      <w:pPr>
        <w:pStyle w:val="BodyText"/>
      </w:pPr>
    </w:p>
    <w:p w:rsidR="00000000" w:rsidRPr="005043E1" w:rsidP="005043E1">
      <w:pPr>
        <w:pStyle w:val="AllowPageBreak"/>
      </w:pPr>
    </w:p>
    <w:p w:rsidR="00000000" w:rsidRPr="005043E1" w:rsidP="005043E1">
      <w:pPr>
        <w:pStyle w:val="Heading1"/>
      </w:pPr>
      <w:bookmarkStart w:id="10" w:name="O_1260746"/>
      <w:bookmarkEnd w:id="10"/>
      <w:r w:rsidRPr="005043E1">
        <w:t>Performance Evidence</w:t>
      </w:r>
    </w:p>
    <w:p w:rsidR="00000000" w:rsidRPr="005043E1" w:rsidP="00FE6B99">
      <w:pPr>
        <w:pStyle w:val="BodyText"/>
      </w:pPr>
      <w:r w:rsidRPr="005043E1">
        <w:t>To demonstrate competency, a candidate must m</w:t>
      </w:r>
      <w:r w:rsidRPr="005043E1">
        <w:t>eet the elements and performance criteria of this unit by patching components within a precast element, including:</w:t>
      </w:r>
    </w:p>
    <w:p w:rsidR="00000000" w:rsidRPr="005043E1" w:rsidP="00FE6B99">
      <w:pPr>
        <w:pStyle w:val="BodyText"/>
      </w:pPr>
      <w:r w:rsidRPr="005043E1">
        <w:t>a Stitch Plate recess (200mm x 200mm x 35mm deep min.)</w:t>
      </w:r>
      <w:r>
        <w:t xml:space="preserve"> </w:t>
      </w:r>
      <w:r w:rsidRPr="005043E1">
        <w:t>and any two of the following:</w:t>
      </w:r>
    </w:p>
    <w:p w:rsidR="00000000" w:rsidRPr="005043E1" w:rsidP="005043E1">
      <w:pPr>
        <w:pStyle w:val="ListBullet"/>
      </w:pPr>
      <w:r w:rsidRPr="005043E1">
        <w:t>a lifting insert void former (5 tonne lifting insert r</w:t>
      </w:r>
      <w:r w:rsidRPr="005043E1">
        <w:t>ecess min.)</w:t>
      </w:r>
    </w:p>
    <w:p w:rsidR="00000000" w:rsidRPr="005043E1" w:rsidP="005043E1">
      <w:pPr>
        <w:pStyle w:val="ListBullet"/>
      </w:pPr>
      <w:r w:rsidRPr="005043E1">
        <w:t>a cast-in-insert recess (M20 ferrule nailing plate recess)</w:t>
      </w:r>
    </w:p>
    <w:p w:rsidR="00000000" w:rsidRPr="005043E1" w:rsidP="005043E1">
      <w:pPr>
        <w:pStyle w:val="ListBullet"/>
      </w:pPr>
      <w:r w:rsidRPr="005043E1">
        <w:t>a grouting duct (50mm diameter grout duct recess).</w:t>
      </w:r>
    </w:p>
    <w:p w:rsidR="00000000" w:rsidRPr="005043E1" w:rsidP="005043E1">
      <w:pPr>
        <w:pStyle w:val="AllowPageBreak"/>
      </w:pPr>
    </w:p>
    <w:p w:rsidR="00000000" w:rsidRPr="005043E1" w:rsidP="005043E1">
      <w:pPr>
        <w:pStyle w:val="Heading1"/>
      </w:pPr>
      <w:bookmarkStart w:id="11" w:name="O_1260745"/>
      <w:bookmarkEnd w:id="11"/>
      <w:r w:rsidRPr="005043E1">
        <w:t>Knowledge Evidence</w:t>
      </w:r>
    </w:p>
    <w:p w:rsidR="00000000" w:rsidRPr="005043E1" w:rsidP="00FE6B99">
      <w:pPr>
        <w:pStyle w:val="BodyText"/>
      </w:pPr>
      <w:r w:rsidRPr="005043E1">
        <w:t>To be competent in this unit, a candidate must demonstrate knowledge of:</w:t>
      </w:r>
    </w:p>
    <w:p w:rsidR="00000000" w:rsidRPr="005043E1" w:rsidP="005043E1">
      <w:pPr>
        <w:pStyle w:val="ListBullet"/>
      </w:pPr>
      <w:r w:rsidRPr="005043E1">
        <w:t>compliance requirements of legislation, regulations, codes and Australian Standards relevant to concrete patching, in particular for the repair of prefabricated concrete elements:</w:t>
      </w:r>
    </w:p>
    <w:p w:rsidR="00000000" w:rsidRPr="005043E1" w:rsidP="005043E1">
      <w:pPr>
        <w:pStyle w:val="ListBullet2"/>
      </w:pPr>
      <w:r w:rsidRPr="005043E1">
        <w:t>environmental protection and waste disposal</w:t>
      </w:r>
    </w:p>
    <w:p w:rsidR="00000000" w:rsidRPr="005043E1" w:rsidP="005043E1">
      <w:pPr>
        <w:pStyle w:val="ListBullet2"/>
      </w:pPr>
      <w:r w:rsidRPr="005043E1">
        <w:t>work health and safety (WHS) re</w:t>
      </w:r>
      <w:r w:rsidRPr="005043E1">
        <w:t>gulations, including:</w:t>
      </w:r>
    </w:p>
    <w:p w:rsidR="00000000" w:rsidRPr="005043E1" w:rsidP="005043E1">
      <w:pPr>
        <w:pStyle w:val="ListBullet3"/>
      </w:pPr>
      <w:r w:rsidRPr="005043E1">
        <w:t>use of personal protective equipment (PPE)</w:t>
      </w:r>
    </w:p>
    <w:p w:rsidR="00000000" w:rsidRPr="005043E1" w:rsidP="005043E1">
      <w:pPr>
        <w:pStyle w:val="ListBullet3"/>
      </w:pPr>
      <w:r w:rsidRPr="005043E1">
        <w:t>fall protection</w:t>
      </w:r>
    </w:p>
    <w:p w:rsidR="00000000" w:rsidRPr="005043E1" w:rsidP="005043E1">
      <w:pPr>
        <w:pStyle w:val="ListBullet3"/>
      </w:pPr>
      <w:r w:rsidRPr="005043E1">
        <w:t>risk when working at heights/on ladders</w:t>
      </w:r>
    </w:p>
    <w:p w:rsidR="00000000" w:rsidRPr="005043E1" w:rsidP="005043E1">
      <w:pPr>
        <w:pStyle w:val="ListBullet3"/>
      </w:pPr>
      <w:r w:rsidRPr="005043E1">
        <w:t>drop zones</w:t>
      </w:r>
    </w:p>
    <w:p w:rsidR="00000000" w:rsidRPr="005043E1" w:rsidP="005043E1">
      <w:pPr>
        <w:pStyle w:val="ListBullet3"/>
      </w:pPr>
      <w:r w:rsidRPr="005043E1">
        <w:t>hazardous substances</w:t>
      </w:r>
    </w:p>
    <w:p w:rsidR="00000000" w:rsidRPr="005043E1" w:rsidP="005043E1">
      <w:pPr>
        <w:pStyle w:val="ListBullet3"/>
      </w:pPr>
      <w:r w:rsidRPr="005043E1">
        <w:t xml:space="preserve">safe manual handling techniques </w:t>
      </w:r>
    </w:p>
    <w:p w:rsidR="00000000" w:rsidRPr="005043E1" w:rsidP="005043E1">
      <w:pPr>
        <w:pStyle w:val="ListBullet3"/>
      </w:pPr>
      <w:r w:rsidRPr="005043E1">
        <w:t>safety when working at heights</w:t>
      </w:r>
    </w:p>
    <w:p w:rsidR="00000000" w:rsidRPr="005043E1" w:rsidP="005043E1">
      <w:pPr>
        <w:pStyle w:val="ListBullet3"/>
      </w:pPr>
      <w:r w:rsidRPr="005043E1">
        <w:t>respirable crystalline silica</w:t>
      </w:r>
    </w:p>
    <w:p w:rsidR="00000000" w:rsidRPr="005043E1" w:rsidP="005043E1">
      <w:pPr>
        <w:pStyle w:val="ListBullet2"/>
      </w:pPr>
      <w:r w:rsidRPr="005043E1">
        <w:t xml:space="preserve">SA HB 84-2018 Guide to Concrete Repair and Protection </w:t>
      </w:r>
    </w:p>
    <w:p w:rsidR="00000000" w:rsidRPr="005043E1" w:rsidP="005043E1">
      <w:pPr>
        <w:pStyle w:val="ListBullet"/>
      </w:pPr>
      <w:r w:rsidRPr="005043E1">
        <w:t>detrimental effect of water addition to concrete properties</w:t>
      </w:r>
    </w:p>
    <w:p w:rsidR="00000000" w:rsidRPr="005043E1" w:rsidP="005043E1">
      <w:pPr>
        <w:pStyle w:val="ListBullet"/>
      </w:pPr>
      <w:r w:rsidRPr="005043E1">
        <w:t xml:space="preserve">precautions that should be taken to minimise any potential adverse effects to the use of varying patching materials </w:t>
      </w:r>
    </w:p>
    <w:p w:rsidR="00000000" w:rsidRPr="005043E1" w:rsidP="005043E1">
      <w:pPr>
        <w:pStyle w:val="ListBullet"/>
      </w:pPr>
      <w:r w:rsidRPr="005043E1">
        <w:t>types of procedures, drawings and specifications used to interpret prefabricated concrete element patching requirements</w:t>
      </w:r>
    </w:p>
    <w:p w:rsidR="00000000" w:rsidRPr="005043E1" w:rsidP="005043E1">
      <w:pPr>
        <w:pStyle w:val="ListBullet"/>
      </w:pPr>
      <w:r w:rsidRPr="005043E1">
        <w:t>approved repair procedure</w:t>
      </w:r>
    </w:p>
    <w:p w:rsidR="00000000" w:rsidRPr="005043E1" w:rsidP="005043E1">
      <w:pPr>
        <w:pStyle w:val="ListBullet"/>
      </w:pPr>
      <w:r w:rsidRPr="005043E1">
        <w:t>material data sheets</w:t>
      </w:r>
    </w:p>
    <w:p w:rsidR="00000000" w:rsidRPr="005043E1" w:rsidP="005043E1">
      <w:pPr>
        <w:pStyle w:val="ListBullet"/>
      </w:pPr>
      <w:r w:rsidRPr="005043E1">
        <w:t>manufacturer specifications for patching agents</w:t>
      </w:r>
    </w:p>
    <w:p w:rsidR="00000000" w:rsidRPr="005043E1" w:rsidP="005043E1">
      <w:pPr>
        <w:pStyle w:val="ListBullet"/>
      </w:pPr>
      <w:r w:rsidRPr="005043E1">
        <w:t>types of prefabricated concrete element p</w:t>
      </w:r>
      <w:r w:rsidRPr="005043E1">
        <w:t>atching, including:</w:t>
      </w:r>
    </w:p>
    <w:p w:rsidR="00000000" w:rsidRPr="005043E1" w:rsidP="005043E1">
      <w:pPr>
        <w:pStyle w:val="ListBullet2"/>
      </w:pPr>
      <w:r w:rsidRPr="005043E1">
        <w:t>treatment of cracks</w:t>
      </w:r>
    </w:p>
    <w:p w:rsidR="00000000" w:rsidRPr="005043E1" w:rsidP="005043E1">
      <w:pPr>
        <w:pStyle w:val="ListBullet2"/>
      </w:pPr>
      <w:r w:rsidRPr="005043E1">
        <w:t>surface preparation for volume replacements</w:t>
      </w:r>
    </w:p>
    <w:p w:rsidR="00000000" w:rsidRPr="005043E1" w:rsidP="005043E1">
      <w:pPr>
        <w:pStyle w:val="ListBullet2"/>
      </w:pPr>
      <w:r w:rsidRPr="005043E1">
        <w:t>cosmetic volume replacements</w:t>
      </w:r>
    </w:p>
    <w:p w:rsidR="00000000" w:rsidRPr="005043E1" w:rsidP="005043E1">
      <w:pPr>
        <w:pStyle w:val="ListBullet2"/>
      </w:pPr>
      <w:r w:rsidRPr="005043E1">
        <w:t xml:space="preserve">structural volume replacements </w:t>
      </w:r>
    </w:p>
    <w:p w:rsidR="00000000" w:rsidRPr="005043E1" w:rsidP="005043E1">
      <w:pPr>
        <w:pStyle w:val="ListBullet2"/>
      </w:pPr>
      <w:r w:rsidRPr="005043E1">
        <w:t>priming and surface preparation</w:t>
      </w:r>
    </w:p>
    <w:p w:rsidR="00000000" w:rsidRPr="005043E1" w:rsidP="005043E1">
      <w:pPr>
        <w:pStyle w:val="ListBullet2"/>
      </w:pPr>
      <w:r w:rsidRPr="005043E1">
        <w:t xml:space="preserve">installation of supplementary reinforcement </w:t>
      </w:r>
    </w:p>
    <w:p w:rsidR="00000000" w:rsidRPr="005043E1" w:rsidP="005043E1">
      <w:pPr>
        <w:pStyle w:val="ListBullet2"/>
      </w:pPr>
      <w:r w:rsidRPr="005043E1">
        <w:t>repair layering and build-up</w:t>
      </w:r>
    </w:p>
    <w:p w:rsidR="00000000" w:rsidRPr="005043E1" w:rsidP="005043E1">
      <w:pPr>
        <w:pStyle w:val="ListBullet2"/>
      </w:pPr>
      <w:r w:rsidRPr="005043E1">
        <w:t>fairing coats, colour and texture matching</w:t>
      </w:r>
    </w:p>
    <w:p w:rsidR="00000000" w:rsidRPr="005043E1" w:rsidP="005043E1">
      <w:pPr>
        <w:pStyle w:val="ListBullet2"/>
      </w:pPr>
      <w:r w:rsidRPr="005043E1">
        <w:t>concrete sealing and methods of injection</w:t>
      </w:r>
    </w:p>
    <w:p w:rsidR="00000000" w:rsidRPr="005043E1" w:rsidP="005043E1">
      <w:pPr>
        <w:pStyle w:val="ListBullet"/>
      </w:pPr>
      <w:r w:rsidRPr="005043E1">
        <w:t>prefabricated component of concrete element patching considerations, including:</w:t>
      </w:r>
    </w:p>
    <w:p w:rsidR="00000000" w:rsidRPr="005043E1" w:rsidP="005043E1">
      <w:pPr>
        <w:pStyle w:val="ListBullet2"/>
      </w:pPr>
      <w:r w:rsidRPr="005043E1">
        <w:t>physical/permeability compatibility</w:t>
      </w:r>
    </w:p>
    <w:p w:rsidR="00000000" w:rsidRPr="005043E1" w:rsidP="005043E1">
      <w:pPr>
        <w:pStyle w:val="ListBullet2"/>
      </w:pPr>
      <w:r w:rsidRPr="005043E1">
        <w:t>chemical compatibility</w:t>
      </w:r>
    </w:p>
    <w:p w:rsidR="00000000" w:rsidRPr="005043E1" w:rsidP="005043E1">
      <w:pPr>
        <w:pStyle w:val="ListBullet2"/>
      </w:pPr>
      <w:r w:rsidRPr="005043E1">
        <w:t>electrochemical compatibility</w:t>
      </w:r>
    </w:p>
    <w:p w:rsidR="00000000" w:rsidRPr="005043E1" w:rsidP="005043E1">
      <w:pPr>
        <w:pStyle w:val="ListBullet2"/>
      </w:pPr>
      <w:r w:rsidRPr="005043E1">
        <w:t>dimensional stability – coefficient of thermal expansion, modulus of elasticity and drying shrinkage</w:t>
      </w:r>
    </w:p>
    <w:p w:rsidR="00000000" w:rsidRPr="005043E1" w:rsidP="005043E1">
      <w:pPr>
        <w:pStyle w:val="ListBullet"/>
      </w:pPr>
      <w:r w:rsidRPr="005043E1">
        <w:t>prefabricated component of concrete element patching evaluation methods, including:</w:t>
      </w:r>
    </w:p>
    <w:p w:rsidR="00000000" w:rsidRPr="005043E1" w:rsidP="005043E1">
      <w:pPr>
        <w:pStyle w:val="ListBullet2"/>
      </w:pPr>
      <w:r w:rsidRPr="005043E1">
        <w:t>visual inspection and recording</w:t>
      </w:r>
    </w:p>
    <w:p w:rsidR="00000000" w:rsidRPr="005043E1" w:rsidP="005043E1">
      <w:pPr>
        <w:pStyle w:val="ListBullet2"/>
      </w:pPr>
      <w:r w:rsidRPr="005043E1">
        <w:t>hammer sounding/rebound hammer test</w:t>
      </w:r>
    </w:p>
    <w:p w:rsidR="00000000" w:rsidRPr="005043E1" w:rsidP="005043E1">
      <w:pPr>
        <w:pStyle w:val="ListBullet2"/>
      </w:pPr>
      <w:r w:rsidRPr="005043E1">
        <w:t>p</w:t>
      </w:r>
      <w:r w:rsidRPr="005043E1">
        <w:t>henolphthalein test for carbonation</w:t>
      </w:r>
    </w:p>
    <w:p w:rsidR="00000000" w:rsidRPr="005043E1" w:rsidP="005043E1">
      <w:pPr>
        <w:pStyle w:val="ListBullet2"/>
      </w:pPr>
      <w:r w:rsidRPr="005043E1">
        <w:t>half-cell potential measurement</w:t>
      </w:r>
    </w:p>
    <w:p w:rsidR="00000000" w:rsidRPr="005043E1" w:rsidP="005043E1">
      <w:pPr>
        <w:pStyle w:val="ListBullet2"/>
      </w:pPr>
      <w:r w:rsidRPr="005043E1">
        <w:t>core-cutting</w:t>
      </w:r>
    </w:p>
    <w:p w:rsidR="00000000" w:rsidRPr="005043E1" w:rsidP="005043E1">
      <w:pPr>
        <w:pStyle w:val="ListBullet2"/>
      </w:pPr>
      <w:r w:rsidRPr="005043E1">
        <w:t xml:space="preserve">chemical analysis of prefabricated concrete element at different depths  </w:t>
      </w:r>
    </w:p>
    <w:p w:rsidR="00000000" w:rsidRPr="005043E1" w:rsidP="005043E1">
      <w:pPr>
        <w:pStyle w:val="ListBullet"/>
      </w:pPr>
      <w:r w:rsidRPr="005043E1">
        <w:t>workplace requirements when working with prefabricated concrete components and elements:</w:t>
      </w:r>
    </w:p>
    <w:p w:rsidR="00000000" w:rsidRPr="005043E1" w:rsidP="005043E1">
      <w:pPr>
        <w:pStyle w:val="ListBullet2"/>
      </w:pPr>
      <w:r w:rsidRPr="005043E1">
        <w:t>cleaning up the work area</w:t>
      </w:r>
    </w:p>
    <w:p w:rsidR="00000000" w:rsidRPr="005043E1" w:rsidP="005043E1">
      <w:pPr>
        <w:pStyle w:val="ListBullet2"/>
      </w:pPr>
      <w:r w:rsidRPr="005043E1">
        <w:t>maintaining and storing plant, labelling, tools and equipment</w:t>
      </w:r>
    </w:p>
    <w:p w:rsidR="00000000" w:rsidRPr="005043E1" w:rsidP="005043E1">
      <w:pPr>
        <w:pStyle w:val="ListBullet2"/>
      </w:pPr>
      <w:r w:rsidRPr="005043E1">
        <w:t>reporting problems</w:t>
      </w:r>
    </w:p>
    <w:p w:rsidR="00000000" w:rsidRPr="005043E1" w:rsidP="005043E1">
      <w:pPr>
        <w:pStyle w:val="ListBullet2"/>
      </w:pPr>
      <w:r w:rsidRPr="005043E1">
        <w:t>quality</w:t>
      </w:r>
    </w:p>
    <w:p w:rsidR="00000000" w:rsidRPr="005043E1" w:rsidP="005043E1">
      <w:pPr>
        <w:pStyle w:val="ListBullet"/>
      </w:pPr>
      <w:r w:rsidRPr="005043E1">
        <w:t xml:space="preserve">fire rating requirements relevant to concrete prefabricated concrete elements rectification </w:t>
      </w:r>
    </w:p>
    <w:p w:rsidR="00000000" w:rsidRPr="005043E1" w:rsidP="005043E1">
      <w:pPr>
        <w:pStyle w:val="ListBullet"/>
      </w:pPr>
      <w:r w:rsidRPr="005043E1">
        <w:t>workplace procedures related to communication p</w:t>
      </w:r>
      <w:r w:rsidRPr="005043E1">
        <w:t xml:space="preserve">rotocols </w:t>
      </w:r>
    </w:p>
    <w:p w:rsidR="00000000" w:rsidRPr="005043E1" w:rsidP="005043E1">
      <w:pPr>
        <w:pStyle w:val="ListBullet"/>
      </w:pPr>
      <w:r w:rsidRPr="005043E1">
        <w:t>repair procedure approval</w:t>
      </w:r>
    </w:p>
    <w:p w:rsidR="00000000" w:rsidRPr="005043E1" w:rsidP="005043E1">
      <w:pPr>
        <w:pStyle w:val="ListBullet"/>
      </w:pPr>
      <w:r w:rsidRPr="005043E1">
        <w:t xml:space="preserve">principals of sustainability relevant to material reuse </w:t>
      </w:r>
    </w:p>
    <w:p w:rsidR="00000000" w:rsidRPr="005043E1" w:rsidP="005043E1">
      <w:pPr>
        <w:pStyle w:val="ListBullet"/>
      </w:pPr>
      <w:r w:rsidRPr="005043E1">
        <w:t xml:space="preserve">work planning and logical task sequencing </w:t>
      </w:r>
    </w:p>
    <w:p w:rsidR="00000000" w:rsidRPr="005043E1" w:rsidP="005043E1">
      <w:pPr>
        <w:pStyle w:val="ListBullet"/>
      </w:pPr>
      <w:r w:rsidRPr="005043E1">
        <w:t>types, characteristics and limitations of tools, equipment and materials required for the repair of prefabricated concre</w:t>
      </w:r>
      <w:r w:rsidRPr="005043E1">
        <w:t>te elements, including:</w:t>
      </w:r>
    </w:p>
    <w:p w:rsidR="00000000" w:rsidRPr="005043E1" w:rsidP="005043E1">
      <w:pPr>
        <w:pStyle w:val="ListBullet2"/>
      </w:pPr>
      <w:r w:rsidRPr="005043E1">
        <w:t>stitch plate</w:t>
      </w:r>
    </w:p>
    <w:p w:rsidR="00000000" w:rsidRPr="005043E1" w:rsidP="005043E1">
      <w:pPr>
        <w:pStyle w:val="ListBullet2"/>
      </w:pPr>
      <w:r w:rsidRPr="005043E1">
        <w:t>ferrules</w:t>
      </w:r>
    </w:p>
    <w:p w:rsidR="00000000" w:rsidRPr="005043E1" w:rsidP="005043E1">
      <w:pPr>
        <w:pStyle w:val="ListBullet2"/>
      </w:pPr>
      <w:r w:rsidRPr="005043E1">
        <w:t>grout tubes</w:t>
      </w:r>
    </w:p>
    <w:p w:rsidR="00000000" w:rsidRPr="005043E1" w:rsidP="005043E1">
      <w:pPr>
        <w:pStyle w:val="ListBullet2"/>
      </w:pPr>
      <w:r w:rsidRPr="005043E1">
        <w:t>lifting points</w:t>
      </w:r>
    </w:p>
    <w:p w:rsidR="00000000" w:rsidRPr="005043E1" w:rsidP="005043E1">
      <w:pPr>
        <w:pStyle w:val="ListBullet2"/>
      </w:pPr>
      <w:r w:rsidRPr="005043E1">
        <w:t>hammers</w:t>
      </w:r>
    </w:p>
    <w:p w:rsidR="00000000" w:rsidRPr="005043E1" w:rsidP="005043E1">
      <w:pPr>
        <w:pStyle w:val="ListBullet2"/>
      </w:pPr>
      <w:r w:rsidRPr="005043E1">
        <w:t>jacks</w:t>
      </w:r>
    </w:p>
    <w:p w:rsidR="00000000" w:rsidRPr="005043E1" w:rsidP="005043E1">
      <w:pPr>
        <w:pStyle w:val="ListBullet2"/>
      </w:pPr>
      <w:r w:rsidRPr="005043E1">
        <w:t>podgers</w:t>
      </w:r>
    </w:p>
    <w:p w:rsidR="00000000" w:rsidRPr="005043E1" w:rsidP="005043E1">
      <w:pPr>
        <w:pStyle w:val="ListBullet2"/>
      </w:pPr>
      <w:r w:rsidRPr="005043E1">
        <w:t>spanners</w:t>
      </w:r>
    </w:p>
    <w:p w:rsidR="00000000" w:rsidRPr="005043E1" w:rsidP="005043E1">
      <w:pPr>
        <w:pStyle w:val="ListBullet2"/>
      </w:pPr>
      <w:r w:rsidRPr="005043E1">
        <w:t>tape measures</w:t>
      </w:r>
    </w:p>
    <w:p w:rsidR="00000000" w:rsidRPr="005043E1" w:rsidP="005043E1">
      <w:pPr>
        <w:pStyle w:val="ListBullet2"/>
      </w:pPr>
      <w:r w:rsidRPr="005043E1">
        <w:t>turn buckles</w:t>
      </w:r>
    </w:p>
    <w:p w:rsidR="00000000" w:rsidRPr="005043E1" w:rsidP="005043E1">
      <w:pPr>
        <w:pStyle w:val="ListBullet2"/>
      </w:pPr>
      <w:r w:rsidRPr="005043E1">
        <w:t>wedges</w:t>
      </w:r>
    </w:p>
    <w:p w:rsidR="00000000" w:rsidRPr="005043E1" w:rsidP="005043E1">
      <w:pPr>
        <w:pStyle w:val="ListBullet2"/>
      </w:pPr>
      <w:r w:rsidRPr="005043E1">
        <w:t>wrenches</w:t>
      </w:r>
    </w:p>
    <w:p w:rsidR="00000000" w:rsidRPr="005043E1" w:rsidP="005043E1">
      <w:pPr>
        <w:pStyle w:val="ListBullet2"/>
      </w:pPr>
      <w:r w:rsidRPr="005043E1">
        <w:t>jackhammer</w:t>
      </w:r>
    </w:p>
    <w:p w:rsidR="00000000" w:rsidRPr="005043E1" w:rsidP="005043E1">
      <w:pPr>
        <w:pStyle w:val="ListBullet2"/>
      </w:pPr>
      <w:r w:rsidRPr="005043E1">
        <w:t>scabbler</w:t>
      </w:r>
    </w:p>
    <w:p w:rsidR="00000000" w:rsidRPr="005043E1" w:rsidP="005043E1">
      <w:pPr>
        <w:pStyle w:val="ListBullet2"/>
      </w:pPr>
      <w:r w:rsidRPr="005043E1">
        <w:t>bush hammer</w:t>
      </w:r>
    </w:p>
    <w:p w:rsidR="00000000" w:rsidRPr="005043E1" w:rsidP="005043E1">
      <w:pPr>
        <w:pStyle w:val="ListBullet2"/>
      </w:pPr>
      <w:r w:rsidRPr="005043E1">
        <w:t>needle scaler</w:t>
      </w:r>
    </w:p>
    <w:p w:rsidR="00000000" w:rsidRPr="005043E1" w:rsidP="005043E1">
      <w:pPr>
        <w:pStyle w:val="ListBullet2"/>
      </w:pPr>
      <w:r w:rsidRPr="005043E1">
        <w:t>primers</w:t>
      </w:r>
    </w:p>
    <w:p w:rsidR="00000000" w:rsidRPr="005043E1" w:rsidP="005043E1">
      <w:pPr>
        <w:pStyle w:val="ListBullet2"/>
      </w:pPr>
      <w:r w:rsidRPr="005043E1">
        <w:t>low viscosity epoxy adhesives</w:t>
      </w:r>
    </w:p>
    <w:p w:rsidR="00000000" w:rsidRPr="005043E1" w:rsidP="005043E1">
      <w:pPr>
        <w:pStyle w:val="ListBullet2"/>
      </w:pPr>
      <w:r w:rsidRPr="005043E1">
        <w:t>curing compounds.</w:t>
      </w:r>
    </w:p>
    <w:p w:rsidR="00000000" w:rsidRPr="005043E1" w:rsidP="005043E1">
      <w:pPr>
        <w:pStyle w:val="AllowPageBreak"/>
      </w:pPr>
    </w:p>
    <w:p w:rsidR="00000000" w:rsidRPr="005043E1" w:rsidP="005043E1">
      <w:pPr>
        <w:pStyle w:val="Heading1"/>
      </w:pPr>
      <w:bookmarkStart w:id="12" w:name="O_1260744"/>
      <w:bookmarkEnd w:id="12"/>
      <w:r w:rsidRPr="005043E1">
        <w:t>Assessment Conditions</w:t>
      </w:r>
    </w:p>
    <w:p w:rsidR="00000000" w:rsidRPr="005043E1" w:rsidP="00FE6B99">
      <w:pPr>
        <w:pStyle w:val="BodyText"/>
      </w:pPr>
      <w:r w:rsidRPr="005043E1">
        <w:t>Assessors must meet the requirements for assessors contained in the Standards for Registered Training Organisations.</w:t>
      </w:r>
    </w:p>
    <w:p w:rsidR="00000000" w:rsidRPr="005043E1" w:rsidP="00FE6B99">
      <w:pPr>
        <w:pStyle w:val="BodyText"/>
      </w:pPr>
      <w:r w:rsidRPr="005043E1">
        <w:t>Assessment must be conducted in the workplace or a simulated workp</w:t>
      </w:r>
      <w:r w:rsidRPr="005043E1">
        <w:t>lace using realistic conditions, materials, activities, responsibilities, procedures, safety requirements and environmental considerations.</w:t>
      </w:r>
    </w:p>
    <w:p w:rsidR="00000000" w:rsidRPr="005043E1" w:rsidP="00FE6B99">
      <w:pPr>
        <w:pStyle w:val="BodyText"/>
      </w:pPr>
      <w:r w:rsidRPr="005043E1">
        <w:t xml:space="preserve">Candidates must have access to documentation, approved repair procedure, manufacturer specifications, material data </w:t>
      </w:r>
      <w:r w:rsidRPr="005043E1">
        <w:t>safety sheets, materials, plant, tools and equipment required to achieve the performance evidence.</w:t>
      </w:r>
    </w:p>
    <w:p w:rsidR="00000000" w:rsidRPr="005043E1" w:rsidP="005043E1">
      <w:pPr>
        <w:pStyle w:val="Heading1"/>
      </w:pPr>
      <w:bookmarkStart w:id="13" w:name="O_1260742"/>
      <w:bookmarkEnd w:id="13"/>
      <w:r w:rsidRPr="005043E1">
        <w:t>Links</w:t>
      </w:r>
    </w:p>
    <w:p w:rsidR="00000000" w:rsidRPr="005043E1" w:rsidP="00FE6B99">
      <w:pPr>
        <w:pStyle w:val="BodyText"/>
      </w:pPr>
      <w:r w:rsidRPr="005043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726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043E1" w:rsidP="005043E1"/>
    <w:sectPr w:rsidSect="005043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E1" w:rsidRPr="00FE6B99" w:rsidP="00FE6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99" w:rsidP="00504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6B99" w:rsidP="00504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E6B99" w:rsidP="005043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E1" w:rsidP="00504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6B99">
      <w:t>Approved</w:t>
    </w:r>
    <w:r w:rsidR="00FE6B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6B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6B99">
      <w:rPr>
        <w:noProof/>
      </w:rPr>
      <w:t>5</w:t>
    </w:r>
    <w:r>
      <w:rPr>
        <w:noProof/>
      </w:rPr>
      <w:fldChar w:fldCharType="end"/>
    </w:r>
  </w:p>
  <w:p w:rsidR="005043E1" w:rsidP="00504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6B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6B99">
      <w:t>BuildSkills Australia</w:t>
    </w:r>
    <w:r w:rsidR="00FE6B99">
      <w:fldChar w:fldCharType="end"/>
    </w:r>
  </w:p>
  <w:p w:rsidR="005043E1" w:rsidP="005043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3E1" w:rsidRPr="00FE6B99" w:rsidP="00FE6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99" w:rsidRPr="002D2AF8" w:rsidP="00504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CPCPRE3001 Patch prefabricated components of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6B99" w:rsidP="005043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3E1" w:rsidRPr="002D2AF8" w:rsidP="00504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6B99">
      <w:t>CPCPRE3001 Patch prefabricated components of concrete elements</w:t>
    </w:r>
    <w:r w:rsidR="00FE6B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6B99">
      <w:rPr>
        <w:noProof/>
      </w:rPr>
      <w:t>2 March 2025</w:t>
    </w:r>
    <w:r>
      <w:fldChar w:fldCharType="end"/>
    </w:r>
  </w:p>
  <w:p w:rsidR="005043E1" w:rsidP="00504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6C5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4E2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36C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3E1"/>
  </w:style>
  <w:style w:type="character" w:customStyle="1" w:styleId="Heading1Char">
    <w:name w:val="Heading 1 Char"/>
    <w:basedOn w:val="DefaultParagraphFont"/>
    <w:link w:val="Heading1"/>
    <w:rsid w:val="00504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3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3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43E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43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43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43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4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3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3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3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43E1"/>
    <w:rPr>
      <w:b/>
      <w:spacing w:val="0"/>
    </w:rPr>
  </w:style>
  <w:style w:type="paragraph" w:customStyle="1" w:styleId="SuperTitle">
    <w:name w:val="SuperTitle"/>
    <w:basedOn w:val="Title"/>
    <w:rsid w:val="00504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4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3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43E1"/>
    <w:rPr>
      <w:i/>
    </w:rPr>
  </w:style>
  <w:style w:type="paragraph" w:styleId="Caption">
    <w:name w:val="caption"/>
    <w:basedOn w:val="BodyText"/>
    <w:next w:val="Normal"/>
    <w:qFormat/>
    <w:rsid w:val="00504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3E1"/>
  </w:style>
  <w:style w:type="paragraph" w:styleId="TableofFigures">
    <w:name w:val="table of figures"/>
    <w:basedOn w:val="Normal"/>
    <w:next w:val="Normal"/>
    <w:semiHidden/>
    <w:rsid w:val="00504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3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43E1"/>
    <w:rPr>
      <w:rFonts w:ascii="Wingdings" w:hAnsi="Wingdings"/>
    </w:rPr>
  </w:style>
  <w:style w:type="paragraph" w:customStyle="1" w:styleId="TableHeading">
    <w:name w:val="Table Heading"/>
    <w:basedOn w:val="HeadingBase"/>
    <w:rsid w:val="005043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3E1"/>
    <w:rPr>
      <w:color w:val="0033CC"/>
      <w:u w:val="none"/>
    </w:rPr>
  </w:style>
  <w:style w:type="paragraph" w:customStyle="1" w:styleId="BodyTextRight">
    <w:name w:val="Body Text Right"/>
    <w:basedOn w:val="BodyText"/>
    <w:rsid w:val="00504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3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3E1"/>
    <w:rPr>
      <w:sz w:val="32"/>
    </w:rPr>
  </w:style>
  <w:style w:type="paragraph" w:customStyle="1" w:styleId="HeadingProcedure">
    <w:name w:val="Heading Procedure"/>
    <w:basedOn w:val="HeadingBase"/>
    <w:next w:val="Normal"/>
    <w:rsid w:val="00504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3E1"/>
    <w:pPr>
      <w:spacing w:before="60" w:after="60"/>
    </w:pPr>
  </w:style>
  <w:style w:type="paragraph" w:styleId="ListContinue">
    <w:name w:val="List Continue"/>
    <w:basedOn w:val="List"/>
    <w:rsid w:val="005043E1"/>
    <w:pPr>
      <w:ind w:firstLine="0"/>
    </w:pPr>
  </w:style>
  <w:style w:type="paragraph" w:customStyle="1" w:styleId="ListNote">
    <w:name w:val="List Note"/>
    <w:basedOn w:val="List"/>
    <w:rsid w:val="00504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3E1"/>
    <w:rPr>
      <w:rFonts w:ascii="Courier New" w:hAnsi="Courier New"/>
    </w:rPr>
  </w:style>
  <w:style w:type="paragraph" w:customStyle="1" w:styleId="NoteBullet">
    <w:name w:val="Note Bullet"/>
    <w:basedOn w:val="Note"/>
    <w:rsid w:val="00504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3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4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3E1"/>
    <w:rPr>
      <w:b/>
      <w:smallCaps/>
    </w:rPr>
  </w:style>
  <w:style w:type="paragraph" w:customStyle="1" w:styleId="TableListNumber">
    <w:name w:val="Table List Number"/>
    <w:basedOn w:val="ListNumber"/>
    <w:rsid w:val="00504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3E1"/>
    <w:pPr>
      <w:numPr>
        <w:numId w:val="10"/>
      </w:numPr>
    </w:pPr>
  </w:style>
  <w:style w:type="paragraph" w:customStyle="1" w:styleId="ListAlpha2">
    <w:name w:val="List Alpha 2"/>
    <w:basedOn w:val="List2"/>
    <w:rsid w:val="005043E1"/>
    <w:pPr>
      <w:numPr>
        <w:numId w:val="9"/>
      </w:numPr>
    </w:pPr>
  </w:style>
  <w:style w:type="paragraph" w:styleId="List2">
    <w:name w:val="List 2"/>
    <w:basedOn w:val="BodyText"/>
    <w:rsid w:val="00504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3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43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43E1"/>
    <w:pPr>
      <w:numPr>
        <w:numId w:val="5"/>
      </w:numPr>
    </w:pPr>
  </w:style>
  <w:style w:type="paragraph" w:styleId="ListContinue2">
    <w:name w:val="List Continue 2"/>
    <w:basedOn w:val="List2"/>
    <w:rsid w:val="005043E1"/>
    <w:pPr>
      <w:ind w:firstLine="0"/>
    </w:pPr>
  </w:style>
  <w:style w:type="paragraph" w:styleId="ListContinue3">
    <w:name w:val="List Continue 3"/>
    <w:basedOn w:val="List3"/>
    <w:rsid w:val="005043E1"/>
    <w:pPr>
      <w:ind w:left="1021" w:firstLine="0"/>
    </w:pPr>
  </w:style>
  <w:style w:type="paragraph" w:styleId="ListContinue4">
    <w:name w:val="List Continue 4"/>
    <w:basedOn w:val="List4"/>
    <w:rsid w:val="005043E1"/>
    <w:pPr>
      <w:ind w:firstLine="0"/>
    </w:pPr>
  </w:style>
  <w:style w:type="paragraph" w:styleId="ListContinue5">
    <w:name w:val="List Continue 5"/>
    <w:basedOn w:val="List5"/>
    <w:rsid w:val="005043E1"/>
    <w:pPr>
      <w:ind w:firstLine="0"/>
    </w:pPr>
  </w:style>
  <w:style w:type="paragraph" w:styleId="ListNumber3">
    <w:name w:val="List Number 3"/>
    <w:basedOn w:val="List3"/>
    <w:rsid w:val="005043E1"/>
    <w:pPr>
      <w:numPr>
        <w:numId w:val="6"/>
      </w:numPr>
    </w:pPr>
  </w:style>
  <w:style w:type="paragraph" w:styleId="ListNumber4">
    <w:name w:val="List Number 4"/>
    <w:basedOn w:val="List4"/>
    <w:rsid w:val="005043E1"/>
    <w:pPr>
      <w:numPr>
        <w:numId w:val="7"/>
      </w:numPr>
    </w:pPr>
  </w:style>
  <w:style w:type="paragraph" w:styleId="ListNumber5">
    <w:name w:val="List Number 5"/>
    <w:basedOn w:val="List5"/>
    <w:rsid w:val="005043E1"/>
    <w:pPr>
      <w:numPr>
        <w:numId w:val="8"/>
      </w:numPr>
    </w:pPr>
  </w:style>
  <w:style w:type="paragraph" w:styleId="BlockText">
    <w:name w:val="Block Text"/>
    <w:basedOn w:val="Normal"/>
    <w:rsid w:val="00504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3E1"/>
    <w:rPr>
      <w:sz w:val="16"/>
      <w:vertAlign w:val="superscript"/>
    </w:rPr>
  </w:style>
  <w:style w:type="character" w:customStyle="1" w:styleId="Symbols">
    <w:name w:val="Symbols"/>
    <w:basedOn w:val="DefaultParagraphFont"/>
    <w:rsid w:val="005043E1"/>
    <w:rPr>
      <w:rFonts w:ascii="Symbol" w:hAnsi="Symbol"/>
    </w:rPr>
  </w:style>
  <w:style w:type="character" w:customStyle="1" w:styleId="MenuOptions">
    <w:name w:val="Menu Options"/>
    <w:basedOn w:val="DefaultParagraphFont"/>
    <w:rsid w:val="00504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3E1"/>
    <w:rPr>
      <w:b/>
    </w:rPr>
  </w:style>
  <w:style w:type="character" w:customStyle="1" w:styleId="Underlined">
    <w:name w:val="Underlined"/>
    <w:basedOn w:val="DefaultParagraphFont"/>
    <w:rsid w:val="005043E1"/>
    <w:rPr>
      <w:u w:val="single"/>
    </w:rPr>
  </w:style>
  <w:style w:type="paragraph" w:customStyle="1" w:styleId="TableBodyTextRight">
    <w:name w:val="Table Body Text Right"/>
    <w:basedOn w:val="TableBodyText"/>
    <w:rsid w:val="00504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3E1"/>
    <w:rPr>
      <w:sz w:val="18"/>
    </w:rPr>
  </w:style>
  <w:style w:type="paragraph" w:customStyle="1" w:styleId="BodySmallRight">
    <w:name w:val="Body Small Right"/>
    <w:basedOn w:val="BodyTextRight"/>
    <w:rsid w:val="005043E1"/>
    <w:rPr>
      <w:sz w:val="18"/>
      <w:szCs w:val="18"/>
    </w:rPr>
  </w:style>
  <w:style w:type="paragraph" w:customStyle="1" w:styleId="MarginEdition">
    <w:name w:val="Margin Edition"/>
    <w:basedOn w:val="MarginNote"/>
    <w:rsid w:val="00504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3E1"/>
    <w:rPr>
      <w:sz w:val="2"/>
      <w:szCs w:val="2"/>
    </w:rPr>
  </w:style>
  <w:style w:type="character" w:customStyle="1" w:styleId="Small">
    <w:name w:val="Small"/>
    <w:basedOn w:val="DefaultParagraphFont"/>
    <w:rsid w:val="005043E1"/>
    <w:rPr>
      <w:sz w:val="16"/>
    </w:rPr>
  </w:style>
  <w:style w:type="paragraph" w:customStyle="1" w:styleId="WideTable">
    <w:name w:val="Wide Table"/>
    <w:basedOn w:val="Normal"/>
    <w:rsid w:val="00504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3E1"/>
  </w:style>
  <w:style w:type="paragraph" w:styleId="Quote">
    <w:name w:val="Quote"/>
    <w:basedOn w:val="Heading1"/>
    <w:link w:val="QuoteChar"/>
    <w:qFormat/>
    <w:rsid w:val="00504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3E1"/>
    <w:pPr>
      <w:pageBreakBefore/>
    </w:pPr>
  </w:style>
  <w:style w:type="paragraph" w:customStyle="1" w:styleId="Border">
    <w:name w:val="Border"/>
    <w:basedOn w:val="Normal"/>
    <w:qFormat/>
    <w:rsid w:val="00504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3E1"/>
    <w:rPr>
      <w:u w:val="single"/>
    </w:rPr>
  </w:style>
  <w:style w:type="character" w:customStyle="1" w:styleId="BoldandItalics">
    <w:name w:val="Bold and Italics"/>
    <w:qFormat/>
    <w:rsid w:val="005043E1"/>
    <w:rPr>
      <w:b/>
      <w:i/>
      <w:u w:val="none"/>
    </w:rPr>
  </w:style>
  <w:style w:type="paragraph" w:styleId="BalloonText">
    <w:name w:val="Balloon Text"/>
    <w:basedOn w:val="Normal"/>
    <w:link w:val="BalloonTextChar"/>
    <w:rsid w:val="00504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3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3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3E1"/>
    <w:pPr>
      <w:spacing w:before="0" w:after="0"/>
    </w:pPr>
  </w:style>
  <w:style w:type="paragraph" w:customStyle="1" w:styleId="BodyTextBold">
    <w:name w:val="Body Text Bold"/>
    <w:basedOn w:val="BodyText"/>
    <w:qFormat/>
    <w:rsid w:val="005043E1"/>
    <w:rPr>
      <w:b/>
    </w:rPr>
  </w:style>
  <w:style w:type="character" w:styleId="Hyperlink">
    <w:name w:val="Hyperlink"/>
    <w:basedOn w:val="DefaultParagraphFont"/>
    <w:uiPriority w:val="99"/>
    <w:unhideWhenUsed/>
    <w:rsid w:val="00FE6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1231</Words>
  <Characters>8348</Characters>
  <Application>Microsoft Office Word</Application>
  <DocSecurity>0</DocSecurity>
  <Lines>333</Lines>
  <Paragraphs>203</Paragraphs>
  <ScaleCrop>false</ScaleCrop>
  <Company>Author-it Software Corporation Ltd.</Company>
  <LinksUpToDate>false</LinksUpToDate>
  <CharactersWithSpaces>9376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CPCPRE3001 Patch prefabricated components of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2025-03-01T15:44:00Z</dcterms:created>
  <dcterms:modified xsi:type="dcterms:W3CDTF">2025-03-01T15:44:00Z</dcterms:modified>
</cp:coreProperties>
</file>