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F94" w:rsidP="002B2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CPCPRE3001 Patch prefabricated components of concrete elements</w:t>
      </w:r>
      <w:r>
        <w:fldChar w:fldCharType="end"/>
      </w:r>
    </w:p>
    <w:p w:rsidR="002B2F94" w:rsidP="002B2F94">
      <w:pPr>
        <w:pStyle w:val="Version"/>
        <w:sectPr w:rsidSect="00B75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B9A" w:rsidP="00B75B9A">
      <w:pPr>
        <w:pStyle w:val="SuperHeading"/>
      </w:pPr>
      <w:r w:rsidRPr="00B75B9A">
        <w:t>Assessment Requirements for CPCPRE3001 Patch prefabricated components of concrete elements</w:t>
      </w:r>
    </w:p>
    <w:p w:rsidR="00000000" w:rsidRPr="00B75B9A" w:rsidP="00B75B9A">
      <w:pPr>
        <w:pStyle w:val="Heading1"/>
      </w:pPr>
      <w:bookmarkStart w:id="1" w:name="O_1260743"/>
      <w:bookmarkEnd w:id="1"/>
      <w:r w:rsidRPr="00B75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9A">
            <w:pPr>
              <w:pStyle w:val="BodyText"/>
              <w:rPr>
                <w:lang w:val="en-NZ"/>
              </w:rPr>
            </w:pPr>
            <w:r w:rsidRPr="00B75B9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9A" w:rsidP="00B75B9A">
            <w:pPr>
              <w:pStyle w:val="BodyText"/>
            </w:pPr>
            <w:r w:rsidRPr="00B75B9A">
              <w:t>This version first released with CPC Construction, Plumbing and Services Training Package Release 9.0.</w:t>
            </w:r>
          </w:p>
          <w:p w:rsidR="00000000" w:rsidRPr="00B75B9A" w:rsidP="00B75B9A">
            <w:pPr>
              <w:pStyle w:val="BodyText"/>
            </w:pPr>
            <w:r w:rsidRPr="00B75B9A">
              <w:t>Newly created unit.</w:t>
            </w:r>
          </w:p>
        </w:tc>
      </w:tr>
    </w:tbl>
    <w:p w:rsidR="00000000" w:rsidRPr="00B75B9A" w:rsidP="00B75B9A">
      <w:pPr>
        <w:pStyle w:val="BodyText"/>
      </w:pPr>
    </w:p>
    <w:p w:rsidR="00000000" w:rsidRPr="00B75B9A" w:rsidP="00B75B9A">
      <w:pPr>
        <w:pStyle w:val="AllowPageBreak"/>
      </w:pPr>
    </w:p>
    <w:p w:rsidR="00000000" w:rsidRPr="00B75B9A" w:rsidP="00B75B9A">
      <w:pPr>
        <w:pStyle w:val="Heading1"/>
      </w:pPr>
      <w:bookmarkStart w:id="2" w:name="O_1260746"/>
      <w:bookmarkEnd w:id="2"/>
      <w:r w:rsidRPr="00B75B9A">
        <w:t>Performance Evidence</w:t>
      </w:r>
    </w:p>
    <w:p w:rsidR="00000000" w:rsidRPr="00B75B9A" w:rsidP="002B2F94">
      <w:pPr>
        <w:pStyle w:val="BodyText"/>
      </w:pPr>
      <w:r w:rsidRPr="00B75B9A">
        <w:t>To demonstrate competency, a candidate must meet the elements and performance criteria of this unit by patching components within a precast element, including:</w:t>
      </w:r>
    </w:p>
    <w:p w:rsidR="00000000" w:rsidRPr="00B75B9A" w:rsidP="002B2F94">
      <w:pPr>
        <w:pStyle w:val="BodyText"/>
      </w:pPr>
      <w:r w:rsidRPr="00B75B9A">
        <w:t>a Stitch Plate recess (200mm x 20</w:t>
      </w:r>
      <w:r w:rsidRPr="00B75B9A">
        <w:t>0mm x 35mm deep min.)</w:t>
      </w:r>
      <w:r>
        <w:t xml:space="preserve"> </w:t>
      </w:r>
      <w:r w:rsidRPr="00B75B9A">
        <w:t>and any two of the following:</w:t>
      </w:r>
    </w:p>
    <w:p w:rsidR="00000000" w:rsidRPr="00B75B9A" w:rsidP="00B75B9A">
      <w:pPr>
        <w:pStyle w:val="ListBullet"/>
      </w:pPr>
      <w:r w:rsidRPr="00B75B9A">
        <w:t>a lifting insert void former (5 tonne lifting insert recess min.)</w:t>
      </w:r>
    </w:p>
    <w:p w:rsidR="00000000" w:rsidRPr="00B75B9A" w:rsidP="00B75B9A">
      <w:pPr>
        <w:pStyle w:val="ListBullet"/>
      </w:pPr>
      <w:r w:rsidRPr="00B75B9A">
        <w:t>a cast-in-insert recess (M20 ferrule nailing plate recess)</w:t>
      </w:r>
    </w:p>
    <w:p w:rsidR="00000000" w:rsidRPr="00B75B9A" w:rsidP="00B75B9A">
      <w:pPr>
        <w:pStyle w:val="ListBullet"/>
      </w:pPr>
      <w:r w:rsidRPr="00B75B9A">
        <w:t>a grouting duct (50mm diameter grout duct recess).</w:t>
      </w:r>
    </w:p>
    <w:p w:rsidR="00000000" w:rsidRPr="00B75B9A" w:rsidP="00B75B9A">
      <w:pPr>
        <w:pStyle w:val="AllowPageBreak"/>
      </w:pPr>
    </w:p>
    <w:p w:rsidR="00000000" w:rsidRPr="00B75B9A" w:rsidP="00B75B9A">
      <w:pPr>
        <w:pStyle w:val="Heading1"/>
      </w:pPr>
      <w:bookmarkStart w:id="3" w:name="O_1260745"/>
      <w:bookmarkEnd w:id="3"/>
      <w:r w:rsidRPr="00B75B9A">
        <w:t>Knowledge Evidence</w:t>
      </w:r>
    </w:p>
    <w:p w:rsidR="00000000" w:rsidRPr="00B75B9A" w:rsidP="002B2F94">
      <w:pPr>
        <w:pStyle w:val="BodyText"/>
      </w:pPr>
      <w:r w:rsidRPr="00B75B9A">
        <w:t>To be competent in this unit, a candidate must demonstrate knowledge of:</w:t>
      </w:r>
    </w:p>
    <w:p w:rsidR="00000000" w:rsidRPr="00B75B9A" w:rsidP="00B75B9A">
      <w:pPr>
        <w:pStyle w:val="ListBullet"/>
      </w:pPr>
      <w:r w:rsidRPr="00B75B9A">
        <w:t>compliance requirements of legislation, regulations, codes and Australian Standards relevant to concrete patching, in particular for the repair of prefabricated co</w:t>
      </w:r>
      <w:r w:rsidRPr="00B75B9A">
        <w:t>ncrete elements:</w:t>
      </w:r>
    </w:p>
    <w:p w:rsidR="00000000" w:rsidRPr="00B75B9A" w:rsidP="00B75B9A">
      <w:pPr>
        <w:pStyle w:val="ListBullet2"/>
      </w:pPr>
      <w:r w:rsidRPr="00B75B9A">
        <w:t>environmental protection and waste disposal</w:t>
      </w:r>
    </w:p>
    <w:p w:rsidR="00000000" w:rsidRPr="00B75B9A" w:rsidP="00B75B9A">
      <w:pPr>
        <w:pStyle w:val="ListBullet2"/>
      </w:pPr>
      <w:r w:rsidRPr="00B75B9A">
        <w:t>work health and safety (WHS) regulations, including:</w:t>
      </w:r>
    </w:p>
    <w:p w:rsidR="00000000" w:rsidRPr="00B75B9A" w:rsidP="00B75B9A">
      <w:pPr>
        <w:pStyle w:val="ListBullet3"/>
      </w:pPr>
      <w:r w:rsidRPr="00B75B9A">
        <w:t>use of personal protective equipment (PPE)</w:t>
      </w:r>
    </w:p>
    <w:p w:rsidR="00000000" w:rsidRPr="00B75B9A" w:rsidP="00B75B9A">
      <w:pPr>
        <w:pStyle w:val="ListBullet3"/>
      </w:pPr>
      <w:r w:rsidRPr="00B75B9A">
        <w:t>fall protection</w:t>
      </w:r>
    </w:p>
    <w:p w:rsidR="00000000" w:rsidRPr="00B75B9A" w:rsidP="00B75B9A">
      <w:pPr>
        <w:pStyle w:val="ListBullet3"/>
      </w:pPr>
      <w:r w:rsidRPr="00B75B9A">
        <w:t>risk when working at heights/on ladders</w:t>
      </w:r>
    </w:p>
    <w:p w:rsidR="00000000" w:rsidRPr="00B75B9A" w:rsidP="00B75B9A">
      <w:pPr>
        <w:pStyle w:val="ListBullet3"/>
      </w:pPr>
      <w:r w:rsidRPr="00B75B9A">
        <w:t>drop zones</w:t>
      </w:r>
    </w:p>
    <w:p w:rsidR="00000000" w:rsidRPr="00B75B9A" w:rsidP="00B75B9A">
      <w:pPr>
        <w:pStyle w:val="ListBullet3"/>
      </w:pPr>
      <w:r w:rsidRPr="00B75B9A">
        <w:t>hazardous substances</w:t>
      </w:r>
    </w:p>
    <w:p w:rsidR="00000000" w:rsidRPr="00B75B9A" w:rsidP="00B75B9A">
      <w:pPr>
        <w:pStyle w:val="ListBullet3"/>
      </w:pPr>
      <w:r w:rsidRPr="00B75B9A">
        <w:t xml:space="preserve">safe manual handling techniques </w:t>
      </w:r>
    </w:p>
    <w:p w:rsidR="00000000" w:rsidRPr="00B75B9A" w:rsidP="00B75B9A">
      <w:pPr>
        <w:pStyle w:val="ListBullet3"/>
      </w:pPr>
      <w:r w:rsidRPr="00B75B9A">
        <w:t>safety when working at heights</w:t>
      </w:r>
    </w:p>
    <w:p w:rsidR="00000000" w:rsidRPr="00B75B9A" w:rsidP="00B75B9A">
      <w:pPr>
        <w:pStyle w:val="ListBullet3"/>
      </w:pPr>
      <w:r w:rsidRPr="00B75B9A">
        <w:t>respirable crystalline silica</w:t>
      </w:r>
    </w:p>
    <w:p w:rsidR="00000000" w:rsidRPr="00B75B9A" w:rsidP="00B75B9A">
      <w:pPr>
        <w:pStyle w:val="ListBullet2"/>
      </w:pPr>
      <w:r w:rsidRPr="00B75B9A">
        <w:t xml:space="preserve">SA HB 84-2018 Guide to Concrete Repair and Protection </w:t>
      </w:r>
    </w:p>
    <w:p w:rsidR="00000000" w:rsidRPr="00B75B9A" w:rsidP="00B75B9A">
      <w:pPr>
        <w:pStyle w:val="ListBullet"/>
      </w:pPr>
      <w:r w:rsidRPr="00B75B9A">
        <w:t>detrimental effect of water addition to concrete properties</w:t>
      </w:r>
    </w:p>
    <w:p w:rsidR="00000000" w:rsidRPr="00B75B9A" w:rsidP="00B75B9A">
      <w:pPr>
        <w:pStyle w:val="ListBullet"/>
      </w:pPr>
      <w:r w:rsidRPr="00B75B9A">
        <w:t xml:space="preserve">precautions that should be taken to minimise any potential adverse effects to the use of varying patching materials </w:t>
      </w:r>
    </w:p>
    <w:p w:rsidR="00000000" w:rsidRPr="00B75B9A" w:rsidP="00B75B9A">
      <w:pPr>
        <w:pStyle w:val="ListBullet"/>
      </w:pPr>
      <w:r w:rsidRPr="00B75B9A">
        <w:t>types of procedures, drawings and specifications used to interpret prefabricated concrete element patching requirements</w:t>
      </w:r>
    </w:p>
    <w:p w:rsidR="00000000" w:rsidRPr="00B75B9A" w:rsidP="00B75B9A">
      <w:pPr>
        <w:pStyle w:val="ListBullet"/>
      </w:pPr>
      <w:r w:rsidRPr="00B75B9A">
        <w:t>approved repair pro</w:t>
      </w:r>
      <w:r w:rsidRPr="00B75B9A">
        <w:t>cedure</w:t>
      </w:r>
    </w:p>
    <w:p w:rsidR="00000000" w:rsidRPr="00B75B9A" w:rsidP="00B75B9A">
      <w:pPr>
        <w:pStyle w:val="ListBullet"/>
      </w:pPr>
      <w:r w:rsidRPr="00B75B9A">
        <w:t>material data sheets</w:t>
      </w:r>
    </w:p>
    <w:p w:rsidR="00000000" w:rsidRPr="00B75B9A" w:rsidP="00B75B9A">
      <w:pPr>
        <w:pStyle w:val="ListBullet"/>
      </w:pPr>
      <w:r w:rsidRPr="00B75B9A">
        <w:t>manufacturer specifications for patching agents</w:t>
      </w:r>
    </w:p>
    <w:p w:rsidR="00000000" w:rsidRPr="00B75B9A" w:rsidP="00B75B9A">
      <w:pPr>
        <w:pStyle w:val="ListBullet"/>
      </w:pPr>
      <w:r w:rsidRPr="00B75B9A">
        <w:t>types of prefabricated concrete element patching, including:</w:t>
      </w:r>
    </w:p>
    <w:p w:rsidR="00000000" w:rsidRPr="00B75B9A" w:rsidP="00B75B9A">
      <w:pPr>
        <w:pStyle w:val="ListBullet2"/>
      </w:pPr>
      <w:r w:rsidRPr="00B75B9A">
        <w:t>treatment of cracks</w:t>
      </w:r>
    </w:p>
    <w:p w:rsidR="00000000" w:rsidRPr="00B75B9A" w:rsidP="00B75B9A">
      <w:pPr>
        <w:pStyle w:val="ListBullet2"/>
      </w:pPr>
      <w:r w:rsidRPr="00B75B9A">
        <w:t>surface preparation for volume replacements</w:t>
      </w:r>
    </w:p>
    <w:p w:rsidR="00000000" w:rsidRPr="00B75B9A" w:rsidP="00B75B9A">
      <w:pPr>
        <w:pStyle w:val="ListBullet2"/>
      </w:pPr>
      <w:r w:rsidRPr="00B75B9A">
        <w:t>cosmetic volume replacements</w:t>
      </w:r>
    </w:p>
    <w:p w:rsidR="00000000" w:rsidRPr="00B75B9A" w:rsidP="00B75B9A">
      <w:pPr>
        <w:pStyle w:val="ListBullet2"/>
      </w:pPr>
      <w:r w:rsidRPr="00B75B9A">
        <w:t>structural volume replace</w:t>
      </w:r>
      <w:r w:rsidRPr="00B75B9A">
        <w:t xml:space="preserve">ments </w:t>
      </w:r>
    </w:p>
    <w:p w:rsidR="00000000" w:rsidRPr="00B75B9A" w:rsidP="00B75B9A">
      <w:pPr>
        <w:pStyle w:val="ListBullet2"/>
      </w:pPr>
      <w:r w:rsidRPr="00B75B9A">
        <w:t>priming and surface preparation</w:t>
      </w:r>
    </w:p>
    <w:p w:rsidR="00000000" w:rsidRPr="00B75B9A" w:rsidP="00B75B9A">
      <w:pPr>
        <w:pStyle w:val="ListBullet2"/>
      </w:pPr>
      <w:r w:rsidRPr="00B75B9A">
        <w:t xml:space="preserve">installation of supplementary reinforcement </w:t>
      </w:r>
    </w:p>
    <w:p w:rsidR="00000000" w:rsidRPr="00B75B9A" w:rsidP="00B75B9A">
      <w:pPr>
        <w:pStyle w:val="ListBullet2"/>
      </w:pPr>
      <w:r w:rsidRPr="00B75B9A">
        <w:t>repair layering and build-up</w:t>
      </w:r>
    </w:p>
    <w:p w:rsidR="00000000" w:rsidRPr="00B75B9A" w:rsidP="00B75B9A">
      <w:pPr>
        <w:pStyle w:val="ListBullet2"/>
      </w:pPr>
      <w:r w:rsidRPr="00B75B9A">
        <w:t>fairing coats, colour and texture matching</w:t>
      </w:r>
    </w:p>
    <w:p w:rsidR="00000000" w:rsidRPr="00B75B9A" w:rsidP="00B75B9A">
      <w:pPr>
        <w:pStyle w:val="ListBullet2"/>
      </w:pPr>
      <w:r w:rsidRPr="00B75B9A">
        <w:t>concrete sealing and methods of injection</w:t>
      </w:r>
    </w:p>
    <w:p w:rsidR="00000000" w:rsidRPr="00B75B9A" w:rsidP="00B75B9A">
      <w:pPr>
        <w:pStyle w:val="ListBullet"/>
      </w:pPr>
      <w:r w:rsidRPr="00B75B9A">
        <w:t>prefabricated component of concrete element patch</w:t>
      </w:r>
      <w:r w:rsidRPr="00B75B9A">
        <w:t>ing considerations, including:</w:t>
      </w:r>
    </w:p>
    <w:p w:rsidR="00000000" w:rsidRPr="00B75B9A" w:rsidP="00B75B9A">
      <w:pPr>
        <w:pStyle w:val="ListBullet2"/>
      </w:pPr>
      <w:r w:rsidRPr="00B75B9A">
        <w:t>physical/permeability compatibility</w:t>
      </w:r>
    </w:p>
    <w:p w:rsidR="00000000" w:rsidRPr="00B75B9A" w:rsidP="00B75B9A">
      <w:pPr>
        <w:pStyle w:val="ListBullet2"/>
      </w:pPr>
      <w:r w:rsidRPr="00B75B9A">
        <w:t>chemical compatibility</w:t>
      </w:r>
    </w:p>
    <w:p w:rsidR="00000000" w:rsidRPr="00B75B9A" w:rsidP="00B75B9A">
      <w:pPr>
        <w:pStyle w:val="ListBullet2"/>
      </w:pPr>
      <w:r w:rsidRPr="00B75B9A">
        <w:t>electrochemical compatibility</w:t>
      </w:r>
    </w:p>
    <w:p w:rsidR="00000000" w:rsidRPr="00B75B9A" w:rsidP="00B75B9A">
      <w:pPr>
        <w:pStyle w:val="ListBullet2"/>
      </w:pPr>
      <w:r w:rsidRPr="00B75B9A">
        <w:t>dimensional stability – coefficient of thermal expansion, modulus of elasticity and drying shrinkage</w:t>
      </w:r>
    </w:p>
    <w:p w:rsidR="00000000" w:rsidRPr="00B75B9A" w:rsidP="00B75B9A">
      <w:pPr>
        <w:pStyle w:val="ListBullet"/>
      </w:pPr>
      <w:r w:rsidRPr="00B75B9A">
        <w:t>prefabricated component of concre</w:t>
      </w:r>
      <w:r w:rsidRPr="00B75B9A">
        <w:t>te element patching evaluation methods, including:</w:t>
      </w:r>
    </w:p>
    <w:p w:rsidR="00000000" w:rsidRPr="00B75B9A" w:rsidP="00B75B9A">
      <w:pPr>
        <w:pStyle w:val="ListBullet2"/>
      </w:pPr>
      <w:r w:rsidRPr="00B75B9A">
        <w:t>visual inspection and recording</w:t>
      </w:r>
    </w:p>
    <w:p w:rsidR="00000000" w:rsidRPr="00B75B9A" w:rsidP="00B75B9A">
      <w:pPr>
        <w:pStyle w:val="ListBullet2"/>
      </w:pPr>
      <w:r w:rsidRPr="00B75B9A">
        <w:t>hammer sounding/rebound hammer test</w:t>
      </w:r>
    </w:p>
    <w:p w:rsidR="00000000" w:rsidRPr="00B75B9A" w:rsidP="00B75B9A">
      <w:pPr>
        <w:pStyle w:val="ListBullet2"/>
      </w:pPr>
      <w:r w:rsidRPr="00B75B9A">
        <w:t>phenolphthalein test for carbonation</w:t>
      </w:r>
    </w:p>
    <w:p w:rsidR="00000000" w:rsidRPr="00B75B9A" w:rsidP="00B75B9A">
      <w:pPr>
        <w:pStyle w:val="ListBullet2"/>
      </w:pPr>
      <w:r w:rsidRPr="00B75B9A">
        <w:t>half-cell potential measurement</w:t>
      </w:r>
    </w:p>
    <w:p w:rsidR="00000000" w:rsidRPr="00B75B9A" w:rsidP="00B75B9A">
      <w:pPr>
        <w:pStyle w:val="ListBullet2"/>
      </w:pPr>
      <w:r w:rsidRPr="00B75B9A">
        <w:t>core-cutting</w:t>
      </w:r>
    </w:p>
    <w:p w:rsidR="00000000" w:rsidRPr="00B75B9A" w:rsidP="00B75B9A">
      <w:pPr>
        <w:pStyle w:val="ListBullet2"/>
      </w:pPr>
      <w:r w:rsidRPr="00B75B9A">
        <w:t>chemical analysis of prefabricated concrete ele</w:t>
      </w:r>
      <w:r w:rsidRPr="00B75B9A">
        <w:t xml:space="preserve">ment at different depths  </w:t>
      </w:r>
    </w:p>
    <w:p w:rsidR="00000000" w:rsidRPr="00B75B9A" w:rsidP="00B75B9A">
      <w:pPr>
        <w:pStyle w:val="ListBullet"/>
      </w:pPr>
      <w:r w:rsidRPr="00B75B9A">
        <w:t>workplace requirements when working with prefabricated concrete components and elements:</w:t>
      </w:r>
    </w:p>
    <w:p w:rsidR="00000000" w:rsidRPr="00B75B9A" w:rsidP="00B75B9A">
      <w:pPr>
        <w:pStyle w:val="ListBullet2"/>
      </w:pPr>
      <w:r w:rsidRPr="00B75B9A">
        <w:t>cleaning up the work area</w:t>
      </w:r>
    </w:p>
    <w:p w:rsidR="00000000" w:rsidRPr="00B75B9A" w:rsidP="00B75B9A">
      <w:pPr>
        <w:pStyle w:val="ListBullet2"/>
      </w:pPr>
      <w:r w:rsidRPr="00B75B9A">
        <w:t>maintaining and storing plant, labelling, tools and equipment</w:t>
      </w:r>
    </w:p>
    <w:p w:rsidR="00000000" w:rsidRPr="00B75B9A" w:rsidP="00B75B9A">
      <w:pPr>
        <w:pStyle w:val="ListBullet2"/>
      </w:pPr>
      <w:r w:rsidRPr="00B75B9A">
        <w:t>reporting problems</w:t>
      </w:r>
    </w:p>
    <w:p w:rsidR="00000000" w:rsidRPr="00B75B9A" w:rsidP="00B75B9A">
      <w:pPr>
        <w:pStyle w:val="ListBullet2"/>
      </w:pPr>
      <w:r w:rsidRPr="00B75B9A">
        <w:t>quality</w:t>
      </w:r>
    </w:p>
    <w:p w:rsidR="00000000" w:rsidRPr="00B75B9A" w:rsidP="00B75B9A">
      <w:pPr>
        <w:pStyle w:val="ListBullet"/>
      </w:pPr>
      <w:r w:rsidRPr="00B75B9A">
        <w:t>fire rating requiremen</w:t>
      </w:r>
      <w:r w:rsidRPr="00B75B9A">
        <w:t xml:space="preserve">ts relevant to concrete prefabricated concrete elements rectification </w:t>
      </w:r>
    </w:p>
    <w:p w:rsidR="00000000" w:rsidRPr="00B75B9A" w:rsidP="00B75B9A">
      <w:pPr>
        <w:pStyle w:val="ListBullet"/>
      </w:pPr>
      <w:r w:rsidRPr="00B75B9A">
        <w:t xml:space="preserve">workplace procedures related to communication protocols </w:t>
      </w:r>
    </w:p>
    <w:p w:rsidR="00000000" w:rsidRPr="00B75B9A" w:rsidP="00B75B9A">
      <w:pPr>
        <w:pStyle w:val="ListBullet"/>
      </w:pPr>
      <w:r w:rsidRPr="00B75B9A">
        <w:t>repair procedure approval</w:t>
      </w:r>
    </w:p>
    <w:p w:rsidR="00000000" w:rsidRPr="00B75B9A" w:rsidP="00B75B9A">
      <w:pPr>
        <w:pStyle w:val="ListBullet"/>
      </w:pPr>
      <w:r w:rsidRPr="00B75B9A">
        <w:t xml:space="preserve">principals of sustainability relevant to material reuse </w:t>
      </w:r>
    </w:p>
    <w:p w:rsidR="00000000" w:rsidRPr="00B75B9A" w:rsidP="00B75B9A">
      <w:pPr>
        <w:pStyle w:val="ListBullet"/>
      </w:pPr>
      <w:r w:rsidRPr="00B75B9A">
        <w:t xml:space="preserve">work planning and logical task sequencing </w:t>
      </w:r>
    </w:p>
    <w:p w:rsidR="00000000" w:rsidRPr="00B75B9A" w:rsidP="00B75B9A">
      <w:pPr>
        <w:pStyle w:val="ListBullet"/>
      </w:pPr>
      <w:r w:rsidRPr="00B75B9A">
        <w:t>ty</w:t>
      </w:r>
      <w:r w:rsidRPr="00B75B9A">
        <w:t>pes, characteristics and limitations of tools, equipment and materials required for the repair of prefabricated concrete elements, including:</w:t>
      </w:r>
    </w:p>
    <w:p w:rsidR="00000000" w:rsidRPr="00B75B9A" w:rsidP="00B75B9A">
      <w:pPr>
        <w:pStyle w:val="ListBullet2"/>
      </w:pPr>
      <w:r w:rsidRPr="00B75B9A">
        <w:t>stitch plate</w:t>
      </w:r>
    </w:p>
    <w:p w:rsidR="00000000" w:rsidRPr="00B75B9A" w:rsidP="00B75B9A">
      <w:pPr>
        <w:pStyle w:val="ListBullet2"/>
      </w:pPr>
      <w:r w:rsidRPr="00B75B9A">
        <w:t>ferrules</w:t>
      </w:r>
    </w:p>
    <w:p w:rsidR="00000000" w:rsidRPr="00B75B9A" w:rsidP="00B75B9A">
      <w:pPr>
        <w:pStyle w:val="ListBullet2"/>
      </w:pPr>
      <w:r w:rsidRPr="00B75B9A">
        <w:t>grout tubes</w:t>
      </w:r>
    </w:p>
    <w:p w:rsidR="00000000" w:rsidRPr="00B75B9A" w:rsidP="00B75B9A">
      <w:pPr>
        <w:pStyle w:val="ListBullet2"/>
      </w:pPr>
      <w:r w:rsidRPr="00B75B9A">
        <w:t>lifting points</w:t>
      </w:r>
    </w:p>
    <w:p w:rsidR="00000000" w:rsidRPr="00B75B9A" w:rsidP="00B75B9A">
      <w:pPr>
        <w:pStyle w:val="ListBullet2"/>
      </w:pPr>
      <w:r w:rsidRPr="00B75B9A">
        <w:t>hammers</w:t>
      </w:r>
    </w:p>
    <w:p w:rsidR="00000000" w:rsidRPr="00B75B9A" w:rsidP="00B75B9A">
      <w:pPr>
        <w:pStyle w:val="ListBullet2"/>
      </w:pPr>
      <w:r w:rsidRPr="00B75B9A">
        <w:t>jacks</w:t>
      </w:r>
    </w:p>
    <w:p w:rsidR="00000000" w:rsidRPr="00B75B9A" w:rsidP="00B75B9A">
      <w:pPr>
        <w:pStyle w:val="ListBullet2"/>
      </w:pPr>
      <w:r w:rsidRPr="00B75B9A">
        <w:t>podgers</w:t>
      </w:r>
    </w:p>
    <w:p w:rsidR="00000000" w:rsidRPr="00B75B9A" w:rsidP="00B75B9A">
      <w:pPr>
        <w:pStyle w:val="ListBullet2"/>
      </w:pPr>
      <w:r w:rsidRPr="00B75B9A">
        <w:t>spanners</w:t>
      </w:r>
    </w:p>
    <w:p w:rsidR="00000000" w:rsidRPr="00B75B9A" w:rsidP="00B75B9A">
      <w:pPr>
        <w:pStyle w:val="ListBullet2"/>
      </w:pPr>
      <w:r w:rsidRPr="00B75B9A">
        <w:t>tape measures</w:t>
      </w:r>
    </w:p>
    <w:p w:rsidR="00000000" w:rsidRPr="00B75B9A" w:rsidP="00B75B9A">
      <w:pPr>
        <w:pStyle w:val="ListBullet2"/>
      </w:pPr>
      <w:r w:rsidRPr="00B75B9A">
        <w:t>turn buckles</w:t>
      </w:r>
    </w:p>
    <w:p w:rsidR="00000000" w:rsidRPr="00B75B9A" w:rsidP="00B75B9A">
      <w:pPr>
        <w:pStyle w:val="ListBullet2"/>
      </w:pPr>
      <w:r w:rsidRPr="00B75B9A">
        <w:t>wedges</w:t>
      </w:r>
    </w:p>
    <w:p w:rsidR="00000000" w:rsidRPr="00B75B9A" w:rsidP="00B75B9A">
      <w:pPr>
        <w:pStyle w:val="ListBullet2"/>
      </w:pPr>
      <w:r w:rsidRPr="00B75B9A">
        <w:t>wrenches</w:t>
      </w:r>
    </w:p>
    <w:p w:rsidR="00000000" w:rsidRPr="00B75B9A" w:rsidP="00B75B9A">
      <w:pPr>
        <w:pStyle w:val="ListBullet2"/>
      </w:pPr>
      <w:r w:rsidRPr="00B75B9A">
        <w:t>jackhammer</w:t>
      </w:r>
    </w:p>
    <w:p w:rsidR="00000000" w:rsidRPr="00B75B9A" w:rsidP="00B75B9A">
      <w:pPr>
        <w:pStyle w:val="ListBullet2"/>
      </w:pPr>
      <w:r w:rsidRPr="00B75B9A">
        <w:t>scabbler</w:t>
      </w:r>
    </w:p>
    <w:p w:rsidR="00000000" w:rsidRPr="00B75B9A" w:rsidP="00B75B9A">
      <w:pPr>
        <w:pStyle w:val="ListBullet2"/>
      </w:pPr>
      <w:r w:rsidRPr="00B75B9A">
        <w:t>bush hammer</w:t>
      </w:r>
    </w:p>
    <w:p w:rsidR="00000000" w:rsidRPr="00B75B9A" w:rsidP="00B75B9A">
      <w:pPr>
        <w:pStyle w:val="ListBullet2"/>
      </w:pPr>
      <w:r w:rsidRPr="00B75B9A">
        <w:t>needle scaler</w:t>
      </w:r>
    </w:p>
    <w:p w:rsidR="00000000" w:rsidRPr="00B75B9A" w:rsidP="00B75B9A">
      <w:pPr>
        <w:pStyle w:val="ListBullet2"/>
      </w:pPr>
      <w:r w:rsidRPr="00B75B9A">
        <w:t>primers</w:t>
      </w:r>
    </w:p>
    <w:p w:rsidR="00000000" w:rsidRPr="00B75B9A" w:rsidP="00B75B9A">
      <w:pPr>
        <w:pStyle w:val="ListBullet2"/>
      </w:pPr>
      <w:r w:rsidRPr="00B75B9A">
        <w:t>low viscosity epoxy adhesives</w:t>
      </w:r>
    </w:p>
    <w:p w:rsidR="00000000" w:rsidRPr="00B75B9A" w:rsidP="00B75B9A">
      <w:pPr>
        <w:pStyle w:val="ListBullet2"/>
      </w:pPr>
      <w:r w:rsidRPr="00B75B9A">
        <w:t>curing compounds.</w:t>
      </w:r>
    </w:p>
    <w:p w:rsidR="00000000" w:rsidRPr="00B75B9A" w:rsidP="00B75B9A">
      <w:pPr>
        <w:pStyle w:val="AllowPageBreak"/>
      </w:pPr>
    </w:p>
    <w:p w:rsidR="00000000" w:rsidRPr="00B75B9A" w:rsidP="00B75B9A">
      <w:pPr>
        <w:pStyle w:val="Heading1"/>
      </w:pPr>
      <w:bookmarkStart w:id="4" w:name="O_1260744"/>
      <w:bookmarkEnd w:id="4"/>
      <w:r w:rsidRPr="00B75B9A">
        <w:t>Assessment Conditions</w:t>
      </w:r>
    </w:p>
    <w:p w:rsidR="00000000" w:rsidRPr="00B75B9A" w:rsidP="002B2F94">
      <w:pPr>
        <w:pStyle w:val="BodyText"/>
      </w:pPr>
      <w:r w:rsidRPr="00B75B9A">
        <w:t>Assessors must meet the requirements for assessors contained in the Standards for Registered Training O</w:t>
      </w:r>
      <w:r w:rsidRPr="00B75B9A">
        <w:t>rganisations.</w:t>
      </w:r>
    </w:p>
    <w:p w:rsidR="00000000" w:rsidRPr="00B75B9A" w:rsidP="002B2F94">
      <w:pPr>
        <w:pStyle w:val="BodyText"/>
      </w:pPr>
      <w:r w:rsidRPr="00B75B9A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B75B9A" w:rsidP="002B2F94">
      <w:pPr>
        <w:pStyle w:val="BodyText"/>
      </w:pPr>
      <w:r w:rsidRPr="00B75B9A">
        <w:t>Candidates must have access to documentation, approved repair procedure, manufacturer specifications, material data safety sheets, materials, plant, tools and equipment required to achieve the performance evidence.</w:t>
      </w:r>
    </w:p>
    <w:p w:rsidR="00000000" w:rsidRPr="00B75B9A" w:rsidP="00B75B9A">
      <w:pPr>
        <w:pStyle w:val="Heading1"/>
      </w:pPr>
      <w:bookmarkStart w:id="5" w:name="O_1260742"/>
      <w:bookmarkEnd w:id="5"/>
      <w:r w:rsidRPr="00B75B9A">
        <w:t>Links</w:t>
      </w:r>
    </w:p>
    <w:p w:rsidR="00000000" w:rsidRPr="00B75B9A" w:rsidP="002B2F94">
      <w:pPr>
        <w:pStyle w:val="BodyText"/>
      </w:pPr>
      <w:r w:rsidRPr="00B75B9A">
        <w:t>Companion volume</w:t>
      </w:r>
      <w:r w:rsidRPr="00B75B9A">
        <w:t xml:space="preserve">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359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75B9A" w:rsidP="00B75B9A"/>
    <w:sectPr w:rsidSect="00B75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9A" w:rsidRPr="002B2F94" w:rsidP="002B2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94" w:rsidP="00B75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F94" w:rsidP="00B75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2F94" w:rsidP="00B75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B9A" w:rsidRPr="002B2F94" w:rsidP="002B2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94" w:rsidRPr="002D2AF8" w:rsidP="00B75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CPCPRE3001 Patch prefabricated components of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B2F94" w:rsidP="00B75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7A1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0C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4A9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B9A"/>
  </w:style>
  <w:style w:type="character" w:customStyle="1" w:styleId="Heading1Char">
    <w:name w:val="Heading 1 Char"/>
    <w:basedOn w:val="DefaultParagraphFont"/>
    <w:link w:val="Heading1"/>
    <w:rsid w:val="00B75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B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B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5B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5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B9A"/>
    <w:rPr>
      <w:b/>
      <w:spacing w:val="0"/>
    </w:rPr>
  </w:style>
  <w:style w:type="paragraph" w:customStyle="1" w:styleId="SuperTitle">
    <w:name w:val="SuperTitle"/>
    <w:basedOn w:val="Title"/>
    <w:rsid w:val="00B75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B9A"/>
    <w:rPr>
      <w:i/>
    </w:rPr>
  </w:style>
  <w:style w:type="paragraph" w:styleId="Caption">
    <w:name w:val="caption"/>
    <w:basedOn w:val="BodyText"/>
    <w:next w:val="Normal"/>
    <w:qFormat/>
    <w:rsid w:val="00B75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B9A"/>
  </w:style>
  <w:style w:type="paragraph" w:styleId="TableofFigures">
    <w:name w:val="table of figures"/>
    <w:basedOn w:val="Normal"/>
    <w:next w:val="Normal"/>
    <w:semiHidden/>
    <w:rsid w:val="00B75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B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5B9A"/>
    <w:rPr>
      <w:rFonts w:ascii="Wingdings" w:hAnsi="Wingdings"/>
    </w:rPr>
  </w:style>
  <w:style w:type="paragraph" w:customStyle="1" w:styleId="TableHeading">
    <w:name w:val="Table Heading"/>
    <w:basedOn w:val="HeadingBase"/>
    <w:rsid w:val="00B75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B9A"/>
    <w:rPr>
      <w:color w:val="0033CC"/>
      <w:u w:val="none"/>
    </w:rPr>
  </w:style>
  <w:style w:type="paragraph" w:customStyle="1" w:styleId="BodyTextRight">
    <w:name w:val="Body Text Right"/>
    <w:basedOn w:val="BodyText"/>
    <w:rsid w:val="00B75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B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B9A"/>
    <w:rPr>
      <w:sz w:val="32"/>
    </w:rPr>
  </w:style>
  <w:style w:type="paragraph" w:customStyle="1" w:styleId="HeadingProcedure">
    <w:name w:val="Heading Procedure"/>
    <w:basedOn w:val="HeadingBase"/>
    <w:next w:val="Normal"/>
    <w:rsid w:val="00B75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B9A"/>
    <w:pPr>
      <w:spacing w:before="60" w:after="60"/>
    </w:pPr>
  </w:style>
  <w:style w:type="paragraph" w:styleId="ListContinue">
    <w:name w:val="List Continue"/>
    <w:basedOn w:val="List"/>
    <w:rsid w:val="00B75B9A"/>
    <w:pPr>
      <w:ind w:firstLine="0"/>
    </w:pPr>
  </w:style>
  <w:style w:type="paragraph" w:customStyle="1" w:styleId="ListNote">
    <w:name w:val="List Note"/>
    <w:basedOn w:val="List"/>
    <w:rsid w:val="00B75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B9A"/>
    <w:rPr>
      <w:rFonts w:ascii="Courier New" w:hAnsi="Courier New"/>
    </w:rPr>
  </w:style>
  <w:style w:type="paragraph" w:customStyle="1" w:styleId="NoteBullet">
    <w:name w:val="Note Bullet"/>
    <w:basedOn w:val="Note"/>
    <w:rsid w:val="00B75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B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5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B9A"/>
    <w:rPr>
      <w:b/>
      <w:smallCaps/>
    </w:rPr>
  </w:style>
  <w:style w:type="paragraph" w:customStyle="1" w:styleId="TableListNumber">
    <w:name w:val="Table List Number"/>
    <w:basedOn w:val="ListNumber"/>
    <w:rsid w:val="00B75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B9A"/>
    <w:pPr>
      <w:numPr>
        <w:numId w:val="10"/>
      </w:numPr>
    </w:pPr>
  </w:style>
  <w:style w:type="paragraph" w:customStyle="1" w:styleId="ListAlpha2">
    <w:name w:val="List Alpha 2"/>
    <w:basedOn w:val="List2"/>
    <w:rsid w:val="00B75B9A"/>
    <w:pPr>
      <w:numPr>
        <w:numId w:val="9"/>
      </w:numPr>
    </w:pPr>
  </w:style>
  <w:style w:type="paragraph" w:styleId="List2">
    <w:name w:val="List 2"/>
    <w:basedOn w:val="BodyText"/>
    <w:rsid w:val="00B75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B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5B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5B9A"/>
    <w:pPr>
      <w:numPr>
        <w:numId w:val="5"/>
      </w:numPr>
    </w:pPr>
  </w:style>
  <w:style w:type="paragraph" w:styleId="ListContinue2">
    <w:name w:val="List Continue 2"/>
    <w:basedOn w:val="List2"/>
    <w:rsid w:val="00B75B9A"/>
    <w:pPr>
      <w:ind w:firstLine="0"/>
    </w:pPr>
  </w:style>
  <w:style w:type="paragraph" w:styleId="ListContinue3">
    <w:name w:val="List Continue 3"/>
    <w:basedOn w:val="List3"/>
    <w:rsid w:val="00B75B9A"/>
    <w:pPr>
      <w:ind w:left="1021" w:firstLine="0"/>
    </w:pPr>
  </w:style>
  <w:style w:type="paragraph" w:styleId="ListContinue4">
    <w:name w:val="List Continue 4"/>
    <w:basedOn w:val="List4"/>
    <w:rsid w:val="00B75B9A"/>
    <w:pPr>
      <w:ind w:firstLine="0"/>
    </w:pPr>
  </w:style>
  <w:style w:type="paragraph" w:styleId="ListContinue5">
    <w:name w:val="List Continue 5"/>
    <w:basedOn w:val="List5"/>
    <w:rsid w:val="00B75B9A"/>
    <w:pPr>
      <w:ind w:firstLine="0"/>
    </w:pPr>
  </w:style>
  <w:style w:type="paragraph" w:styleId="ListNumber3">
    <w:name w:val="List Number 3"/>
    <w:basedOn w:val="List3"/>
    <w:rsid w:val="00B75B9A"/>
    <w:pPr>
      <w:numPr>
        <w:numId w:val="6"/>
      </w:numPr>
    </w:pPr>
  </w:style>
  <w:style w:type="paragraph" w:styleId="ListNumber4">
    <w:name w:val="List Number 4"/>
    <w:basedOn w:val="List4"/>
    <w:rsid w:val="00B75B9A"/>
    <w:pPr>
      <w:numPr>
        <w:numId w:val="7"/>
      </w:numPr>
    </w:pPr>
  </w:style>
  <w:style w:type="paragraph" w:styleId="ListNumber5">
    <w:name w:val="List Number 5"/>
    <w:basedOn w:val="List5"/>
    <w:rsid w:val="00B75B9A"/>
    <w:pPr>
      <w:numPr>
        <w:numId w:val="8"/>
      </w:numPr>
    </w:pPr>
  </w:style>
  <w:style w:type="paragraph" w:styleId="BlockText">
    <w:name w:val="Block Text"/>
    <w:basedOn w:val="Normal"/>
    <w:rsid w:val="00B75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B9A"/>
    <w:rPr>
      <w:sz w:val="16"/>
      <w:vertAlign w:val="superscript"/>
    </w:rPr>
  </w:style>
  <w:style w:type="character" w:customStyle="1" w:styleId="Symbols">
    <w:name w:val="Symbols"/>
    <w:basedOn w:val="DefaultParagraphFont"/>
    <w:rsid w:val="00B75B9A"/>
    <w:rPr>
      <w:rFonts w:ascii="Symbol" w:hAnsi="Symbol"/>
    </w:rPr>
  </w:style>
  <w:style w:type="character" w:customStyle="1" w:styleId="MenuOptions">
    <w:name w:val="Menu Options"/>
    <w:basedOn w:val="DefaultParagraphFont"/>
    <w:rsid w:val="00B75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B9A"/>
    <w:rPr>
      <w:b/>
    </w:rPr>
  </w:style>
  <w:style w:type="character" w:customStyle="1" w:styleId="Underlined">
    <w:name w:val="Underlined"/>
    <w:basedOn w:val="DefaultParagraphFont"/>
    <w:rsid w:val="00B75B9A"/>
    <w:rPr>
      <w:u w:val="single"/>
    </w:rPr>
  </w:style>
  <w:style w:type="paragraph" w:customStyle="1" w:styleId="TableBodyTextRight">
    <w:name w:val="Table Body Text Right"/>
    <w:basedOn w:val="TableBodyText"/>
    <w:rsid w:val="00B75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B9A"/>
    <w:rPr>
      <w:sz w:val="18"/>
    </w:rPr>
  </w:style>
  <w:style w:type="paragraph" w:customStyle="1" w:styleId="BodySmallRight">
    <w:name w:val="Body Small Right"/>
    <w:basedOn w:val="BodyTextRight"/>
    <w:rsid w:val="00B75B9A"/>
    <w:rPr>
      <w:sz w:val="18"/>
      <w:szCs w:val="18"/>
    </w:rPr>
  </w:style>
  <w:style w:type="paragraph" w:customStyle="1" w:styleId="MarginEdition">
    <w:name w:val="Margin Edition"/>
    <w:basedOn w:val="MarginNote"/>
    <w:rsid w:val="00B75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B9A"/>
    <w:rPr>
      <w:sz w:val="2"/>
      <w:szCs w:val="2"/>
    </w:rPr>
  </w:style>
  <w:style w:type="character" w:customStyle="1" w:styleId="Small">
    <w:name w:val="Small"/>
    <w:basedOn w:val="DefaultParagraphFont"/>
    <w:rsid w:val="00B75B9A"/>
    <w:rPr>
      <w:sz w:val="16"/>
    </w:rPr>
  </w:style>
  <w:style w:type="paragraph" w:customStyle="1" w:styleId="WideTable">
    <w:name w:val="Wide Table"/>
    <w:basedOn w:val="Normal"/>
    <w:rsid w:val="00B75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B9A"/>
  </w:style>
  <w:style w:type="paragraph" w:styleId="Quote">
    <w:name w:val="Quote"/>
    <w:basedOn w:val="Heading1"/>
    <w:link w:val="QuoteChar"/>
    <w:qFormat/>
    <w:rsid w:val="00B75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B9A"/>
    <w:pPr>
      <w:pageBreakBefore/>
    </w:pPr>
  </w:style>
  <w:style w:type="paragraph" w:customStyle="1" w:styleId="Border">
    <w:name w:val="Border"/>
    <w:basedOn w:val="Normal"/>
    <w:qFormat/>
    <w:rsid w:val="00B75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B9A"/>
    <w:rPr>
      <w:u w:val="single"/>
    </w:rPr>
  </w:style>
  <w:style w:type="character" w:customStyle="1" w:styleId="BoldandItalics">
    <w:name w:val="Bold and Italics"/>
    <w:qFormat/>
    <w:rsid w:val="00B75B9A"/>
    <w:rPr>
      <w:b/>
      <w:i/>
      <w:u w:val="none"/>
    </w:rPr>
  </w:style>
  <w:style w:type="paragraph" w:styleId="BalloonText">
    <w:name w:val="Balloon Text"/>
    <w:basedOn w:val="Normal"/>
    <w:link w:val="BalloonTextChar"/>
    <w:rsid w:val="00B75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B9A"/>
    <w:pPr>
      <w:spacing w:before="0" w:after="0"/>
    </w:pPr>
  </w:style>
  <w:style w:type="paragraph" w:customStyle="1" w:styleId="BodyTextBold">
    <w:name w:val="Body Text Bold"/>
    <w:basedOn w:val="BodyText"/>
    <w:qFormat/>
    <w:rsid w:val="00B75B9A"/>
    <w:rPr>
      <w:b/>
    </w:rPr>
  </w:style>
  <w:style w:type="character" w:styleId="Hyperlink">
    <w:name w:val="Hyperlink"/>
    <w:basedOn w:val="DefaultParagraphFont"/>
    <w:uiPriority w:val="99"/>
    <w:unhideWhenUsed/>
    <w:rsid w:val="002B2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3986</Characters>
  <Application>Microsoft Office Word</Application>
  <DocSecurity>0</DocSecurity>
  <Lines>120</Lines>
  <Paragraphs>105</Paragraphs>
  <ScaleCrop>false</ScaleCrop>
  <Company>Author-it Software Corporation Ltd.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CPCPRE3001 Patch prefabricated components of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