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D15" w:rsidP="00C20D15">
      <w:pPr>
        <w:pStyle w:val="Title"/>
      </w:pPr>
      <w:r>
        <w:fldChar w:fldCharType="begin"/>
      </w:r>
      <w:r>
        <w:instrText xml:space="preserve"> TITLE   \* MERGEFORMAT </w:instrText>
      </w:r>
      <w:r>
        <w:fldChar w:fldCharType="separate"/>
      </w:r>
      <w:r>
        <w:t>CPCPRE3000 Lift and place prefabricated concrete elements</w:t>
      </w:r>
      <w:r>
        <w:fldChar w:fldCharType="end"/>
      </w:r>
    </w:p>
    <w:p w:rsidR="00C20D15" w:rsidP="00C20D15">
      <w:pPr>
        <w:pStyle w:val="Version"/>
        <w:sectPr w:rsidSect="00F94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DE7" w:rsidP="00F94DE7">
      <w:pPr>
        <w:pStyle w:val="SuperHeading"/>
      </w:pPr>
      <w:r w:rsidRPr="00F94DE7">
        <w:t>CPCPRE3000 Lift and place prefabricated concrete elements</w:t>
      </w:r>
    </w:p>
    <w:p w:rsidR="00000000" w:rsidRPr="00F94DE7" w:rsidP="00F94DE7">
      <w:pPr>
        <w:pStyle w:val="Heading1"/>
      </w:pPr>
      <w:bookmarkStart w:id="1" w:name="O_1260722"/>
      <w:bookmarkEnd w:id="1"/>
      <w:r w:rsidRPr="00F94DE7">
        <w:t>Modification History</w:t>
      </w:r>
    </w:p>
    <w:tbl>
      <w:tblPr>
        <w:tblW w:w="0" w:type="auto"/>
        <w:tblLayout w:type="fixed"/>
        <w:tblCellMar>
          <w:left w:w="62" w:type="dxa"/>
          <w:right w:w="62" w:type="dxa"/>
        </w:tblCellMar>
        <w:tblLook w:val="0000"/>
      </w:tblPr>
      <w:tblGrid>
        <w:gridCol w:w="1066"/>
        <w:gridCol w:w="7944"/>
      </w:tblGrid>
      <w:tr w:rsidTr="00F94DE7">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Release 1</w:t>
            </w:r>
          </w:p>
        </w:tc>
        <w:tc>
          <w:tcPr>
            <w:tcW w:w="7944" w:type="dxa"/>
            <w:tcBorders>
              <w:top w:val="nil"/>
              <w:left w:val="nil"/>
              <w:bottom w:val="nil"/>
              <w:right w:val="nil"/>
            </w:tcBorders>
            <w:tcMar>
              <w:top w:w="0" w:type="dxa"/>
              <w:left w:w="62" w:type="dxa"/>
              <w:bottom w:w="0" w:type="dxa"/>
              <w:right w:w="62" w:type="dxa"/>
            </w:tcMar>
          </w:tcPr>
          <w:p w:rsidR="00000000" w:rsidRPr="00F94DE7" w:rsidP="00F94DE7">
            <w:pPr>
              <w:pStyle w:val="BodyText"/>
            </w:pPr>
            <w:r w:rsidRPr="00F94DE7">
              <w:t>This version first released with CPC Construction, Plumbing and Services Training Package Release 9.0.</w:t>
            </w:r>
          </w:p>
          <w:p w:rsidR="00000000" w:rsidRPr="00F94DE7" w:rsidP="00F94DE7">
            <w:pPr>
              <w:pStyle w:val="BodyText"/>
            </w:pPr>
            <w:r w:rsidRPr="00F94DE7">
              <w:t>Newly created unit.</w:t>
            </w:r>
          </w:p>
        </w:tc>
      </w:tr>
    </w:tbl>
    <w:p w:rsidR="00000000" w:rsidRPr="00F94DE7" w:rsidP="00F94DE7">
      <w:pPr>
        <w:pStyle w:val="BodyText"/>
      </w:pPr>
    </w:p>
    <w:p w:rsidR="00000000" w:rsidRPr="00F94DE7" w:rsidP="00F94DE7">
      <w:pPr>
        <w:pStyle w:val="AllowPageBreak"/>
      </w:pPr>
    </w:p>
    <w:p w:rsidR="00000000" w:rsidRPr="00F94DE7" w:rsidP="00F94DE7">
      <w:pPr>
        <w:pStyle w:val="Heading1"/>
      </w:pPr>
      <w:bookmarkStart w:id="2" w:name="O_1260728"/>
      <w:bookmarkEnd w:id="2"/>
      <w:r w:rsidRPr="00F94DE7">
        <w:t>Application</w:t>
      </w:r>
    </w:p>
    <w:p w:rsidR="00000000" w:rsidRPr="00F94DE7" w:rsidP="00C20D15">
      <w:pPr>
        <w:pStyle w:val="BodyText"/>
      </w:pPr>
      <w:r w:rsidRPr="00F94DE7">
        <w:t>This unit of competency specifies the skills and k</w:t>
      </w:r>
      <w:r w:rsidRPr="00F94DE7">
        <w:t xml:space="preserve">nowledge required to lift and place prefabricated concrete elements. </w:t>
      </w:r>
    </w:p>
    <w:p w:rsidR="00000000" w:rsidRPr="00F94DE7" w:rsidP="00C20D15">
      <w:pPr>
        <w:pStyle w:val="BodyText"/>
      </w:pPr>
      <w:r w:rsidRPr="00F94DE7">
        <w:t>It requires using appropriate tools, equipment, materials and working in a team environment to lift and place concrete elements.</w:t>
      </w:r>
    </w:p>
    <w:p w:rsidR="00000000" w:rsidRPr="00F94DE7" w:rsidP="00C20D15">
      <w:pPr>
        <w:pStyle w:val="BodyText"/>
      </w:pPr>
      <w:r w:rsidRPr="00F94DE7">
        <w:t>A person who has achieved this unit of competency would b</w:t>
      </w:r>
      <w:r w:rsidRPr="00F94DE7">
        <w:t>e expected to be able to correctly interpret and execute erection design documentation, including drawings; follow safety regulations and relevant specifications; and lead a team.</w:t>
      </w:r>
    </w:p>
    <w:p w:rsidR="00000000" w:rsidRPr="00F94DE7" w:rsidP="00C20D15">
      <w:pPr>
        <w:pStyle w:val="BodyText"/>
      </w:pPr>
      <w:r w:rsidRPr="00F94DE7">
        <w:t>Completion of the general construction induction training program, specified</w:t>
      </w:r>
      <w:r w:rsidRPr="00F94DE7">
        <w:t xml:space="preserve"> in the Safe Work Australia model Code of Practice: Construction Work, is required by anyone carrying out construction work. Achievement of CPCWHS1001 Prepare to work safely in the construction industry meets this requirement.</w:t>
      </w:r>
    </w:p>
    <w:p w:rsidR="00000000" w:rsidRPr="00F94DE7" w:rsidP="00C20D15">
      <w:pPr>
        <w:pStyle w:val="BodyText"/>
      </w:pPr>
      <w:r w:rsidRPr="00F94DE7">
        <w:t>Licensing, legislative, regul</w:t>
      </w:r>
      <w:r w:rsidRPr="00F94DE7">
        <w:t>atory or certification requirements apply to this unit of competency in some states and territories. For further information, check with the relevant regulatory authority.</w:t>
      </w:r>
    </w:p>
    <w:p w:rsidR="00000000" w:rsidRPr="00F94DE7" w:rsidP="00F94DE7">
      <w:pPr>
        <w:pStyle w:val="Heading1"/>
      </w:pPr>
      <w:bookmarkStart w:id="3" w:name="O_1260727"/>
      <w:bookmarkEnd w:id="3"/>
      <w:r w:rsidRPr="00F94DE7">
        <w:t>Pre-requisite Unit</w:t>
      </w:r>
    </w:p>
    <w:p w:rsidR="00000000" w:rsidRPr="00F94DE7" w:rsidP="00F94DE7">
      <w:pPr>
        <w:pStyle w:val="ListBullet"/>
      </w:pPr>
      <w:r w:rsidRPr="00F94DE7">
        <w:t>CPCCLRG3002 Licence to perform rigging interm</w:t>
      </w:r>
      <w:r w:rsidRPr="00F94DE7">
        <w:t xml:space="preserve">ediate level </w:t>
      </w:r>
    </w:p>
    <w:p w:rsidR="00000000" w:rsidRPr="00F94DE7" w:rsidP="00F94DE7">
      <w:pPr>
        <w:pStyle w:val="ListBullet"/>
      </w:pPr>
      <w:r w:rsidRPr="00F94DE7">
        <w:t>CPCCCM2012 Work safely at heights</w:t>
      </w:r>
    </w:p>
    <w:p w:rsidR="00000000" w:rsidRPr="00F94DE7" w:rsidP="00F94DE7">
      <w:pPr>
        <w:pStyle w:val="AllowPageBreak"/>
      </w:pPr>
    </w:p>
    <w:p w:rsidR="00000000" w:rsidRPr="00F94DE7" w:rsidP="00F94DE7">
      <w:pPr>
        <w:pStyle w:val="Heading1"/>
      </w:pPr>
      <w:bookmarkStart w:id="4" w:name="O_1260726"/>
      <w:bookmarkEnd w:id="4"/>
      <w:r w:rsidRPr="00F94DE7">
        <w:t>Unit Sector</w:t>
      </w:r>
    </w:p>
    <w:p w:rsidR="00000000" w:rsidRPr="00F94DE7" w:rsidP="00C20D15">
      <w:pPr>
        <w:pStyle w:val="BodyText"/>
      </w:pPr>
      <w:r w:rsidRPr="00F94DE7">
        <w:t>Prefabricated concrete</w:t>
      </w:r>
    </w:p>
    <w:p w:rsidR="00000000" w:rsidRPr="00F94DE7" w:rsidP="00F94DE7">
      <w:pPr>
        <w:pStyle w:val="Heading1"/>
      </w:pPr>
      <w:bookmarkStart w:id="5" w:name="O_1260725"/>
      <w:bookmarkEnd w:id="5"/>
      <w:r w:rsidRPr="00F94DE7">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F94DE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Performance criteria describe what needs to be done to demonstrate achievement of the element.</w:t>
            </w:r>
          </w:p>
        </w:tc>
      </w:tr>
      <w:tr w:rsidTr="00F94DE7">
        <w:tblPrEx>
          <w:tblW w:w="0" w:type="auto"/>
          <w:tblLayout w:type="fixed"/>
          <w:tblCellMar>
            <w:left w:w="62" w:type="dxa"/>
            <w:right w:w="62" w:type="dxa"/>
          </w:tblCellMar>
          <w:tblLook w:val="0000"/>
        </w:tblPrEx>
        <w:tc>
          <w:tcPr>
            <w:tcW w:w="4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p>
        </w:tc>
      </w:tr>
      <w:tr w:rsidTr="00F94DE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w:t>
            </w:r>
          </w:p>
        </w:tc>
        <w:tc>
          <w:tcPr>
            <w:tcW w:w="221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Determine the requirements to lift, place and unload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1.1</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 xml:space="preserve">Determine the requirements to lift and place prefabricated concrete elements from the erection design documentation and check that they are in accordance with AS 3850 Prefabricated concrete elements.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1.2</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Review and clarify prefabricated concrete installation task.</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1.3</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Review work health and safety (WHS) requirements for the task in accordance with safety plans and policies.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1.4</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Conduct working at heights risk assessment and follow appropriate WHS pro</w:t>
            </w:r>
            <w:r w:rsidRPr="00F94DE7">
              <w:t xml:space="preserve">cesses.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1.5</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Identify safety signage and barricade requirements.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1.6</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Review environmental requirements for the task in accordance with environmental plans and legislative requirements.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1.7</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 xml:space="preserve">Assess and apply environmental factors, including ground conditions, road permits, and public and vehicle access to carry out task.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1.8</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Hook-up concrete elements prior to unchaining from the supporting frames/trailer, ensuring other panels on the trail</w:t>
            </w:r>
            <w:r w:rsidRPr="00F94DE7">
              <w:t xml:space="preserve">er are still separately restrained.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1.9</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Determine plant, tools, rigging equipment and support requirements to carry out task.</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1.10</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Determine the location of prefabricated concrete element installation from set-out drawings.</w:t>
            </w:r>
          </w:p>
        </w:tc>
      </w:tr>
      <w:tr w:rsidTr="00F94D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DE7">
            <w:pPr>
              <w:pStyle w:val="BodyText"/>
              <w:rPr>
                <w:lang w:val="en-NZ"/>
              </w:rPr>
            </w:pPr>
          </w:p>
        </w:tc>
      </w:tr>
      <w:tr w:rsidTr="00F94DE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w:t>
            </w:r>
          </w:p>
        </w:tc>
        <w:tc>
          <w:tcPr>
            <w:tcW w:w="221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Comply with prefabricated concrete element erection requirements.</w:t>
            </w: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2.1</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Erect identified safety signage and barricade requirements, and fit personal protective equipment (PPE).</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2.2</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Obtain plant, tools, equipment, check for serviceability and rectify or re</w:t>
            </w:r>
            <w:r w:rsidRPr="00F94DE7">
              <w:t xml:space="preserve">port any faults.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2.3</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all lifting equipment components to ensure that they are compatible and meet all of the requirements of AS 3850 Prefabricated concrete elements and are correctly marked with working load limit (WLL).</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2.4</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 xml:space="preserve">Check </w:t>
            </w:r>
            <w:r w:rsidRPr="00F94DE7">
              <w:t xml:space="preserve">lifting and rigging equipment to ensure that they match the specifications set out in the erection documentation and manufacturer specifications.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2.5</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lifting and rigging equipment to ensure they are serviceable and if not, quarantine, report faul</w:t>
            </w:r>
            <w:r w:rsidRPr="00F94DE7">
              <w:t>ty items and replace with new equipment.</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2.6</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that the erection documentation and erection drawings or concrete element shop drawings, provide rigging configurations and all required information as set out in AS 3850 Prefabricated concrete elements</w:t>
            </w:r>
            <w:r w:rsidRPr="00F94DE7">
              <w:t>.</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2.7</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Ensure that erection documentation is on-site, available to the erectors and the requirements are fully understood.</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2.8</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that the brace fixings installers have been trained and are experienced in the installation of the specified fixing in accordance with the requirements of AS 3850 Prefabricated concrete elements.</w:t>
            </w:r>
          </w:p>
        </w:tc>
      </w:tr>
      <w:tr w:rsidTr="00F94D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DE7">
            <w:pPr>
              <w:pStyle w:val="BodyText"/>
              <w:rPr>
                <w:lang w:val="en-NZ"/>
              </w:rPr>
            </w:pPr>
          </w:p>
        </w:tc>
      </w:tr>
      <w:tr w:rsidTr="00F94DE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w:t>
            </w:r>
          </w:p>
        </w:tc>
        <w:tc>
          <w:tcPr>
            <w:tcW w:w="221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Prepare to lift, place and support prefabrica</w:t>
            </w:r>
            <w:r w:rsidRPr="00F94DE7">
              <w:t>ted concrete elements.</w:t>
            </w: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3.1</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Review erection plan and determine job sequencing and team roles, including supervision and confirm with builder and crane operator that the crane set-up is clearly detailed in the erection documentation.</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3.2</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Confirm load mass and load distribution of element to be lifted.</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3.3</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Assemble the rigging and confirm that the rigging configuration is in accordance with the rigging diagrams set out in the erection design documentation.</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3.4</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 xml:space="preserve">Check that the position </w:t>
            </w:r>
            <w:r w:rsidRPr="00F94DE7">
              <w:t>of the temporary supports (braces and/or props) are in accordance with the erection design documentation.</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3.5</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Position levelling shims/packers to the nominated reduced level (RL) in accordance with the erection design documentation.</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3.6</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that a</w:t>
            </w:r>
            <w:r w:rsidRPr="00F94DE7">
              <w:t>ny temporary supports and/or strong backs attached to the elements have been secured in accordance with the erection design documentation and safety standards.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3.7</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Attach the compatible lifting devices to the lifting inserts embedded in the prefabricate</w:t>
            </w:r>
            <w:r w:rsidRPr="00F94DE7">
              <w:t>d concrete element in accordance with the manufacturer specifications.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3.8</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that the included angle of the rigging is in accordance with the acceptable limits as set out in AS 3850 Prefabricated concrete elements.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3.9</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Ensure all personnel are clear of the drop zone.</w:t>
            </w:r>
          </w:p>
        </w:tc>
      </w:tr>
      <w:tr w:rsidTr="00F94D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DE7">
            <w:pPr>
              <w:pStyle w:val="BodyText"/>
              <w:rPr>
                <w:lang w:val="en-NZ"/>
              </w:rPr>
            </w:pPr>
          </w:p>
        </w:tc>
      </w:tr>
      <w:tr w:rsidTr="00F94DE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w:t>
            </w:r>
          </w:p>
        </w:tc>
        <w:tc>
          <w:tcPr>
            <w:tcW w:w="221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Conduct lifting and placing of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4.1</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Lift and place the load with the crane in accordance with job safety and environmental analysis (JSEA) and safe work method statem</w:t>
            </w:r>
            <w:r w:rsidRPr="00F94DE7">
              <w:t>ent (SWMS).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4.2</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Coordinate with the crane driver to maintain stability of load during lifting, transportation and positioning.</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4.3</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Direct load to landing position in accordance with the erection design documentation and specifications.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4.4</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Check to ensure that the temporary supports are placed and fixed in accordance with the erection design documentation and safety standards.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4.5</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 xml:space="preserve">Check that the installed component is both level and plumb and in accordance with the set-out drawings and erection design documentation. </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4.6</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When the load has been fully secured and supported by the temporary supports, release the load from the crane,</w:t>
            </w:r>
            <w:r w:rsidRPr="00F94DE7">
              <w:t xml:space="preserve"> safely access lifting points and disconnect the lifting devices attached to the prefabricated concrete elements.</w:t>
            </w:r>
          </w:p>
        </w:tc>
      </w:tr>
      <w:tr w:rsidTr="00F94D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DE7">
            <w:pPr>
              <w:pStyle w:val="BodyText"/>
              <w:rPr>
                <w:lang w:val="en-NZ"/>
              </w:rPr>
            </w:pPr>
          </w:p>
        </w:tc>
      </w:tr>
      <w:tr w:rsidTr="00F94DE7">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5.</w:t>
            </w:r>
          </w:p>
        </w:tc>
        <w:tc>
          <w:tcPr>
            <w:tcW w:w="2210" w:type="dxa"/>
            <w:vMerge w:val="restart"/>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Clean up.</w:t>
            </w: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5.1</w:t>
            </w:r>
          </w:p>
        </w:tc>
        <w:tc>
          <w:tcPr>
            <w:tcW w:w="5659"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Clear work area and dispose of, reuse or recycle materials in accordance with regulatory and workplace requirements.</w:t>
            </w:r>
          </w:p>
        </w:tc>
      </w:tr>
      <w:tr w:rsidTr="00F94DE7">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DE7">
            <w:pPr>
              <w:pStyle w:val="BodyText"/>
              <w:rPr>
                <w:lang w:val="en-NZ"/>
              </w:rPr>
            </w:pPr>
            <w:r w:rsidRPr="00F94DE7">
              <w:t>5.2</w:t>
            </w:r>
          </w:p>
        </w:tc>
        <w:tc>
          <w:tcPr>
            <w:tcW w:w="5659" w:type="dxa"/>
            <w:tcBorders>
              <w:top w:val="nil"/>
              <w:left w:val="nil"/>
              <w:bottom w:val="nil"/>
              <w:right w:val="nil"/>
            </w:tcBorders>
            <w:tcMar>
              <w:top w:w="0" w:type="dxa"/>
              <w:left w:w="62" w:type="dxa"/>
              <w:bottom w:w="0" w:type="dxa"/>
              <w:right w:w="62" w:type="dxa"/>
            </w:tcMar>
          </w:tcPr>
          <w:p w:rsidR="00000000" w:rsidRPr="00F94DE7" w:rsidP="00F94DE7">
            <w:pPr>
              <w:pStyle w:val="BodyText"/>
            </w:pPr>
            <w:r w:rsidRPr="00F94DE7">
              <w:t>Clean, check, maintain and store tools and equipment in accordance with manufacturer and workplace requirements.</w:t>
            </w:r>
          </w:p>
        </w:tc>
      </w:tr>
    </w:tbl>
    <w:p w:rsidR="00000000" w:rsidRPr="00F94DE7" w:rsidP="00F94DE7">
      <w:pPr>
        <w:pStyle w:val="BodyText"/>
      </w:pPr>
    </w:p>
    <w:p w:rsidR="00000000" w:rsidRPr="00F94DE7" w:rsidP="00F94DE7">
      <w:pPr>
        <w:pStyle w:val="AllowPageBreak"/>
      </w:pPr>
    </w:p>
    <w:p w:rsidR="00000000" w:rsidRPr="00F94DE7" w:rsidP="00F94DE7">
      <w:pPr>
        <w:pStyle w:val="Heading1"/>
      </w:pPr>
      <w:bookmarkStart w:id="6" w:name="O_1260724"/>
      <w:bookmarkEnd w:id="6"/>
      <w:r w:rsidRPr="00F94DE7">
        <w:t>Foundation Skills</w:t>
      </w:r>
    </w:p>
    <w:p w:rsidR="00000000" w:rsidRPr="00F94DE7" w:rsidP="00C20D15">
      <w:pPr>
        <w:pStyle w:val="BodyText"/>
      </w:pPr>
      <w:r w:rsidRPr="00F94DE7">
        <w:t xml:space="preserve">Foundation skills essential to performance are explicit in the performance criteria of this unit of competency. </w:t>
      </w:r>
    </w:p>
    <w:p w:rsidR="00000000" w:rsidRPr="00F94DE7" w:rsidP="00F94DE7">
      <w:pPr>
        <w:pStyle w:val="Heading1"/>
      </w:pPr>
      <w:bookmarkStart w:id="7" w:name="O_1260723"/>
      <w:bookmarkEnd w:id="7"/>
      <w:r w:rsidRPr="00F94DE7">
        <w:t>Unit Mapping Information</w:t>
      </w:r>
    </w:p>
    <w:p w:rsidR="00000000" w:rsidRPr="00F94DE7" w:rsidP="00C20D15">
      <w:pPr>
        <w:pStyle w:val="BodyText"/>
      </w:pPr>
      <w:r w:rsidRPr="00F94DE7">
        <w:t>No equivalent unit.</w:t>
      </w:r>
    </w:p>
    <w:p w:rsidR="00000000" w:rsidRPr="00F94DE7" w:rsidP="00F94DE7">
      <w:pPr>
        <w:pStyle w:val="Heading1"/>
      </w:pPr>
      <w:bookmarkStart w:id="8" w:name="O_1260716"/>
      <w:bookmarkEnd w:id="8"/>
      <w:r w:rsidRPr="00F94DE7">
        <w:t>Links</w:t>
      </w:r>
    </w:p>
    <w:p w:rsidR="00000000" w:rsidRPr="00F94DE7" w:rsidP="00C20D15">
      <w:pPr>
        <w:pStyle w:val="BodyText"/>
      </w:pPr>
      <w:r w:rsidRPr="00F94DE7">
        <w:t>Companion volumes to this training package are availab</w:t>
      </w:r>
      <w:r w:rsidRPr="00F94DE7">
        <w:t xml:space="preserve">le at the VETNet website - </w:t>
      </w:r>
      <w:r>
        <w:fldChar w:fldCharType="begin"/>
      </w:r>
      <w:r>
        <w:instrText xml:space="preserve"> HYPERLINK "https://vetnet.gov.au/Pages/TrainingDocs.aspx?q=7e15fa6a-68b8-4097-b099-030a5569b1ad" </w:instrText>
      </w:r>
      <w:r>
        <w:fldChar w:fldCharType="separate"/>
      </w:r>
      <w:r w:rsidRPr="00DE04CC">
        <w:rPr>
          <w:rStyle w:val="Hyperlink"/>
        </w:rPr>
        <w:t>https://vetnet.gov.au/Pages/TrainingDocs.aspx?q=7e15fa6a-68b8-4097-b099-030a5569b1ad</w:t>
      </w:r>
      <w:r>
        <w:fldChar w:fldCharType="end"/>
      </w:r>
    </w:p>
    <w:p w:rsidR="00000000" w:rsidRPr="00F94DE7" w:rsidP="00F94DE7"/>
    <w:sectPr w:rsidSect="00F94D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rsidP="00F94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D15" w:rsidP="00F94D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20D15" w:rsidP="00F94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DE7" w:rsidRPr="00C20D15" w:rsidP="00C20D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15" w:rsidRPr="002D2AF8" w:rsidP="00F94DE7">
    <w:pPr>
      <w:pStyle w:val="Header"/>
      <w:framePr w:wrap="around"/>
    </w:pPr>
    <w:r>
      <w:fldChar w:fldCharType="begin"/>
    </w:r>
    <w:r>
      <w:instrText xml:space="preserve"> TITLE   \* MERGEFORMAT </w:instrText>
    </w:r>
    <w:r>
      <w:fldChar w:fldCharType="separate"/>
    </w:r>
    <w:r>
      <w:t>CPCPRE3000 Lift and place prefabricated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20D15" w:rsidP="00F94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C8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3A88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DE7"/>
    <w:pPr>
      <w:spacing w:before="360" w:after="60"/>
      <w:outlineLvl w:val="0"/>
    </w:pPr>
    <w:rPr>
      <w:sz w:val="32"/>
    </w:rPr>
  </w:style>
  <w:style w:type="paragraph" w:styleId="Heading2">
    <w:name w:val="heading 2"/>
    <w:basedOn w:val="HeadingBase"/>
    <w:next w:val="BodyText"/>
    <w:link w:val="Heading2Char"/>
    <w:qFormat/>
    <w:rsid w:val="00F94DE7"/>
    <w:pPr>
      <w:keepLines/>
      <w:spacing w:before="240" w:after="120"/>
      <w:outlineLvl w:val="1"/>
    </w:pPr>
    <w:rPr>
      <w:sz w:val="28"/>
      <w:szCs w:val="40"/>
    </w:rPr>
  </w:style>
  <w:style w:type="paragraph" w:styleId="Heading3">
    <w:name w:val="heading 3"/>
    <w:basedOn w:val="HeadingBase"/>
    <w:next w:val="BodyText"/>
    <w:link w:val="Heading3Char"/>
    <w:qFormat/>
    <w:rsid w:val="00F94DE7"/>
    <w:pPr>
      <w:spacing w:before="180" w:after="120"/>
      <w:outlineLvl w:val="2"/>
    </w:pPr>
    <w:rPr>
      <w:spacing w:val="-10"/>
      <w:kern w:val="32"/>
    </w:rPr>
  </w:style>
  <w:style w:type="paragraph" w:styleId="Heading4">
    <w:name w:val="heading 4"/>
    <w:basedOn w:val="HeadingBase"/>
    <w:next w:val="BodyText"/>
    <w:link w:val="Heading4Char"/>
    <w:qFormat/>
    <w:rsid w:val="00F94DE7"/>
    <w:pPr>
      <w:spacing w:before="160" w:after="120"/>
      <w:outlineLvl w:val="3"/>
    </w:pPr>
    <w:rPr>
      <w:sz w:val="22"/>
    </w:rPr>
  </w:style>
  <w:style w:type="paragraph" w:styleId="Heading5">
    <w:name w:val="heading 5"/>
    <w:basedOn w:val="HeadingBase"/>
    <w:next w:val="Normal"/>
    <w:link w:val="Heading5Char"/>
    <w:qFormat/>
    <w:rsid w:val="00F94DE7"/>
    <w:pPr>
      <w:spacing w:before="80"/>
      <w:outlineLvl w:val="4"/>
    </w:pPr>
    <w:rPr>
      <w:color w:val="918585"/>
      <w:sz w:val="20"/>
    </w:rPr>
  </w:style>
  <w:style w:type="paragraph" w:styleId="Heading6">
    <w:name w:val="heading 6"/>
    <w:basedOn w:val="HeadingBase"/>
    <w:next w:val="Normal"/>
    <w:link w:val="Heading6Char"/>
    <w:qFormat/>
    <w:rsid w:val="00F94DE7"/>
    <w:pPr>
      <w:spacing w:before="60"/>
      <w:outlineLvl w:val="5"/>
    </w:pPr>
    <w:rPr>
      <w:color w:val="918585"/>
      <w:sz w:val="20"/>
    </w:rPr>
  </w:style>
  <w:style w:type="paragraph" w:styleId="Heading7">
    <w:name w:val="heading 7"/>
    <w:basedOn w:val="Normal"/>
    <w:next w:val="Normal"/>
    <w:link w:val="Heading7Char"/>
    <w:qFormat/>
    <w:rsid w:val="00F94DE7"/>
    <w:pPr>
      <w:ind w:left="720"/>
      <w:outlineLvl w:val="6"/>
    </w:pPr>
    <w:rPr>
      <w:i/>
    </w:rPr>
  </w:style>
  <w:style w:type="paragraph" w:styleId="Heading8">
    <w:name w:val="heading 8"/>
    <w:basedOn w:val="Normal"/>
    <w:next w:val="Normal"/>
    <w:link w:val="Heading8Char"/>
    <w:qFormat/>
    <w:rsid w:val="00F94DE7"/>
    <w:pPr>
      <w:ind w:left="720"/>
      <w:outlineLvl w:val="7"/>
    </w:pPr>
    <w:rPr>
      <w:i/>
    </w:rPr>
  </w:style>
  <w:style w:type="paragraph" w:styleId="Heading9">
    <w:name w:val="heading 9"/>
    <w:basedOn w:val="Normal"/>
    <w:next w:val="Normal"/>
    <w:link w:val="Heading9Char"/>
    <w:qFormat/>
    <w:rsid w:val="00F94DE7"/>
    <w:pPr>
      <w:ind w:left="720"/>
      <w:outlineLvl w:val="8"/>
    </w:pPr>
    <w:rPr>
      <w:i/>
    </w:rPr>
  </w:style>
  <w:style w:type="character" w:default="1" w:styleId="DefaultParagraphFont">
    <w:name w:val="Default Paragraph Font"/>
    <w:uiPriority w:val="1"/>
    <w:unhideWhenUsed/>
    <w:rsid w:val="00F94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DE7"/>
  </w:style>
  <w:style w:type="character" w:customStyle="1" w:styleId="Heading1Char">
    <w:name w:val="Heading 1 Char"/>
    <w:basedOn w:val="DefaultParagraphFont"/>
    <w:link w:val="Heading1"/>
    <w:rsid w:val="00F94DE7"/>
    <w:rPr>
      <w:rFonts w:ascii="Times New Roman" w:eastAsia="Times New Roman" w:hAnsi="Times New Roman" w:cs="Times New Roman"/>
      <w:b/>
      <w:sz w:val="32"/>
      <w:szCs w:val="20"/>
      <w:lang w:eastAsia="en-US"/>
    </w:rPr>
  </w:style>
  <w:style w:type="paragraph" w:styleId="BodyText">
    <w:name w:val="Body Text"/>
    <w:basedOn w:val="Normal"/>
    <w:link w:val="BodyTextChar"/>
    <w:rsid w:val="00F94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DE7"/>
    <w:rPr>
      <w:rFonts w:ascii="Times New Roman" w:eastAsia="Times New Roman" w:hAnsi="Times New Roman" w:cs="Times New Roman"/>
      <w:sz w:val="24"/>
      <w:lang w:eastAsia="en-US"/>
    </w:rPr>
  </w:style>
  <w:style w:type="paragraph" w:styleId="ListBullet">
    <w:name w:val="List Bullet"/>
    <w:basedOn w:val="List"/>
    <w:rsid w:val="00F94DE7"/>
    <w:pPr>
      <w:numPr>
        <w:numId w:val="11"/>
      </w:numPr>
      <w:tabs>
        <w:tab w:val="clear" w:pos="340"/>
      </w:tabs>
      <w:spacing w:before="40" w:after="40"/>
    </w:pPr>
  </w:style>
  <w:style w:type="paragraph" w:customStyle="1" w:styleId="SuperHeading">
    <w:name w:val="SuperHeading"/>
    <w:basedOn w:val="Normal"/>
    <w:rsid w:val="00F94DE7"/>
    <w:pPr>
      <w:spacing w:before="240" w:after="120"/>
      <w:outlineLvl w:val="0"/>
    </w:pPr>
    <w:rPr>
      <w:rFonts w:ascii="Times New Roman" w:hAnsi="Times New Roman"/>
      <w:b/>
      <w:sz w:val="32"/>
    </w:rPr>
  </w:style>
  <w:style w:type="paragraph" w:customStyle="1" w:styleId="AllowPageBreak">
    <w:name w:val="AllowPageBreak"/>
    <w:rsid w:val="00F94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DE7"/>
    <w:rPr>
      <w:rFonts w:ascii="Courier New" w:eastAsia="Times New Roman" w:hAnsi="Courier New" w:cs="Times New Roman"/>
      <w:i/>
      <w:szCs w:val="20"/>
      <w:lang w:eastAsia="en-US"/>
    </w:rPr>
  </w:style>
  <w:style w:type="paragraph" w:customStyle="1" w:styleId="HeadingBase">
    <w:name w:val="Heading Base"/>
    <w:rsid w:val="00F94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DE7"/>
    <w:pPr>
      <w:tabs>
        <w:tab w:val="right" w:leader="dot" w:pos="9072"/>
      </w:tabs>
      <w:ind w:left="567"/>
    </w:pPr>
    <w:rPr>
      <w:szCs w:val="22"/>
    </w:rPr>
  </w:style>
  <w:style w:type="paragraph" w:customStyle="1" w:styleId="TOCBase">
    <w:name w:val="TOC Base"/>
    <w:rsid w:val="00F94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DE7"/>
    <w:pPr>
      <w:tabs>
        <w:tab w:val="right" w:leader="dot" w:pos="9072"/>
      </w:tabs>
      <w:spacing w:before="40" w:after="40"/>
      <w:ind w:left="284"/>
    </w:pPr>
    <w:rPr>
      <w:rFonts w:ascii="Times New Roman" w:hAnsi="Times New Roman"/>
    </w:rPr>
  </w:style>
  <w:style w:type="paragraph" w:styleId="TOC1">
    <w:name w:val="toc 1"/>
    <w:basedOn w:val="TOCBase"/>
    <w:next w:val="Normal"/>
    <w:rsid w:val="00F94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DE7"/>
    <w:rPr>
      <w:rFonts w:ascii="Times New Roman" w:eastAsia="Times New Roman" w:hAnsi="Times New Roman" w:cs="Times New Roman"/>
      <w:sz w:val="16"/>
      <w:lang w:eastAsia="en-US"/>
    </w:rPr>
  </w:style>
  <w:style w:type="paragraph" w:styleId="Title">
    <w:name w:val="Title"/>
    <w:basedOn w:val="HeadingBase"/>
    <w:link w:val="TitleChar"/>
    <w:qFormat/>
    <w:rsid w:val="00F94DE7"/>
    <w:pPr>
      <w:spacing w:before="5040"/>
      <w:jc w:val="center"/>
    </w:pPr>
    <w:rPr>
      <w:sz w:val="48"/>
      <w:szCs w:val="72"/>
      <w:lang w:val="en-US"/>
    </w:rPr>
  </w:style>
  <w:style w:type="character" w:customStyle="1" w:styleId="TitleChar">
    <w:name w:val="Title Char"/>
    <w:basedOn w:val="DefaultParagraphFont"/>
    <w:link w:val="Title"/>
    <w:rsid w:val="00F94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DE7"/>
    <w:pPr>
      <w:tabs>
        <w:tab w:val="left" w:pos="3600"/>
        <w:tab w:val="left" w:pos="3958"/>
      </w:tabs>
    </w:pPr>
  </w:style>
  <w:style w:type="paragraph" w:styleId="List">
    <w:name w:val="List"/>
    <w:basedOn w:val="BodyText"/>
    <w:next w:val="BodyText"/>
    <w:rsid w:val="00F94DE7"/>
    <w:pPr>
      <w:tabs>
        <w:tab w:val="left" w:pos="340"/>
      </w:tabs>
      <w:spacing w:before="60" w:after="60"/>
      <w:ind w:left="340" w:hanging="340"/>
    </w:pPr>
  </w:style>
  <w:style w:type="paragraph" w:customStyle="1" w:styleId="Note">
    <w:name w:val="Note"/>
    <w:basedOn w:val="BodyText"/>
    <w:rsid w:val="00F94D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DE7"/>
    <w:rPr>
      <w:b/>
      <w:spacing w:val="0"/>
    </w:rPr>
  </w:style>
  <w:style w:type="paragraph" w:customStyle="1" w:styleId="SuperTitle">
    <w:name w:val="SuperTitle"/>
    <w:basedOn w:val="Title"/>
    <w:rsid w:val="00F94DE7"/>
    <w:pPr>
      <w:framePr w:wrap="auto" w:hAnchor="text" w:y="6049"/>
    </w:pPr>
    <w:rPr>
      <w:color w:val="000000"/>
      <w:sz w:val="40"/>
    </w:rPr>
  </w:style>
  <w:style w:type="paragraph" w:customStyle="1" w:styleId="TOCTitle">
    <w:name w:val="TOCTitle"/>
    <w:basedOn w:val="Heading1"/>
    <w:rsid w:val="00F94DE7"/>
    <w:pPr>
      <w:spacing w:after="240"/>
      <w:jc w:val="center"/>
      <w:outlineLvl w:val="9"/>
    </w:pPr>
    <w:rPr>
      <w:caps/>
    </w:rPr>
  </w:style>
  <w:style w:type="paragraph" w:customStyle="1" w:styleId="Version">
    <w:name w:val="Version"/>
    <w:rsid w:val="00F94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DE7"/>
    <w:pPr>
      <w:numPr>
        <w:numId w:val="12"/>
      </w:numPr>
      <w:tabs>
        <w:tab w:val="clear" w:pos="680"/>
      </w:tabs>
    </w:pPr>
  </w:style>
  <w:style w:type="paragraph" w:styleId="Index1">
    <w:name w:val="index 1"/>
    <w:basedOn w:val="Normal"/>
    <w:next w:val="Normal"/>
    <w:semiHidden/>
    <w:rsid w:val="00F94DE7"/>
    <w:pPr>
      <w:keepNext w:val="0"/>
      <w:tabs>
        <w:tab w:val="right" w:pos="4176"/>
      </w:tabs>
      <w:ind w:left="198" w:hanging="198"/>
    </w:pPr>
    <w:rPr>
      <w:rFonts w:ascii="Garamond" w:hAnsi="Garamond"/>
    </w:rPr>
  </w:style>
  <w:style w:type="paragraph" w:styleId="IndexHeading">
    <w:name w:val="index heading"/>
    <w:basedOn w:val="Normal"/>
    <w:next w:val="Index1"/>
    <w:semiHidden/>
    <w:rsid w:val="00F94DE7"/>
    <w:pPr>
      <w:spacing w:before="120" w:after="120"/>
    </w:pPr>
    <w:rPr>
      <w:rFonts w:ascii="Arial" w:hAnsi="Arial"/>
      <w:b/>
      <w:color w:val="918585"/>
      <w:sz w:val="24"/>
    </w:rPr>
  </w:style>
  <w:style w:type="paragraph" w:styleId="Header">
    <w:name w:val="header"/>
    <w:basedOn w:val="Normal"/>
    <w:link w:val="HeaderChar"/>
    <w:rsid w:val="00F94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DE7"/>
    <w:rPr>
      <w:rFonts w:ascii="Times New Roman" w:eastAsia="Times New Roman" w:hAnsi="Times New Roman" w:cs="Times New Roman"/>
      <w:sz w:val="16"/>
      <w:szCs w:val="20"/>
      <w:lang w:val="en-GB" w:eastAsia="en-US"/>
    </w:rPr>
  </w:style>
  <w:style w:type="paragraph" w:customStyle="1" w:styleId="Chapter">
    <w:name w:val="Chapter"/>
    <w:basedOn w:val="Normal"/>
    <w:rsid w:val="00F94DE7"/>
    <w:pPr>
      <w:spacing w:before="240"/>
    </w:pPr>
    <w:rPr>
      <w:rFonts w:ascii="Times New Roman" w:hAnsi="Times New Roman"/>
      <w:smallCaps/>
      <w:spacing w:val="80"/>
      <w:sz w:val="28"/>
    </w:rPr>
  </w:style>
  <w:style w:type="paragraph" w:customStyle="1" w:styleId="InChapter">
    <w:name w:val="InChapter"/>
    <w:basedOn w:val="Heading3"/>
    <w:rsid w:val="00F94DE7"/>
    <w:pPr>
      <w:spacing w:after="240"/>
      <w:outlineLvl w:val="9"/>
    </w:pPr>
    <w:rPr>
      <w:noProof/>
    </w:rPr>
  </w:style>
  <w:style w:type="paragraph" w:styleId="Index2">
    <w:name w:val="index 2"/>
    <w:basedOn w:val="Normal"/>
    <w:next w:val="Normal"/>
    <w:semiHidden/>
    <w:rsid w:val="00F94DE7"/>
    <w:pPr>
      <w:tabs>
        <w:tab w:val="right" w:pos="4176"/>
      </w:tabs>
      <w:ind w:left="568" w:hanging="284"/>
    </w:pPr>
    <w:rPr>
      <w:rFonts w:ascii="Garamond" w:hAnsi="Garamond"/>
    </w:rPr>
  </w:style>
  <w:style w:type="paragraph" w:customStyle="1" w:styleId="Byline">
    <w:name w:val="Byline"/>
    <w:rsid w:val="00F94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DE7"/>
    <w:pPr>
      <w:tabs>
        <w:tab w:val="clear" w:pos="3600"/>
        <w:tab w:val="clear" w:pos="3958"/>
      </w:tabs>
      <w:jc w:val="right"/>
    </w:pPr>
  </w:style>
  <w:style w:type="character" w:styleId="Emphasis">
    <w:name w:val="Emphasis"/>
    <w:basedOn w:val="DefaultParagraphFont"/>
    <w:qFormat/>
    <w:rsid w:val="00F94DE7"/>
    <w:rPr>
      <w:i/>
    </w:rPr>
  </w:style>
  <w:style w:type="paragraph" w:styleId="Caption">
    <w:name w:val="caption"/>
    <w:basedOn w:val="BodyText"/>
    <w:next w:val="Normal"/>
    <w:qFormat/>
    <w:rsid w:val="00F94DE7"/>
    <w:pPr>
      <w:framePr w:w="2268" w:hSpace="181" w:vSpace="181" w:wrap="around" w:vAnchor="text" w:hAnchor="page" w:x="1135" w:y="285" w:anchorLock="1"/>
    </w:pPr>
    <w:rPr>
      <w:i/>
    </w:rPr>
  </w:style>
  <w:style w:type="paragraph" w:customStyle="1" w:styleId="MiniTOCTitle">
    <w:name w:val="MiniTOCTitle"/>
    <w:basedOn w:val="Heading4"/>
    <w:rsid w:val="00F94DE7"/>
    <w:pPr>
      <w:spacing w:before="240"/>
      <w:outlineLvl w:val="9"/>
    </w:pPr>
    <w:rPr>
      <w:noProof/>
      <w:sz w:val="24"/>
    </w:rPr>
  </w:style>
  <w:style w:type="paragraph" w:customStyle="1" w:styleId="MiniTOCItem">
    <w:name w:val="MiniTOCItem"/>
    <w:basedOn w:val="ListBullet"/>
    <w:rsid w:val="00F94DE7"/>
    <w:pPr>
      <w:numPr>
        <w:numId w:val="0"/>
      </w:numPr>
      <w:tabs>
        <w:tab w:val="right" w:leader="dot" w:pos="6521"/>
      </w:tabs>
      <w:spacing w:before="0" w:after="0"/>
    </w:pPr>
  </w:style>
  <w:style w:type="paragraph" w:customStyle="1" w:styleId="TOFTitle">
    <w:name w:val="TOFTitle"/>
    <w:basedOn w:val="TOCTitle"/>
    <w:rsid w:val="00F94DE7"/>
  </w:style>
  <w:style w:type="paragraph" w:styleId="TableofFigures">
    <w:name w:val="table of figures"/>
    <w:basedOn w:val="Normal"/>
    <w:next w:val="Normal"/>
    <w:semiHidden/>
    <w:rsid w:val="00F94DE7"/>
    <w:pPr>
      <w:tabs>
        <w:tab w:val="right" w:leader="dot" w:pos="9072"/>
      </w:tabs>
      <w:ind w:left="970" w:hanging="403"/>
    </w:pPr>
    <w:rPr>
      <w:rFonts w:ascii="Times New Roman" w:hAnsi="Times New Roman"/>
      <w:b/>
    </w:rPr>
  </w:style>
  <w:style w:type="paragraph" w:styleId="ListNumber">
    <w:name w:val="List Number"/>
    <w:basedOn w:val="List"/>
    <w:rsid w:val="00F94DE7"/>
    <w:pPr>
      <w:numPr>
        <w:numId w:val="14"/>
      </w:numPr>
      <w:tabs>
        <w:tab w:val="clear" w:pos="340"/>
      </w:tabs>
    </w:pPr>
  </w:style>
  <w:style w:type="character" w:customStyle="1" w:styleId="WingdingSymbols">
    <w:name w:val="Wingding Symbols"/>
    <w:rsid w:val="00F94DE7"/>
    <w:rPr>
      <w:rFonts w:ascii="Wingdings" w:hAnsi="Wingdings"/>
    </w:rPr>
  </w:style>
  <w:style w:type="paragraph" w:customStyle="1" w:styleId="TableHeading">
    <w:name w:val="Table Heading"/>
    <w:basedOn w:val="HeadingBase"/>
    <w:rsid w:val="00F94DE7"/>
    <w:pPr>
      <w:keepLines/>
      <w:pBdr>
        <w:bottom w:val="single" w:sz="6" w:space="1" w:color="918585"/>
      </w:pBdr>
      <w:spacing w:before="240"/>
    </w:pPr>
  </w:style>
  <w:style w:type="character" w:customStyle="1" w:styleId="HotSpot">
    <w:name w:val="HotSpot"/>
    <w:rsid w:val="00F94DE7"/>
    <w:rPr>
      <w:color w:val="0033CC"/>
      <w:u w:val="none"/>
    </w:rPr>
  </w:style>
  <w:style w:type="paragraph" w:customStyle="1" w:styleId="BodyTextRight">
    <w:name w:val="Body Text Right"/>
    <w:basedOn w:val="BodyText"/>
    <w:rsid w:val="00F94DE7"/>
    <w:pPr>
      <w:spacing w:before="0" w:after="0"/>
      <w:jc w:val="right"/>
    </w:pPr>
  </w:style>
  <w:style w:type="paragraph" w:styleId="Index3">
    <w:name w:val="index 3"/>
    <w:basedOn w:val="ListNumber2"/>
    <w:next w:val="Normal"/>
    <w:semiHidden/>
    <w:rsid w:val="00F94DE7"/>
    <w:pPr>
      <w:numPr>
        <w:numId w:val="0"/>
      </w:numPr>
      <w:tabs>
        <w:tab w:val="right" w:leader="dot" w:pos="4176"/>
      </w:tabs>
    </w:pPr>
  </w:style>
  <w:style w:type="paragraph" w:styleId="ListNumber2">
    <w:name w:val="List Number 2"/>
    <w:basedOn w:val="List2"/>
    <w:rsid w:val="00F94DE7"/>
    <w:pPr>
      <w:numPr>
        <w:numId w:val="9"/>
      </w:numPr>
      <w:tabs>
        <w:tab w:val="clear" w:pos="1060"/>
      </w:tabs>
    </w:pPr>
  </w:style>
  <w:style w:type="paragraph" w:customStyle="1" w:styleId="MarginNote">
    <w:name w:val="Margin Note"/>
    <w:basedOn w:val="BodyText"/>
    <w:rsid w:val="00F94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DE7"/>
    <w:rPr>
      <w:sz w:val="32"/>
    </w:rPr>
  </w:style>
  <w:style w:type="paragraph" w:customStyle="1" w:styleId="HeadingProcedure">
    <w:name w:val="Heading Procedure"/>
    <w:basedOn w:val="HeadingBase"/>
    <w:next w:val="Normal"/>
    <w:rsid w:val="00F94DE7"/>
    <w:pPr>
      <w:tabs>
        <w:tab w:val="left" w:pos="0"/>
      </w:tabs>
      <w:spacing w:before="120" w:after="60"/>
    </w:pPr>
    <w:rPr>
      <w:i/>
      <w:color w:val="918585"/>
      <w:sz w:val="22"/>
    </w:rPr>
  </w:style>
  <w:style w:type="paragraph" w:customStyle="1" w:styleId="TableBodyText">
    <w:name w:val="Table Body Text"/>
    <w:basedOn w:val="BodyText"/>
    <w:rsid w:val="00F94DE7"/>
    <w:pPr>
      <w:spacing w:before="60" w:after="60"/>
    </w:pPr>
  </w:style>
  <w:style w:type="paragraph" w:styleId="ListContinue">
    <w:name w:val="List Continue"/>
    <w:basedOn w:val="List"/>
    <w:rsid w:val="00F94DE7"/>
    <w:pPr>
      <w:ind w:firstLine="0"/>
    </w:pPr>
  </w:style>
  <w:style w:type="paragraph" w:customStyle="1" w:styleId="ListNote">
    <w:name w:val="List Note"/>
    <w:basedOn w:val="List"/>
    <w:rsid w:val="00F94DE7"/>
    <w:pPr>
      <w:pBdr>
        <w:top w:val="single" w:sz="6" w:space="2" w:color="918585"/>
        <w:bottom w:val="single" w:sz="6" w:space="2" w:color="918585"/>
      </w:pBdr>
      <w:tabs>
        <w:tab w:val="left" w:pos="1021"/>
      </w:tabs>
      <w:ind w:firstLine="0"/>
    </w:pPr>
  </w:style>
  <w:style w:type="paragraph" w:customStyle="1" w:styleId="Warning">
    <w:name w:val="Warning"/>
    <w:basedOn w:val="BodyText"/>
    <w:rsid w:val="00F94DE7"/>
    <w:pPr>
      <w:shd w:val="clear" w:color="auto" w:fill="D9D9D9"/>
      <w:tabs>
        <w:tab w:val="left" w:pos="992"/>
      </w:tabs>
      <w:ind w:left="119" w:right="119"/>
    </w:pPr>
    <w:rPr>
      <w:sz w:val="20"/>
    </w:rPr>
  </w:style>
  <w:style w:type="paragraph" w:customStyle="1" w:styleId="MarginIcons">
    <w:name w:val="Margin Icons"/>
    <w:basedOn w:val="BodyText"/>
    <w:rsid w:val="00F94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DE7"/>
    <w:rPr>
      <w:rFonts w:ascii="Courier New" w:hAnsi="Courier New"/>
    </w:rPr>
  </w:style>
  <w:style w:type="paragraph" w:customStyle="1" w:styleId="NoteBullet">
    <w:name w:val="Note Bullet"/>
    <w:basedOn w:val="Note"/>
    <w:rsid w:val="00F94DE7"/>
    <w:pPr>
      <w:tabs>
        <w:tab w:val="clear" w:pos="680"/>
      </w:tabs>
      <w:spacing w:before="60" w:after="60"/>
    </w:pPr>
  </w:style>
  <w:style w:type="paragraph" w:customStyle="1" w:styleId="SubHeading2">
    <w:name w:val="SubHeading2"/>
    <w:basedOn w:val="HeadingBase"/>
    <w:rsid w:val="00F94DE7"/>
    <w:pPr>
      <w:spacing w:before="240" w:after="60"/>
    </w:pPr>
    <w:rPr>
      <w:sz w:val="20"/>
    </w:rPr>
  </w:style>
  <w:style w:type="paragraph" w:customStyle="1" w:styleId="SubHeading1">
    <w:name w:val="SubHeading1"/>
    <w:basedOn w:val="HeadingBase"/>
    <w:rsid w:val="00F94DE7"/>
    <w:pPr>
      <w:spacing w:before="240" w:after="60"/>
    </w:pPr>
    <w:rPr>
      <w:color w:val="918585"/>
      <w:sz w:val="22"/>
    </w:rPr>
  </w:style>
  <w:style w:type="paragraph" w:customStyle="1" w:styleId="SideHeading">
    <w:name w:val="Side Heading"/>
    <w:basedOn w:val="HeadingBase"/>
    <w:rsid w:val="00F94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DE7"/>
    <w:pPr>
      <w:numPr>
        <w:numId w:val="10"/>
      </w:numPr>
    </w:pPr>
  </w:style>
  <w:style w:type="paragraph" w:styleId="PlainText">
    <w:name w:val="Plain Text"/>
    <w:basedOn w:val="Normal"/>
    <w:link w:val="PlainTextChar"/>
    <w:rsid w:val="00F94DE7"/>
    <w:rPr>
      <w:sz w:val="20"/>
    </w:rPr>
  </w:style>
  <w:style w:type="character" w:customStyle="1" w:styleId="PlainTextChar">
    <w:name w:val="Plain Text Char"/>
    <w:basedOn w:val="DefaultParagraphFont"/>
    <w:link w:val="PlainText"/>
    <w:rsid w:val="00F94DE7"/>
    <w:rPr>
      <w:rFonts w:ascii="Courier New" w:eastAsia="Times New Roman" w:hAnsi="Courier New" w:cs="Times New Roman"/>
      <w:sz w:val="20"/>
      <w:szCs w:val="20"/>
      <w:lang w:eastAsia="en-US"/>
    </w:rPr>
  </w:style>
  <w:style w:type="character" w:customStyle="1" w:styleId="MenuOption">
    <w:name w:val="Menu Option"/>
    <w:basedOn w:val="DefaultParagraphFont"/>
    <w:rsid w:val="00F94DE7"/>
    <w:rPr>
      <w:b/>
      <w:smallCaps/>
    </w:rPr>
  </w:style>
  <w:style w:type="paragraph" w:customStyle="1" w:styleId="TableListNumber">
    <w:name w:val="Table List Number"/>
    <w:basedOn w:val="ListNumber"/>
    <w:rsid w:val="00F94DE7"/>
    <w:pPr>
      <w:numPr>
        <w:numId w:val="0"/>
      </w:numPr>
    </w:pPr>
  </w:style>
  <w:style w:type="paragraph" w:styleId="TOC4">
    <w:name w:val="toc 4"/>
    <w:basedOn w:val="TOCBase"/>
    <w:next w:val="Normal"/>
    <w:semiHidden/>
    <w:rsid w:val="00F94DE7"/>
    <w:pPr>
      <w:tabs>
        <w:tab w:val="right" w:leader="dot" w:pos="9071"/>
      </w:tabs>
      <w:ind w:left="1701"/>
    </w:pPr>
  </w:style>
  <w:style w:type="paragraph" w:customStyle="1" w:styleId="ListAlpha">
    <w:name w:val="List Alpha"/>
    <w:basedOn w:val="List"/>
    <w:rsid w:val="00F94DE7"/>
    <w:pPr>
      <w:numPr>
        <w:numId w:val="8"/>
      </w:numPr>
    </w:pPr>
  </w:style>
  <w:style w:type="paragraph" w:customStyle="1" w:styleId="ListAlpha2">
    <w:name w:val="List Alpha 2"/>
    <w:basedOn w:val="List2"/>
    <w:rsid w:val="00F94DE7"/>
    <w:pPr>
      <w:numPr>
        <w:numId w:val="7"/>
      </w:numPr>
    </w:pPr>
  </w:style>
  <w:style w:type="paragraph" w:styleId="List2">
    <w:name w:val="List 2"/>
    <w:basedOn w:val="BodyText"/>
    <w:rsid w:val="00F94DE7"/>
    <w:pPr>
      <w:tabs>
        <w:tab w:val="left" w:pos="680"/>
      </w:tabs>
      <w:spacing w:before="60" w:after="60"/>
      <w:ind w:left="680" w:hanging="340"/>
    </w:pPr>
  </w:style>
  <w:style w:type="paragraph" w:styleId="List3">
    <w:name w:val="List 3"/>
    <w:basedOn w:val="BodyText"/>
    <w:rsid w:val="00F94DE7"/>
    <w:pPr>
      <w:tabs>
        <w:tab w:val="left" w:pos="1021"/>
      </w:tabs>
      <w:spacing w:before="60" w:after="60"/>
      <w:ind w:left="1020" w:hanging="340"/>
    </w:pPr>
  </w:style>
  <w:style w:type="paragraph" w:styleId="List4">
    <w:name w:val="List 4"/>
    <w:basedOn w:val="BodyText"/>
    <w:rsid w:val="00F94DE7"/>
    <w:pPr>
      <w:tabs>
        <w:tab w:val="left" w:pos="1361"/>
      </w:tabs>
      <w:spacing w:before="60" w:after="60"/>
      <w:ind w:left="1361" w:hanging="340"/>
    </w:pPr>
  </w:style>
  <w:style w:type="paragraph" w:styleId="List5">
    <w:name w:val="List 5"/>
    <w:basedOn w:val="BodyText"/>
    <w:rsid w:val="00F94DE7"/>
    <w:pPr>
      <w:tabs>
        <w:tab w:val="left" w:pos="1701"/>
      </w:tabs>
      <w:spacing w:before="60" w:after="60"/>
      <w:ind w:left="1701" w:hanging="340"/>
    </w:pPr>
  </w:style>
  <w:style w:type="paragraph" w:styleId="ListBullet3">
    <w:name w:val="List Bullet 3"/>
    <w:basedOn w:val="List3"/>
    <w:rsid w:val="00F94DE7"/>
    <w:pPr>
      <w:numPr>
        <w:numId w:val="13"/>
      </w:numPr>
      <w:tabs>
        <w:tab w:val="clear" w:pos="1021"/>
      </w:tabs>
      <w:ind w:left="1037" w:hanging="357"/>
    </w:pPr>
  </w:style>
  <w:style w:type="paragraph" w:styleId="ListBullet4">
    <w:name w:val="List Bullet 4"/>
    <w:basedOn w:val="List4"/>
    <w:rsid w:val="00F94DE7"/>
    <w:pPr>
      <w:numPr>
        <w:numId w:val="2"/>
      </w:numPr>
      <w:tabs>
        <w:tab w:val="clear" w:pos="1361"/>
      </w:tabs>
    </w:pPr>
  </w:style>
  <w:style w:type="paragraph" w:styleId="ListBullet5">
    <w:name w:val="List Bullet 5"/>
    <w:basedOn w:val="List5"/>
    <w:rsid w:val="00F94DE7"/>
    <w:pPr>
      <w:numPr>
        <w:numId w:val="3"/>
      </w:numPr>
    </w:pPr>
  </w:style>
  <w:style w:type="paragraph" w:styleId="ListContinue2">
    <w:name w:val="List Continue 2"/>
    <w:basedOn w:val="List2"/>
    <w:rsid w:val="00F94DE7"/>
    <w:pPr>
      <w:ind w:firstLine="0"/>
    </w:pPr>
  </w:style>
  <w:style w:type="paragraph" w:styleId="ListContinue3">
    <w:name w:val="List Continue 3"/>
    <w:basedOn w:val="List3"/>
    <w:rsid w:val="00F94DE7"/>
    <w:pPr>
      <w:ind w:left="1021" w:firstLine="0"/>
    </w:pPr>
  </w:style>
  <w:style w:type="paragraph" w:styleId="ListContinue4">
    <w:name w:val="List Continue 4"/>
    <w:basedOn w:val="List4"/>
    <w:rsid w:val="00F94DE7"/>
    <w:pPr>
      <w:ind w:firstLine="0"/>
    </w:pPr>
  </w:style>
  <w:style w:type="paragraph" w:styleId="ListContinue5">
    <w:name w:val="List Continue 5"/>
    <w:basedOn w:val="List5"/>
    <w:rsid w:val="00F94DE7"/>
    <w:pPr>
      <w:ind w:firstLine="0"/>
    </w:pPr>
  </w:style>
  <w:style w:type="paragraph" w:styleId="ListNumber3">
    <w:name w:val="List Number 3"/>
    <w:basedOn w:val="List3"/>
    <w:rsid w:val="00F94DE7"/>
    <w:pPr>
      <w:numPr>
        <w:numId w:val="4"/>
      </w:numPr>
    </w:pPr>
  </w:style>
  <w:style w:type="paragraph" w:styleId="ListNumber4">
    <w:name w:val="List Number 4"/>
    <w:basedOn w:val="List4"/>
    <w:rsid w:val="00F94DE7"/>
    <w:pPr>
      <w:numPr>
        <w:numId w:val="5"/>
      </w:numPr>
    </w:pPr>
  </w:style>
  <w:style w:type="paragraph" w:styleId="ListNumber5">
    <w:name w:val="List Number 5"/>
    <w:basedOn w:val="List5"/>
    <w:rsid w:val="00F94DE7"/>
    <w:pPr>
      <w:numPr>
        <w:numId w:val="6"/>
      </w:numPr>
    </w:pPr>
  </w:style>
  <w:style w:type="paragraph" w:styleId="BlockText">
    <w:name w:val="Block Text"/>
    <w:basedOn w:val="Normal"/>
    <w:rsid w:val="00F94DE7"/>
    <w:pPr>
      <w:spacing w:after="120"/>
      <w:ind w:left="1440" w:right="1440"/>
    </w:pPr>
  </w:style>
  <w:style w:type="character" w:customStyle="1" w:styleId="Subscript">
    <w:name w:val="Subscript"/>
    <w:basedOn w:val="DefaultParagraphFont"/>
    <w:rsid w:val="00F94DE7"/>
    <w:rPr>
      <w:sz w:val="16"/>
      <w:vertAlign w:val="subscript"/>
    </w:rPr>
  </w:style>
  <w:style w:type="character" w:customStyle="1" w:styleId="Superscript">
    <w:name w:val="Superscript"/>
    <w:basedOn w:val="DefaultParagraphFont"/>
    <w:rsid w:val="00F94DE7"/>
    <w:rPr>
      <w:sz w:val="16"/>
      <w:vertAlign w:val="superscript"/>
    </w:rPr>
  </w:style>
  <w:style w:type="character" w:customStyle="1" w:styleId="Symbols">
    <w:name w:val="Symbols"/>
    <w:basedOn w:val="DefaultParagraphFont"/>
    <w:rsid w:val="00F94DE7"/>
    <w:rPr>
      <w:rFonts w:ascii="Symbol" w:hAnsi="Symbol"/>
    </w:rPr>
  </w:style>
  <w:style w:type="character" w:customStyle="1" w:styleId="MenuOptions">
    <w:name w:val="Menu Options"/>
    <w:basedOn w:val="DefaultParagraphFont"/>
    <w:rsid w:val="00F94DE7"/>
    <w:rPr>
      <w:rFonts w:ascii="Arial Narrow" w:hAnsi="Arial Narrow"/>
      <w:smallCaps/>
    </w:rPr>
  </w:style>
  <w:style w:type="character" w:customStyle="1" w:styleId="Buttons">
    <w:name w:val="Buttons"/>
    <w:basedOn w:val="DefaultParagraphFont"/>
    <w:rsid w:val="00F94DE7"/>
    <w:rPr>
      <w:b/>
    </w:rPr>
  </w:style>
  <w:style w:type="character" w:customStyle="1" w:styleId="Underlined">
    <w:name w:val="Underlined"/>
    <w:basedOn w:val="DefaultParagraphFont"/>
    <w:rsid w:val="00F94DE7"/>
    <w:rPr>
      <w:u w:val="single"/>
    </w:rPr>
  </w:style>
  <w:style w:type="paragraph" w:customStyle="1" w:styleId="TableBodyTextRight">
    <w:name w:val="Table Body Text Right"/>
    <w:basedOn w:val="TableBodyText"/>
    <w:rsid w:val="00F94DE7"/>
    <w:pPr>
      <w:widowControl w:val="0"/>
      <w:autoSpaceDE w:val="0"/>
      <w:autoSpaceDN w:val="0"/>
      <w:adjustRightInd w:val="0"/>
      <w:jc w:val="right"/>
    </w:pPr>
    <w:rPr>
      <w:rFonts w:cs="Arial"/>
      <w:szCs w:val="18"/>
    </w:rPr>
  </w:style>
  <w:style w:type="paragraph" w:customStyle="1" w:styleId="CopyrightText">
    <w:name w:val="Copyright Text"/>
    <w:basedOn w:val="BodyText"/>
    <w:rsid w:val="00F94DE7"/>
    <w:rPr>
      <w:sz w:val="18"/>
    </w:rPr>
  </w:style>
  <w:style w:type="paragraph" w:customStyle="1" w:styleId="BodySmallRight">
    <w:name w:val="Body Small Right"/>
    <w:basedOn w:val="BodyTextRight"/>
    <w:rsid w:val="00F94DE7"/>
    <w:rPr>
      <w:sz w:val="18"/>
      <w:szCs w:val="18"/>
    </w:rPr>
  </w:style>
  <w:style w:type="paragraph" w:customStyle="1" w:styleId="MarginEdition">
    <w:name w:val="Margin Edition"/>
    <w:basedOn w:val="MarginNote"/>
    <w:rsid w:val="00F94DE7"/>
    <w:pPr>
      <w:spacing w:before="0" w:after="0"/>
    </w:pPr>
    <w:rPr>
      <w:rFonts w:ascii="Times New Roman" w:hAnsi="Times New Roman"/>
      <w:color w:val="999999"/>
    </w:rPr>
  </w:style>
  <w:style w:type="paragraph" w:customStyle="1" w:styleId="Spacer">
    <w:name w:val="Spacer"/>
    <w:basedOn w:val="Normal"/>
    <w:rsid w:val="00F94DE7"/>
    <w:rPr>
      <w:sz w:val="2"/>
      <w:szCs w:val="2"/>
    </w:rPr>
  </w:style>
  <w:style w:type="character" w:customStyle="1" w:styleId="Small">
    <w:name w:val="Small"/>
    <w:basedOn w:val="DefaultParagraphFont"/>
    <w:rsid w:val="00F94DE7"/>
    <w:rPr>
      <w:sz w:val="16"/>
    </w:rPr>
  </w:style>
  <w:style w:type="paragraph" w:customStyle="1" w:styleId="WideTable">
    <w:name w:val="Wide Table"/>
    <w:basedOn w:val="Normal"/>
    <w:rsid w:val="00F94DE7"/>
    <w:pPr>
      <w:ind w:left="-1418"/>
    </w:pPr>
    <w:rPr>
      <w:sz w:val="2"/>
      <w:szCs w:val="2"/>
    </w:rPr>
  </w:style>
  <w:style w:type="character" w:styleId="PageNumber">
    <w:name w:val="page number"/>
    <w:basedOn w:val="DefaultParagraphFont"/>
    <w:rsid w:val="00F94DE7"/>
  </w:style>
  <w:style w:type="paragraph" w:styleId="Quote">
    <w:name w:val="Quote"/>
    <w:basedOn w:val="Heading1"/>
    <w:link w:val="QuoteChar"/>
    <w:qFormat/>
    <w:rsid w:val="00F94DE7"/>
    <w:rPr>
      <w:b w:val="0"/>
      <w:sz w:val="72"/>
      <w:szCs w:val="72"/>
      <w:lang w:val="en-NZ"/>
    </w:rPr>
  </w:style>
  <w:style w:type="character" w:customStyle="1" w:styleId="QuoteChar">
    <w:name w:val="Quote Char"/>
    <w:basedOn w:val="DefaultParagraphFont"/>
    <w:link w:val="Quote"/>
    <w:rsid w:val="00F94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DE7"/>
    <w:pPr>
      <w:pageBreakBefore/>
    </w:pPr>
  </w:style>
  <w:style w:type="paragraph" w:customStyle="1" w:styleId="Border">
    <w:name w:val="Border"/>
    <w:basedOn w:val="Normal"/>
    <w:qFormat/>
    <w:rsid w:val="00F94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DE7"/>
    <w:rPr>
      <w:b/>
      <w:bCs/>
      <w:i/>
      <w:iCs/>
      <w:color w:val="auto"/>
    </w:rPr>
  </w:style>
  <w:style w:type="paragraph" w:styleId="IntenseQuote">
    <w:name w:val="Intense Quote"/>
    <w:basedOn w:val="Normal"/>
    <w:next w:val="Normal"/>
    <w:link w:val="IntenseQuoteChar"/>
    <w:uiPriority w:val="30"/>
    <w:qFormat/>
    <w:rsid w:val="00F94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DE7"/>
    <w:rPr>
      <w:smallCaps/>
      <w:color w:val="auto"/>
      <w:u w:val="single"/>
    </w:rPr>
  </w:style>
  <w:style w:type="character" w:styleId="IntenseReference">
    <w:name w:val="Intense Reference"/>
    <w:basedOn w:val="DefaultParagraphFont"/>
    <w:uiPriority w:val="32"/>
    <w:qFormat/>
    <w:rsid w:val="00F94DE7"/>
    <w:rPr>
      <w:b/>
      <w:bCs/>
      <w:smallCaps/>
      <w:color w:val="auto"/>
      <w:spacing w:val="5"/>
      <w:u w:val="single"/>
    </w:rPr>
  </w:style>
  <w:style w:type="paragraph" w:customStyle="1" w:styleId="2ColumnHeading">
    <w:name w:val="2Column Heading"/>
    <w:basedOn w:val="BodyText"/>
    <w:qFormat/>
    <w:rsid w:val="00F94DE7"/>
    <w:pPr>
      <w:spacing w:after="60"/>
      <w:ind w:left="-2268"/>
    </w:pPr>
    <w:rPr>
      <w:b/>
    </w:rPr>
  </w:style>
  <w:style w:type="paragraph" w:customStyle="1" w:styleId="Heading1TOC">
    <w:name w:val="Heading1 TOC"/>
    <w:basedOn w:val="Normal"/>
    <w:qFormat/>
    <w:rsid w:val="00F94DE7"/>
    <w:pPr>
      <w:spacing w:before="240" w:after="120"/>
    </w:pPr>
    <w:rPr>
      <w:rFonts w:ascii="Times New Roman" w:hAnsi="Times New Roman"/>
      <w:b/>
      <w:sz w:val="32"/>
    </w:rPr>
  </w:style>
  <w:style w:type="paragraph" w:customStyle="1" w:styleId="Heading2TOC">
    <w:name w:val="Heading2 TOC"/>
    <w:basedOn w:val="Normal"/>
    <w:qFormat/>
    <w:rsid w:val="00F94DE7"/>
    <w:pPr>
      <w:spacing w:before="240" w:after="60"/>
    </w:pPr>
    <w:rPr>
      <w:rFonts w:ascii="Times New Roman" w:hAnsi="Times New Roman"/>
      <w:b/>
      <w:sz w:val="28"/>
    </w:rPr>
  </w:style>
  <w:style w:type="character" w:customStyle="1" w:styleId="Underline">
    <w:name w:val="Underline"/>
    <w:basedOn w:val="DefaultParagraphFont"/>
    <w:qFormat/>
    <w:rsid w:val="00F94DE7"/>
    <w:rPr>
      <w:u w:val="single"/>
    </w:rPr>
  </w:style>
  <w:style w:type="character" w:customStyle="1" w:styleId="BoldandItalics">
    <w:name w:val="Bold and Italics"/>
    <w:qFormat/>
    <w:rsid w:val="00F94DE7"/>
    <w:rPr>
      <w:b/>
      <w:i/>
      <w:u w:val="none"/>
    </w:rPr>
  </w:style>
  <w:style w:type="paragraph" w:styleId="BalloonText">
    <w:name w:val="Balloon Text"/>
    <w:basedOn w:val="Normal"/>
    <w:link w:val="BalloonTextChar"/>
    <w:rsid w:val="00F94DE7"/>
    <w:rPr>
      <w:rFonts w:ascii="Tahoma" w:hAnsi="Tahoma" w:cs="Tahoma"/>
      <w:sz w:val="16"/>
      <w:szCs w:val="16"/>
    </w:rPr>
  </w:style>
  <w:style w:type="character" w:customStyle="1" w:styleId="BalloonTextChar">
    <w:name w:val="Balloon Text Char"/>
    <w:basedOn w:val="DefaultParagraphFont"/>
    <w:link w:val="BalloonText"/>
    <w:rsid w:val="00F94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DE7"/>
    <w:rPr>
      <w:b/>
      <w:color w:val="660033"/>
      <w:spacing w:val="0"/>
    </w:rPr>
  </w:style>
  <w:style w:type="paragraph" w:customStyle="1" w:styleId="Nameditemlist">
    <w:name w:val="Named item list"/>
    <w:basedOn w:val="BodyText"/>
    <w:qFormat/>
    <w:rsid w:val="00F94DE7"/>
    <w:pPr>
      <w:tabs>
        <w:tab w:val="left" w:pos="2835"/>
      </w:tabs>
      <w:ind w:left="2835" w:hanging="2835"/>
    </w:pPr>
  </w:style>
  <w:style w:type="paragraph" w:customStyle="1" w:styleId="BodyTextnopadding">
    <w:name w:val="Body Text no padding"/>
    <w:basedOn w:val="BodyText"/>
    <w:qFormat/>
    <w:rsid w:val="00F94DE7"/>
    <w:pPr>
      <w:spacing w:before="0" w:after="0"/>
    </w:pPr>
  </w:style>
  <w:style w:type="paragraph" w:customStyle="1" w:styleId="BodyTextBold">
    <w:name w:val="Body Text Bold"/>
    <w:basedOn w:val="BodyText"/>
    <w:qFormat/>
    <w:rsid w:val="00F94DE7"/>
    <w:rPr>
      <w:b/>
    </w:rPr>
  </w:style>
  <w:style w:type="character" w:styleId="Hyperlink">
    <w:name w:val="Hyperlink"/>
    <w:basedOn w:val="DefaultParagraphFont"/>
    <w:uiPriority w:val="99"/>
    <w:unhideWhenUsed/>
    <w:rsid w:val="00C20D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6254</Characters>
  <Application>Microsoft Office Word</Application>
  <DocSecurity>0</DocSecurity>
  <Lines>297</Lines>
  <Paragraphs>127</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CPCPRE3000 Lift and place prefabricated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2024-12-24T01:26:00Z</dcterms:created>
  <dcterms:modified xsi:type="dcterms:W3CDTF">2024-12-24T01:26:00Z</dcterms:modified>
</cp:coreProperties>
</file>