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48D" w:rsidP="0084248D">
      <w:pPr>
        <w:pStyle w:val="Title"/>
      </w:pPr>
      <w:r>
        <w:fldChar w:fldCharType="begin"/>
      </w:r>
      <w:r>
        <w:instrText xml:space="preserve"> TITLE   \* MERGEFORMAT </w:instrText>
      </w:r>
      <w:r>
        <w:fldChar w:fldCharType="separate"/>
      </w:r>
      <w:r>
        <w:t>CPCPRE3000 Lift and place prefabricated concrete elements</w:t>
      </w:r>
      <w:r>
        <w:fldChar w:fldCharType="end"/>
      </w:r>
    </w:p>
    <w:p w:rsidR="0084248D" w:rsidP="0084248D">
      <w:pPr>
        <w:pStyle w:val="Version"/>
        <w:sectPr w:rsidSect="00A97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A94" w:rsidP="00A97A94">
      <w:pPr>
        <w:pStyle w:val="SuperHeading"/>
      </w:pPr>
      <w:r w:rsidRPr="00A97A94">
        <w:t>CPCPRE3000 Lift and place prefabricated concrete elements</w:t>
      </w:r>
    </w:p>
    <w:p w:rsidR="00000000" w:rsidRPr="00A97A94" w:rsidP="00A97A94">
      <w:pPr>
        <w:pStyle w:val="Heading1"/>
      </w:pPr>
      <w:bookmarkStart w:id="1" w:name="O_1260722"/>
      <w:bookmarkEnd w:id="1"/>
      <w:r w:rsidRPr="00A97A94">
        <w:t>Modification History</w:t>
      </w:r>
    </w:p>
    <w:tbl>
      <w:tblPr>
        <w:tblW w:w="0" w:type="auto"/>
        <w:tblLayout w:type="fixed"/>
        <w:tblCellMar>
          <w:left w:w="62" w:type="dxa"/>
          <w:right w:w="62" w:type="dxa"/>
        </w:tblCellMar>
        <w:tblLook w:val="0000"/>
      </w:tblPr>
      <w:tblGrid>
        <w:gridCol w:w="1066"/>
        <w:gridCol w:w="7944"/>
      </w:tblGrid>
      <w:tr w:rsidTr="00A97A9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Release 1</w:t>
            </w:r>
          </w:p>
        </w:tc>
        <w:tc>
          <w:tcPr>
            <w:tcW w:w="7944" w:type="dxa"/>
            <w:tcBorders>
              <w:top w:val="nil"/>
              <w:left w:val="nil"/>
              <w:bottom w:val="nil"/>
              <w:right w:val="nil"/>
            </w:tcBorders>
            <w:tcMar>
              <w:top w:w="0" w:type="dxa"/>
              <w:left w:w="62" w:type="dxa"/>
              <w:bottom w:w="0" w:type="dxa"/>
              <w:right w:w="62" w:type="dxa"/>
            </w:tcMar>
          </w:tcPr>
          <w:p w:rsidR="00000000" w:rsidRPr="00A97A94" w:rsidP="00A97A94">
            <w:pPr>
              <w:pStyle w:val="BodyText"/>
            </w:pPr>
            <w:r w:rsidRPr="00A97A94">
              <w:t>This version first released with CPC Construction, Plumbing and Services Training Package Release 9.0.</w:t>
            </w:r>
          </w:p>
          <w:p w:rsidR="00000000" w:rsidRPr="00A97A94" w:rsidP="00A97A94">
            <w:pPr>
              <w:pStyle w:val="BodyText"/>
            </w:pPr>
            <w:r w:rsidRPr="00A97A94">
              <w:t>Newly created unit.</w:t>
            </w:r>
          </w:p>
        </w:tc>
      </w:tr>
    </w:tbl>
    <w:p w:rsidR="00000000" w:rsidRPr="00A97A94" w:rsidP="00A97A94">
      <w:pPr>
        <w:pStyle w:val="BodyText"/>
      </w:pPr>
    </w:p>
    <w:p w:rsidR="00000000" w:rsidRPr="00A97A94" w:rsidP="00A97A94">
      <w:pPr>
        <w:pStyle w:val="AllowPageBreak"/>
      </w:pPr>
    </w:p>
    <w:p w:rsidR="00000000" w:rsidRPr="00A97A94" w:rsidP="00A97A94">
      <w:pPr>
        <w:pStyle w:val="Heading1"/>
      </w:pPr>
      <w:bookmarkStart w:id="2" w:name="O_1260728"/>
      <w:bookmarkEnd w:id="2"/>
      <w:r w:rsidRPr="00A97A94">
        <w:t>Application</w:t>
      </w:r>
    </w:p>
    <w:p w:rsidR="00000000" w:rsidRPr="00A97A94" w:rsidP="0084248D">
      <w:pPr>
        <w:pStyle w:val="BodyText"/>
      </w:pPr>
      <w:r w:rsidRPr="00A97A94">
        <w:t>This unit of competency specifies the skills and k</w:t>
      </w:r>
      <w:r w:rsidRPr="00A97A94">
        <w:t xml:space="preserve">nowledge required to lift and place prefabricated concrete elements. </w:t>
      </w:r>
    </w:p>
    <w:p w:rsidR="00000000" w:rsidRPr="00A97A94" w:rsidP="0084248D">
      <w:pPr>
        <w:pStyle w:val="BodyText"/>
      </w:pPr>
      <w:r w:rsidRPr="00A97A94">
        <w:t>It requires using appropriate tools, equipment, materials and working in a team environment to lift and place concrete elements.</w:t>
      </w:r>
    </w:p>
    <w:p w:rsidR="00000000" w:rsidRPr="00A97A94" w:rsidP="0084248D">
      <w:pPr>
        <w:pStyle w:val="BodyText"/>
      </w:pPr>
      <w:r w:rsidRPr="00A97A94">
        <w:t>A person who has achieved this unit of competency would b</w:t>
      </w:r>
      <w:r w:rsidRPr="00A97A94">
        <w:t>e expected to be able to correctly interpret and execute erection design documentation, including drawings; follow safety regulations and relevant specifications; and lead a team.</w:t>
      </w:r>
    </w:p>
    <w:p w:rsidR="00000000" w:rsidRPr="00A97A94" w:rsidP="0084248D">
      <w:pPr>
        <w:pStyle w:val="BodyText"/>
      </w:pPr>
      <w:r w:rsidRPr="00A97A94">
        <w:t>Completion of the general construction induction training program, specified</w:t>
      </w:r>
      <w:r w:rsidRPr="00A97A94">
        <w:t xml:space="preserve"> in the Safe Work Australia model Code of Practice: Construction Work, is required by anyone carrying out construction work. Achievement of CPCWHS1001 Prepare to work safely in the construction industry meets this requirement.</w:t>
      </w:r>
    </w:p>
    <w:p w:rsidR="00000000" w:rsidRPr="00A97A94" w:rsidP="0084248D">
      <w:pPr>
        <w:pStyle w:val="BodyText"/>
      </w:pPr>
      <w:r w:rsidRPr="00A97A94">
        <w:t>Licensing, legislative, regul</w:t>
      </w:r>
      <w:r w:rsidRPr="00A97A94">
        <w:t>atory or certification requirements apply to this unit of competency in some states and territories. For further information, check with the relevant regulatory authority.</w:t>
      </w:r>
    </w:p>
    <w:p w:rsidR="00000000" w:rsidRPr="00A97A94" w:rsidP="00A97A94">
      <w:pPr>
        <w:pStyle w:val="Heading1"/>
      </w:pPr>
      <w:bookmarkStart w:id="3" w:name="O_1260727"/>
      <w:bookmarkEnd w:id="3"/>
      <w:r w:rsidRPr="00A97A94">
        <w:t>Pre-requisite Unit</w:t>
      </w:r>
    </w:p>
    <w:p w:rsidR="00000000" w:rsidRPr="00A97A94" w:rsidP="00A97A94">
      <w:pPr>
        <w:pStyle w:val="ListBullet"/>
      </w:pPr>
      <w:r w:rsidRPr="00A97A94">
        <w:t>CPCCLRG3002 Licence to perform rigging interm</w:t>
      </w:r>
      <w:r w:rsidRPr="00A97A94">
        <w:t xml:space="preserve">ediate level </w:t>
      </w:r>
    </w:p>
    <w:p w:rsidR="00000000" w:rsidRPr="00A97A94" w:rsidP="00A97A94">
      <w:pPr>
        <w:pStyle w:val="ListBullet"/>
      </w:pPr>
      <w:r w:rsidRPr="00A97A94">
        <w:t>CPCCCM2012 Work safely at heights</w:t>
      </w:r>
    </w:p>
    <w:p w:rsidR="00000000" w:rsidRPr="00A97A94" w:rsidP="00A97A94">
      <w:pPr>
        <w:pStyle w:val="AllowPageBreak"/>
      </w:pPr>
    </w:p>
    <w:p w:rsidR="00000000" w:rsidRPr="00A97A94" w:rsidP="00A97A94">
      <w:pPr>
        <w:pStyle w:val="Heading1"/>
      </w:pPr>
      <w:bookmarkStart w:id="4" w:name="O_1260726"/>
      <w:bookmarkEnd w:id="4"/>
      <w:r w:rsidRPr="00A97A94">
        <w:t>Unit Sector</w:t>
      </w:r>
    </w:p>
    <w:p w:rsidR="00000000" w:rsidRPr="00A97A94" w:rsidP="0084248D">
      <w:pPr>
        <w:pStyle w:val="BodyText"/>
      </w:pPr>
      <w:r w:rsidRPr="00A97A94">
        <w:t>Prefabricated concrete</w:t>
      </w:r>
    </w:p>
    <w:p w:rsidR="00000000" w:rsidRPr="00A97A94" w:rsidP="00A97A94">
      <w:pPr>
        <w:pStyle w:val="Heading1"/>
      </w:pPr>
      <w:bookmarkStart w:id="5" w:name="O_1260725"/>
      <w:bookmarkEnd w:id="5"/>
      <w:r w:rsidRPr="00A97A94">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A97A9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Performance criteria describe what needs to be done to demonstrate achievement of the element.</w:t>
            </w:r>
          </w:p>
        </w:tc>
      </w:tr>
      <w:tr w:rsidTr="00A97A94">
        <w:tblPrEx>
          <w:tblW w:w="0" w:type="auto"/>
          <w:tblLayout w:type="fixed"/>
          <w:tblCellMar>
            <w:left w:w="62" w:type="dxa"/>
            <w:right w:w="62" w:type="dxa"/>
          </w:tblCellMar>
          <w:tblLook w:val="0000"/>
        </w:tblPrEx>
        <w:tc>
          <w:tcPr>
            <w:tcW w:w="4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p>
        </w:tc>
      </w:tr>
      <w:tr w:rsidTr="00A97A94">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w:t>
            </w:r>
          </w:p>
        </w:tc>
        <w:tc>
          <w:tcPr>
            <w:tcW w:w="221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Determine the requirements to lift, place and unload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1.1</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Determine the requirements to lif</w:t>
            </w:r>
            <w:r w:rsidRPr="00A97A94">
              <w:t xml:space="preserve">t and place prefabricated concrete elements from the erection design documentation and check that they are in accordance with AS 3850 Prefabricated concrete elements.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1.2</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Review and clarify prefabricated concrete installation task.</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1.3</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Review work health and safety (WHS) requirements for the task in accordance with safety plans and policies.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1.4</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Conduct working at heights risk assessment and follow appropriate WHS processes.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1.5</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Identify safety signage and barricade requirements.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1.6</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Review environmental requirements for the task in accordance with environmental plans and legislative requirements.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1.7</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Assess and apply environmental factors, including ground conditions, road permits, and public and vehicle access to carry out </w:t>
            </w:r>
            <w:r w:rsidRPr="00A97A94">
              <w:t xml:space="preserve">task.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1.8</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Hook-up concrete elements prior to unchaining from the supporting frames/trailer, ensuring other panels on the trailer are still separately restrained.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1.9</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Determine plant, tools, rigging equipment and support requirements to carry out task.</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1.10</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Determine the location of prefabricated concrete element installation from set-out drawings.</w:t>
            </w:r>
          </w:p>
        </w:tc>
      </w:tr>
      <w:tr w:rsidTr="00A97A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7A94">
            <w:pPr>
              <w:pStyle w:val="BodyText"/>
              <w:rPr>
                <w:lang w:val="en-NZ"/>
              </w:rPr>
            </w:pPr>
          </w:p>
        </w:tc>
      </w:tr>
      <w:tr w:rsidTr="00A97A94">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w:t>
            </w:r>
          </w:p>
        </w:tc>
        <w:tc>
          <w:tcPr>
            <w:tcW w:w="221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Comply with prefabricated concrete element erection requirements.</w:t>
            </w: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2.1</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Erect identified safety signage and barricade requirements, and fit personal protective equipment (PPE).</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2.2</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Obtain plant, tools, equipment, check for serviceability and rectify or re</w:t>
            </w:r>
            <w:r w:rsidRPr="00A97A94">
              <w:t xml:space="preserve">port any faults.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2.3</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all lifting equipment components to ensure that they are compatible and meet all of the requirements of AS 3850 Prefabricated concrete elements and are correctly marked with working load limit (WLL).</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2.4</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Check lifting and rigging equipment to ensure that they match the specifications set out in the erection documentation and manufacturer specifications.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2.5</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lifting and rigging equipment to ensure they are serviceable and if not, quarantine, repor</w:t>
            </w:r>
            <w:r w:rsidRPr="00A97A94">
              <w:t>t faulty items and replace with new equipment.</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2.6</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that the erection documentation and erection drawings or concrete element shop drawings, provide rigging configurations and all required information as set out in AS 3850 Prefabricated concrete el</w:t>
            </w:r>
            <w:r w:rsidRPr="00A97A94">
              <w:t>ements.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2.7</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Ensure that erection documentation is on-site, available to the erectors and the requirements are fully understood.</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2.8</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that the brace fixings installers have been trained and are experienc</w:t>
            </w:r>
            <w:r w:rsidRPr="00A97A94">
              <w:t>ed in the installation of the specified fixing in accordance with the requirements of AS 3850 Prefabricated concrete elements.</w:t>
            </w:r>
          </w:p>
        </w:tc>
      </w:tr>
      <w:tr w:rsidTr="00A97A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7A94">
            <w:pPr>
              <w:pStyle w:val="BodyText"/>
              <w:rPr>
                <w:lang w:val="en-NZ"/>
              </w:rPr>
            </w:pPr>
          </w:p>
        </w:tc>
      </w:tr>
      <w:tr w:rsidTr="00A97A94">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w:t>
            </w:r>
          </w:p>
        </w:tc>
        <w:tc>
          <w:tcPr>
            <w:tcW w:w="221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Prepare to lift, place and support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3.1</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Review erection plan and determine job sequencin</w:t>
            </w:r>
            <w:r w:rsidRPr="00A97A94">
              <w:t>g and team roles, including supervision and confirm with builder and crane operator that the crane set-up is clearly detailed in the erection documentation.</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3.2</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Confirm load mass and load distribution of element to be lifted.</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3.3</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Assemble the rigging and confirm that the rigging configuration is in accordance with the rigging diagrams set out in the erection design documentation.</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3.4</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that the position of the temporary supports (braces and/or props) are in accordance with t</w:t>
            </w:r>
            <w:r w:rsidRPr="00A97A94">
              <w:t>he erection design documentation.</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3.5</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Position levelling shims/packers to the nominated reduced level (RL) in accordance with the erection design documentation.</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3.6</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that any temporary supports and/or strong backs attached to the elements have been secured in accordance with the erection design documentation and safety standards.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3.7</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Attach the compatible lifting devices to the lifting inserts embedded in the </w:t>
            </w:r>
            <w:r w:rsidRPr="00A97A94">
              <w:t>prefabricated concrete element in accordance with the manufacturer specifications.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3.8</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that the included angle of the rigging is in accordance with the acceptable limits as set out in AS 3850 Prefabricated concrete elements.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3.9</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Ensure all personnel are clear of the drop zone.</w:t>
            </w:r>
          </w:p>
        </w:tc>
      </w:tr>
      <w:tr w:rsidTr="00A97A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7A94">
            <w:pPr>
              <w:pStyle w:val="BodyText"/>
              <w:rPr>
                <w:lang w:val="en-NZ"/>
              </w:rPr>
            </w:pPr>
          </w:p>
        </w:tc>
      </w:tr>
      <w:tr w:rsidTr="00A97A94">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w:t>
            </w:r>
          </w:p>
        </w:tc>
        <w:tc>
          <w:tcPr>
            <w:tcW w:w="221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Conduct lifting and placing of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4.1</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Lift and place the load with the crane in accordance with job safety and environmental analysis (JSEA) and safe work method statem</w:t>
            </w:r>
            <w:r w:rsidRPr="00A97A94">
              <w:t>ent (SWMS).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4.2</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Coordinate with the crane driver to maintain stability of load during lifting, transportation and positioning.</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4.3</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Direct load to landing position in accordance with the erection design documentation and specifications.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4.4</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Check to ensure that the temporary supports are placed and fixed in accordance with the erection design documentation and safety standards.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4.5</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 xml:space="preserve">Check that the installed component is both level and plumb and in accordance with the set-out drawings and erection design documentation. </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4.6</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When the load has been fully secured and supported by the temporary supports, release the load from the crane,</w:t>
            </w:r>
            <w:r w:rsidRPr="00A97A94">
              <w:t xml:space="preserve"> safely access lifting points and disconnect the lifting devices attached to the prefabricated concrete elements.</w:t>
            </w:r>
          </w:p>
        </w:tc>
      </w:tr>
      <w:tr w:rsidTr="00A97A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7A94">
            <w:pPr>
              <w:pStyle w:val="BodyText"/>
              <w:rPr>
                <w:lang w:val="en-NZ"/>
              </w:rPr>
            </w:pPr>
          </w:p>
        </w:tc>
      </w:tr>
      <w:tr w:rsidTr="00A97A94">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5.</w:t>
            </w:r>
          </w:p>
        </w:tc>
        <w:tc>
          <w:tcPr>
            <w:tcW w:w="2210" w:type="dxa"/>
            <w:vMerge w:val="restart"/>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Clean up.</w:t>
            </w: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5.1</w:t>
            </w:r>
          </w:p>
        </w:tc>
        <w:tc>
          <w:tcPr>
            <w:tcW w:w="5659"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Clear work area and dispose of, reuse or recycle materials in accordance with regulatory and workplace requirements.</w:t>
            </w:r>
          </w:p>
        </w:tc>
      </w:tr>
      <w:tr w:rsidTr="00A97A94">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5.2</w:t>
            </w:r>
          </w:p>
        </w:tc>
        <w:tc>
          <w:tcPr>
            <w:tcW w:w="5659" w:type="dxa"/>
            <w:tcBorders>
              <w:top w:val="nil"/>
              <w:left w:val="nil"/>
              <w:bottom w:val="nil"/>
              <w:right w:val="nil"/>
            </w:tcBorders>
            <w:tcMar>
              <w:top w:w="0" w:type="dxa"/>
              <w:left w:w="62" w:type="dxa"/>
              <w:bottom w:w="0" w:type="dxa"/>
              <w:right w:w="62" w:type="dxa"/>
            </w:tcMar>
          </w:tcPr>
          <w:p w:rsidR="00000000" w:rsidRPr="00A97A94" w:rsidP="00A97A94">
            <w:pPr>
              <w:pStyle w:val="BodyText"/>
            </w:pPr>
            <w:r w:rsidRPr="00A97A94">
              <w:t>Clean, check, maintain and store tools and equipment in accordance with manufacturer and workplace requirements.</w:t>
            </w:r>
          </w:p>
        </w:tc>
      </w:tr>
    </w:tbl>
    <w:p w:rsidR="00000000" w:rsidRPr="00A97A94" w:rsidP="00A97A94">
      <w:pPr>
        <w:pStyle w:val="BodyText"/>
      </w:pPr>
    </w:p>
    <w:p w:rsidR="00000000" w:rsidRPr="00A97A94" w:rsidP="00A97A94">
      <w:pPr>
        <w:pStyle w:val="AllowPageBreak"/>
      </w:pPr>
    </w:p>
    <w:p w:rsidR="00000000" w:rsidRPr="00A97A94" w:rsidP="00A97A94">
      <w:pPr>
        <w:pStyle w:val="Heading1"/>
      </w:pPr>
      <w:bookmarkStart w:id="6" w:name="O_1260724"/>
      <w:bookmarkEnd w:id="6"/>
      <w:r w:rsidRPr="00A97A94">
        <w:t>Foundation Skills</w:t>
      </w:r>
    </w:p>
    <w:p w:rsidR="00000000" w:rsidRPr="00A97A94" w:rsidP="0084248D">
      <w:pPr>
        <w:pStyle w:val="BodyText"/>
      </w:pPr>
      <w:r w:rsidRPr="00A97A94">
        <w:t xml:space="preserve">Foundation skills essential to performance are explicit in the performance criteria of this unit of competency. </w:t>
      </w:r>
    </w:p>
    <w:p w:rsidR="00000000" w:rsidRPr="00A97A94" w:rsidP="00A97A94">
      <w:pPr>
        <w:pStyle w:val="Heading1"/>
      </w:pPr>
      <w:bookmarkStart w:id="7" w:name="O_1260723"/>
      <w:bookmarkEnd w:id="7"/>
      <w:r w:rsidRPr="00A97A94">
        <w:t>Unit Mapping Information</w:t>
      </w:r>
    </w:p>
    <w:p w:rsidR="00000000" w:rsidRPr="00A97A94" w:rsidP="0084248D">
      <w:pPr>
        <w:pStyle w:val="BodyText"/>
      </w:pPr>
      <w:r w:rsidRPr="00A97A94">
        <w:t>No equivalent unit.</w:t>
      </w:r>
    </w:p>
    <w:p w:rsidR="00000000" w:rsidRPr="00A97A94" w:rsidP="00A97A94">
      <w:pPr>
        <w:pStyle w:val="Heading1"/>
      </w:pPr>
      <w:bookmarkStart w:id="8" w:name="O_1260716"/>
      <w:bookmarkEnd w:id="8"/>
      <w:r w:rsidRPr="00A97A94">
        <w:t>Links</w:t>
      </w:r>
    </w:p>
    <w:p w:rsidR="00000000" w:rsidRPr="00A97A94" w:rsidP="0084248D">
      <w:pPr>
        <w:pStyle w:val="BodyText"/>
      </w:pPr>
      <w:r w:rsidRPr="00A97A94">
        <w:t>Companion volumes to this training package are availab</w:t>
      </w:r>
      <w:r w:rsidRPr="00A97A94">
        <w:t xml:space="preserve">le at the VETNet website - </w:t>
      </w:r>
      <w:r>
        <w:fldChar w:fldCharType="begin"/>
      </w:r>
      <w:r>
        <w:instrText xml:space="preserve"> HYPERLINK "https://vetnet.gov.au/Pages/TrainingDocs.aspx?q=7e15fa6a-68b8-4097-b099-030a5569b1ad" </w:instrText>
      </w:r>
      <w:r>
        <w:fldChar w:fldCharType="separate"/>
      </w:r>
      <w:r w:rsidRPr="00FB2B99">
        <w:rPr>
          <w:rStyle w:val="Hyperlink"/>
        </w:rPr>
        <w:t>https://vetnet.gov.au/Pages/TrainingDocs.aspx?q=7e15fa6a-68b8-4097-b099-030a5569b1ad</w:t>
      </w:r>
      <w:r>
        <w:fldChar w:fldCharType="end"/>
      </w:r>
    </w:p>
    <w:p w:rsidR="00000000" w:rsidRPr="00A97A94" w:rsidP="0084248D">
      <w:pPr>
        <w:pStyle w:val="BodyText"/>
        <w:sectPr w:rsidSect="00A97A94">
          <w:headerReference w:type="default" r:id="rId10"/>
          <w:footerReference w:type="default" r:id="rId11"/>
          <w:pgSz w:w="11908" w:h="16833"/>
          <w:pgMar w:top="1702" w:right="1418" w:bottom="1702" w:left="1418" w:header="992" w:footer="992" w:gutter="0"/>
          <w:cols w:space="720"/>
          <w:noEndnote/>
          <w:docGrid w:linePitch="299"/>
        </w:sectPr>
      </w:pPr>
    </w:p>
    <w:p w:rsidR="00000000" w:rsidRPr="00A97A94" w:rsidP="00A97A94">
      <w:pPr>
        <w:pStyle w:val="SuperHeading"/>
      </w:pPr>
      <w:r w:rsidRPr="00A97A94">
        <w:t>Assessment Requirements for CPCPRE3000 Lift and place prefabricated concrete elements</w:t>
      </w:r>
    </w:p>
    <w:p w:rsidR="00000000" w:rsidRPr="00A97A94" w:rsidP="00A97A94">
      <w:pPr>
        <w:pStyle w:val="Heading1"/>
      </w:pPr>
      <w:bookmarkStart w:id="9" w:name="O_1260718"/>
      <w:bookmarkEnd w:id="9"/>
      <w:r w:rsidRPr="00A97A94">
        <w:t>Modification History</w:t>
      </w:r>
    </w:p>
    <w:tbl>
      <w:tblPr>
        <w:tblW w:w="0" w:type="auto"/>
        <w:tblLayout w:type="fixed"/>
        <w:tblCellMar>
          <w:left w:w="62" w:type="dxa"/>
          <w:right w:w="62" w:type="dxa"/>
        </w:tblCellMar>
        <w:tblLook w:val="0000"/>
      </w:tblPr>
      <w:tblGrid>
        <w:gridCol w:w="1066"/>
        <w:gridCol w:w="7944"/>
      </w:tblGrid>
      <w:tr w:rsidTr="00A97A9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97A94">
            <w:pPr>
              <w:pStyle w:val="BodyText"/>
              <w:rPr>
                <w:lang w:val="en-NZ"/>
              </w:rPr>
            </w:pPr>
            <w:r w:rsidRPr="00A97A94">
              <w:t>Release 1</w:t>
            </w:r>
          </w:p>
        </w:tc>
        <w:tc>
          <w:tcPr>
            <w:tcW w:w="7944" w:type="dxa"/>
            <w:tcBorders>
              <w:top w:val="nil"/>
              <w:left w:val="nil"/>
              <w:bottom w:val="nil"/>
              <w:right w:val="nil"/>
            </w:tcBorders>
            <w:tcMar>
              <w:top w:w="0" w:type="dxa"/>
              <w:left w:w="62" w:type="dxa"/>
              <w:bottom w:w="0" w:type="dxa"/>
              <w:right w:w="62" w:type="dxa"/>
            </w:tcMar>
          </w:tcPr>
          <w:p w:rsidR="00000000" w:rsidRPr="00A97A94" w:rsidP="00A97A94">
            <w:pPr>
              <w:pStyle w:val="BodyText"/>
            </w:pPr>
            <w:r w:rsidRPr="00A97A94">
              <w:t>This version first released with CPC Construction, Plumbing and Services Training Package Release 9.0.</w:t>
            </w:r>
          </w:p>
          <w:p w:rsidR="00000000" w:rsidRPr="00A97A94" w:rsidP="00A97A94">
            <w:pPr>
              <w:pStyle w:val="BodyText"/>
            </w:pPr>
            <w:r w:rsidRPr="00A97A94">
              <w:t>Newly created unit.</w:t>
            </w:r>
          </w:p>
        </w:tc>
      </w:tr>
    </w:tbl>
    <w:p w:rsidR="00000000" w:rsidRPr="00A97A94" w:rsidP="00A97A94">
      <w:pPr>
        <w:pStyle w:val="BodyText"/>
      </w:pPr>
    </w:p>
    <w:p w:rsidR="00000000" w:rsidRPr="00A97A94" w:rsidP="00A97A94">
      <w:pPr>
        <w:pStyle w:val="AllowPageBreak"/>
      </w:pPr>
    </w:p>
    <w:p w:rsidR="00000000" w:rsidRPr="00A97A94" w:rsidP="00A97A94">
      <w:pPr>
        <w:pStyle w:val="Heading1"/>
      </w:pPr>
      <w:bookmarkStart w:id="10" w:name="O_1260721"/>
      <w:bookmarkEnd w:id="10"/>
      <w:r w:rsidRPr="00A97A94">
        <w:t>Performance Evidence</w:t>
      </w:r>
    </w:p>
    <w:p w:rsidR="00000000" w:rsidRPr="00A97A94" w:rsidP="0084248D">
      <w:pPr>
        <w:pStyle w:val="BodyText"/>
      </w:pPr>
      <w:r w:rsidRPr="00A97A94">
        <w:t>To demonstrate competency, a candidate must meet the elements and performance criteria of this unit by:</w:t>
      </w:r>
    </w:p>
    <w:p w:rsidR="00000000" w:rsidRPr="00A97A94" w:rsidP="00A97A94">
      <w:pPr>
        <w:pStyle w:val="ListBullet"/>
      </w:pPr>
      <w:r w:rsidRPr="00A97A94">
        <w:t>determining the requirements for, and preparing for the lifting and placing of three prefabricated concrete elements in coordination with the crane dri</w:t>
      </w:r>
      <w:r w:rsidRPr="00A97A94">
        <w:t>ver and crane crew:</w:t>
      </w:r>
    </w:p>
    <w:p w:rsidR="00000000" w:rsidRPr="00A97A94" w:rsidP="00A97A94">
      <w:pPr>
        <w:pStyle w:val="ListBullet2"/>
      </w:pPr>
      <w:r w:rsidRPr="00A97A94">
        <w:t>unloading, lifting, placing and temporarily securing one prefabricated element (that is at least 4 m x 3 m) by face-lifting the element</w:t>
      </w:r>
    </w:p>
    <w:p w:rsidR="00000000" w:rsidRPr="00A97A94" w:rsidP="00A97A94">
      <w:pPr>
        <w:pStyle w:val="ListBullet2"/>
      </w:pPr>
      <w:r w:rsidRPr="00A97A94">
        <w:t>unloading, lifting and placing and temporarily securing one prefabricated element (that is at least 4 m x 3 m) by edge-lifting the element, and</w:t>
      </w:r>
    </w:p>
    <w:p w:rsidR="00000000" w:rsidRPr="00A97A94" w:rsidP="00A97A94">
      <w:pPr>
        <w:pStyle w:val="ListBullet2"/>
      </w:pPr>
      <w:r w:rsidRPr="00A97A94">
        <w:t>unloading, lifting and conducting a mid-air rotation, placing and temporarily securing one prefabricated element</w:t>
      </w:r>
      <w:r w:rsidRPr="00A97A94">
        <w:t xml:space="preserve"> (that is at least 7 m x 3 m).</w:t>
      </w:r>
    </w:p>
    <w:p w:rsidR="00000000" w:rsidRPr="00A97A94" w:rsidP="00A97A94">
      <w:pPr>
        <w:pStyle w:val="AllowPageBreak"/>
      </w:pPr>
    </w:p>
    <w:p w:rsidR="00000000" w:rsidRPr="00A97A94" w:rsidP="00A97A94">
      <w:pPr>
        <w:pStyle w:val="Heading1"/>
      </w:pPr>
      <w:bookmarkStart w:id="11" w:name="O_1260720"/>
      <w:bookmarkEnd w:id="11"/>
      <w:r w:rsidRPr="00A97A94">
        <w:t>Knowledge Evidence</w:t>
      </w:r>
    </w:p>
    <w:p w:rsidR="00000000" w:rsidRPr="00A97A94" w:rsidP="0084248D">
      <w:pPr>
        <w:pStyle w:val="BodyText"/>
      </w:pPr>
      <w:r w:rsidRPr="00A97A94">
        <w:t>To be competent in this unit, a candidate must demonstrate knowledge of:</w:t>
      </w:r>
    </w:p>
    <w:p w:rsidR="00000000" w:rsidRPr="00A97A94" w:rsidP="00A97A94">
      <w:pPr>
        <w:pStyle w:val="ListBullet"/>
      </w:pPr>
      <w:r w:rsidRPr="00A97A94">
        <w:t>compliance requirements of legislation, regulations, codes of practice and Australian Standards relevant to the e</w:t>
      </w:r>
      <w:r w:rsidRPr="00A97A94">
        <w:t>rection of prefabricated concrete elements, including:</w:t>
      </w:r>
    </w:p>
    <w:p w:rsidR="00000000" w:rsidRPr="00A97A94" w:rsidP="00A97A94">
      <w:pPr>
        <w:pStyle w:val="ListBullet2"/>
      </w:pPr>
      <w:r w:rsidRPr="00A97A94">
        <w:t>AS 3850.1, 2 &amp; 3 Prefabricated concrete elements re the types of rigging.</w:t>
      </w:r>
    </w:p>
    <w:p w:rsidR="00000000" w:rsidRPr="00A97A94" w:rsidP="00A97A94">
      <w:pPr>
        <w:pStyle w:val="ListBullet2"/>
      </w:pPr>
      <w:r w:rsidRPr="00A97A94">
        <w:t>environmental protection and waste disposal</w:t>
      </w:r>
    </w:p>
    <w:p w:rsidR="00000000" w:rsidRPr="00A97A94" w:rsidP="00A97A94">
      <w:pPr>
        <w:pStyle w:val="ListBullet2"/>
      </w:pPr>
      <w:r w:rsidRPr="00A97A94">
        <w:t>work health and safety (WHS) regulations, including:</w:t>
      </w:r>
    </w:p>
    <w:p w:rsidR="00000000" w:rsidRPr="00A97A94" w:rsidP="00A97A94">
      <w:pPr>
        <w:pStyle w:val="ListBullet3"/>
      </w:pPr>
      <w:r w:rsidRPr="00A97A94">
        <w:t>Safe Work Australia ‘Guide t</w:t>
      </w:r>
      <w:r w:rsidRPr="00A97A94">
        <w:t xml:space="preserve">o managing risk in construction: prefabricated concrete’ 2019 </w:t>
      </w:r>
    </w:p>
    <w:p w:rsidR="00000000" w:rsidRPr="00A97A94" w:rsidP="00A97A94">
      <w:pPr>
        <w:pStyle w:val="ListBullet3"/>
      </w:pPr>
      <w:r w:rsidRPr="00A97A94">
        <w:t>use of personal protective equipment (PPE)</w:t>
      </w:r>
    </w:p>
    <w:p w:rsidR="00000000" w:rsidRPr="00A97A94" w:rsidP="00A97A94">
      <w:pPr>
        <w:pStyle w:val="ListBullet3"/>
      </w:pPr>
      <w:r w:rsidRPr="00A97A94">
        <w:t>risk when working at heights/on ladders</w:t>
      </w:r>
    </w:p>
    <w:p w:rsidR="00000000" w:rsidRPr="00A97A94" w:rsidP="00A97A94">
      <w:pPr>
        <w:pStyle w:val="ListBullet3"/>
      </w:pPr>
      <w:r w:rsidRPr="00A97A94">
        <w:t>fall protection</w:t>
      </w:r>
    </w:p>
    <w:p w:rsidR="00000000" w:rsidRPr="00A97A94" w:rsidP="00A97A94">
      <w:pPr>
        <w:pStyle w:val="ListBullet3"/>
      </w:pPr>
      <w:r w:rsidRPr="00A97A94">
        <w:t>drop zones</w:t>
      </w:r>
    </w:p>
    <w:p w:rsidR="00000000" w:rsidRPr="00A97A94" w:rsidP="00A97A94">
      <w:pPr>
        <w:pStyle w:val="ListBullet3"/>
      </w:pPr>
      <w:r w:rsidRPr="00A97A94">
        <w:t>hazardous substances</w:t>
      </w:r>
    </w:p>
    <w:p w:rsidR="00000000" w:rsidRPr="00A97A94" w:rsidP="00A97A94">
      <w:pPr>
        <w:pStyle w:val="ListBullet3"/>
      </w:pPr>
      <w:r w:rsidRPr="00A97A94">
        <w:t xml:space="preserve">safe manual handling techniques </w:t>
      </w:r>
    </w:p>
    <w:p w:rsidR="00000000" w:rsidRPr="00A97A94" w:rsidP="00A97A94">
      <w:pPr>
        <w:pStyle w:val="ListBullet"/>
      </w:pPr>
      <w:r w:rsidRPr="00A97A94">
        <w:t>principles of effective team leadership</w:t>
      </w:r>
    </w:p>
    <w:p w:rsidR="00000000" w:rsidRPr="00A97A94" w:rsidP="00A97A94">
      <w:pPr>
        <w:pStyle w:val="ListBullet"/>
      </w:pPr>
      <w:r w:rsidRPr="00A97A94">
        <w:t>erection design documentation</w:t>
      </w:r>
    </w:p>
    <w:p w:rsidR="00000000" w:rsidRPr="00A97A94" w:rsidP="00A97A94">
      <w:pPr>
        <w:pStyle w:val="ListBullet"/>
      </w:pPr>
      <w:r w:rsidRPr="00A97A94">
        <w:t xml:space="preserve">the strength of concrete at the time of lifting and handling from the manufacturers’ </w:t>
      </w:r>
      <w:r>
        <w:t>“</w:t>
      </w:r>
      <w:r w:rsidRPr="00A97A94">
        <w:t>birth certificate</w:t>
      </w:r>
      <w:r>
        <w:t>”</w:t>
      </w:r>
      <w:r w:rsidRPr="00A97A94">
        <w:t xml:space="preserve"> contained in the erection documentation</w:t>
      </w:r>
    </w:p>
    <w:p w:rsidR="00000000" w:rsidRPr="00A97A94" w:rsidP="00A97A94">
      <w:pPr>
        <w:pStyle w:val="ListBullet"/>
      </w:pPr>
      <w:r w:rsidRPr="00A97A94">
        <w:t>faulty manufacturing and concrete defects</w:t>
      </w:r>
      <w:r w:rsidRPr="00A97A94">
        <w:t xml:space="preserve"> which could compromise the strength of the prefabricated elements and pose a potential safety issue for lifting and handling</w:t>
      </w:r>
    </w:p>
    <w:p w:rsidR="00000000" w:rsidRPr="00A97A94" w:rsidP="00A97A94">
      <w:pPr>
        <w:pStyle w:val="ListBullet"/>
      </w:pPr>
      <w:r w:rsidRPr="00A97A94">
        <w:t>serviceability of temporary erection supports, including:</w:t>
      </w:r>
    </w:p>
    <w:p w:rsidR="00000000" w:rsidRPr="00A97A94" w:rsidP="00A97A94">
      <w:pPr>
        <w:pStyle w:val="ListBullet2"/>
      </w:pPr>
      <w:r w:rsidRPr="00A97A94">
        <w:t>braces</w:t>
      </w:r>
    </w:p>
    <w:p w:rsidR="00000000" w:rsidRPr="00A97A94" w:rsidP="00A97A94">
      <w:pPr>
        <w:pStyle w:val="ListBullet2"/>
      </w:pPr>
      <w:r w:rsidRPr="00A97A94">
        <w:t>props</w:t>
      </w:r>
    </w:p>
    <w:p w:rsidR="00000000" w:rsidRPr="00A97A94" w:rsidP="00A97A94">
      <w:pPr>
        <w:pStyle w:val="ListBullet2"/>
      </w:pPr>
      <w:r w:rsidRPr="00A97A94">
        <w:t>working load limit (WLL)</w:t>
      </w:r>
    </w:p>
    <w:p w:rsidR="00000000" w:rsidRPr="00A97A94" w:rsidP="00A97A94">
      <w:pPr>
        <w:pStyle w:val="ListBullet"/>
      </w:pPr>
      <w:r w:rsidRPr="00A97A94">
        <w:t xml:space="preserve">erection documentation, including: </w:t>
      </w:r>
    </w:p>
    <w:p w:rsidR="00000000" w:rsidRPr="00A97A94" w:rsidP="00A97A94">
      <w:pPr>
        <w:pStyle w:val="ListBullet2"/>
      </w:pPr>
      <w:r w:rsidRPr="00A97A94">
        <w:t>manufacturer specification</w:t>
      </w:r>
    </w:p>
    <w:p w:rsidR="00000000" w:rsidRPr="00A97A94" w:rsidP="00A97A94">
      <w:pPr>
        <w:pStyle w:val="ListBullet2"/>
      </w:pPr>
      <w:r w:rsidRPr="00A97A94">
        <w:t>element drawings</w:t>
      </w:r>
    </w:p>
    <w:p w:rsidR="00000000" w:rsidRPr="00A97A94" w:rsidP="00A97A94">
      <w:pPr>
        <w:pStyle w:val="ListBullet2"/>
      </w:pPr>
      <w:r w:rsidRPr="00A97A94">
        <w:t>rigging configurations and drawings</w:t>
      </w:r>
    </w:p>
    <w:p w:rsidR="00000000" w:rsidRPr="00A97A94" w:rsidP="00A97A94">
      <w:pPr>
        <w:pStyle w:val="ListBullet2"/>
      </w:pPr>
      <w:r w:rsidRPr="00A97A94">
        <w:t xml:space="preserve">layout drawings </w:t>
      </w:r>
    </w:p>
    <w:p w:rsidR="00000000" w:rsidRPr="00A97A94" w:rsidP="00A97A94">
      <w:pPr>
        <w:pStyle w:val="ListBullet2"/>
      </w:pPr>
      <w:r w:rsidRPr="00A97A94">
        <w:t>specifications required for the lifting and placing of prefabricated concrete elements</w:t>
      </w:r>
    </w:p>
    <w:p w:rsidR="00000000" w:rsidRPr="00A97A94" w:rsidP="00A97A94">
      <w:pPr>
        <w:pStyle w:val="ListBullet"/>
      </w:pPr>
      <w:r w:rsidRPr="00A97A94">
        <w:t>types of prefabricated concrete el</w:t>
      </w:r>
      <w:r w:rsidRPr="00A97A94">
        <w:t xml:space="preserve">ements, including: </w:t>
      </w:r>
    </w:p>
    <w:p w:rsidR="00000000" w:rsidRPr="00A97A94" w:rsidP="00A97A94">
      <w:pPr>
        <w:pStyle w:val="ListBullet2"/>
      </w:pPr>
      <w:r w:rsidRPr="00A97A94">
        <w:t>panels</w:t>
      </w:r>
    </w:p>
    <w:p w:rsidR="00000000" w:rsidRPr="00A97A94" w:rsidP="00A97A94">
      <w:pPr>
        <w:pStyle w:val="ListBullet2"/>
      </w:pPr>
      <w:r w:rsidRPr="00A97A94">
        <w:t>columns</w:t>
      </w:r>
    </w:p>
    <w:p w:rsidR="00000000" w:rsidRPr="00A97A94" w:rsidP="00A97A94">
      <w:pPr>
        <w:pStyle w:val="ListBullet2"/>
      </w:pPr>
      <w:r w:rsidRPr="00A97A94">
        <w:t>beams</w:t>
      </w:r>
    </w:p>
    <w:p w:rsidR="00000000" w:rsidRPr="00A97A94" w:rsidP="00A97A94">
      <w:pPr>
        <w:pStyle w:val="ListBullet2"/>
      </w:pPr>
      <w:r w:rsidRPr="00A97A94">
        <w:t>planks</w:t>
      </w:r>
    </w:p>
    <w:p w:rsidR="00000000" w:rsidRPr="00A97A94" w:rsidP="00A97A94">
      <w:pPr>
        <w:pStyle w:val="ListBullet2"/>
      </w:pPr>
      <w:r w:rsidRPr="00A97A94">
        <w:t>stairs</w:t>
      </w:r>
    </w:p>
    <w:p w:rsidR="00000000" w:rsidRPr="00A97A94" w:rsidP="00A97A94">
      <w:pPr>
        <w:pStyle w:val="ListBullet2"/>
      </w:pPr>
      <w:r w:rsidRPr="00A97A94">
        <w:t>barriers</w:t>
      </w:r>
    </w:p>
    <w:p w:rsidR="00000000" w:rsidRPr="00A97A94" w:rsidP="00A97A94">
      <w:pPr>
        <w:pStyle w:val="ListBullet2"/>
      </w:pPr>
      <w:r w:rsidRPr="00A97A94">
        <w:t>poles</w:t>
      </w:r>
    </w:p>
    <w:p w:rsidR="00000000" w:rsidRPr="00A97A94" w:rsidP="00A97A94">
      <w:pPr>
        <w:pStyle w:val="ListBullet2"/>
      </w:pPr>
      <w:r w:rsidRPr="00A97A94">
        <w:t>pipes</w:t>
      </w:r>
    </w:p>
    <w:p w:rsidR="00000000" w:rsidRPr="00A97A94" w:rsidP="00A97A94">
      <w:pPr>
        <w:pStyle w:val="ListBullet2"/>
      </w:pPr>
      <w:r w:rsidRPr="00A97A94">
        <w:t>box culverts</w:t>
      </w:r>
    </w:p>
    <w:p w:rsidR="00000000" w:rsidRPr="00A97A94" w:rsidP="00A97A94">
      <w:pPr>
        <w:pStyle w:val="ListBullet2"/>
      </w:pPr>
      <w:r w:rsidRPr="00A97A94">
        <w:t>pits</w:t>
      </w:r>
    </w:p>
    <w:p w:rsidR="00000000" w:rsidRPr="00A97A94" w:rsidP="00A97A94">
      <w:pPr>
        <w:pStyle w:val="ListBullet2"/>
      </w:pPr>
      <w:r w:rsidRPr="00A97A94">
        <w:t>wall elements</w:t>
      </w:r>
    </w:p>
    <w:p w:rsidR="00000000" w:rsidRPr="00A97A94" w:rsidP="00A97A94">
      <w:pPr>
        <w:pStyle w:val="ListBullet"/>
      </w:pPr>
      <w:r w:rsidRPr="00A97A94">
        <w:t>relevant types and procedures for the temporary support of prefabricated concrete elements, including:</w:t>
      </w:r>
    </w:p>
    <w:p w:rsidR="00000000" w:rsidRPr="00A97A94" w:rsidP="00A97A94">
      <w:pPr>
        <w:pStyle w:val="ListBullet2"/>
      </w:pPr>
      <w:r w:rsidRPr="00A97A94">
        <w:t>erection sequence</w:t>
      </w:r>
    </w:p>
    <w:p w:rsidR="00000000" w:rsidRPr="00A97A94" w:rsidP="00A97A94">
      <w:pPr>
        <w:pStyle w:val="ListBullet2"/>
      </w:pPr>
      <w:r w:rsidRPr="00A97A94">
        <w:t>orientation of prefabricated concrete components</w:t>
      </w:r>
    </w:p>
    <w:p w:rsidR="00000000" w:rsidRPr="00A97A94" w:rsidP="00A97A94">
      <w:pPr>
        <w:pStyle w:val="ListBullet2"/>
      </w:pPr>
      <w:r w:rsidRPr="00A97A94">
        <w:t>bracing details, including type and angle</w:t>
      </w:r>
    </w:p>
    <w:p w:rsidR="00000000" w:rsidRPr="00A97A94" w:rsidP="00A97A94">
      <w:pPr>
        <w:pStyle w:val="ListBullet2"/>
      </w:pPr>
      <w:r w:rsidRPr="00A97A94">
        <w:t>requirement for temporary brace and prop footings</w:t>
      </w:r>
    </w:p>
    <w:p w:rsidR="00000000" w:rsidRPr="00A97A94" w:rsidP="00A97A94">
      <w:pPr>
        <w:pStyle w:val="ListBullet2"/>
      </w:pPr>
      <w:r w:rsidRPr="00A97A94">
        <w:t>placement and positioning of propping systems</w:t>
      </w:r>
    </w:p>
    <w:p w:rsidR="00000000" w:rsidRPr="00A97A94" w:rsidP="00A97A94">
      <w:pPr>
        <w:pStyle w:val="ListBullet2"/>
      </w:pPr>
      <w:r w:rsidRPr="00A97A94">
        <w:t xml:space="preserve">levelling </w:t>
      </w:r>
    </w:p>
    <w:p w:rsidR="00000000" w:rsidRPr="00A97A94" w:rsidP="00A97A94">
      <w:pPr>
        <w:pStyle w:val="ListBullet"/>
      </w:pPr>
      <w:r w:rsidRPr="00A97A94">
        <w:t>crane operations, including:</w:t>
      </w:r>
    </w:p>
    <w:p w:rsidR="00000000" w:rsidRPr="00A97A94" w:rsidP="00A97A94">
      <w:pPr>
        <w:pStyle w:val="ListBullet2"/>
      </w:pPr>
      <w:r w:rsidRPr="00A97A94">
        <w:t>crane standing</w:t>
      </w:r>
    </w:p>
    <w:p w:rsidR="00000000" w:rsidRPr="00A97A94" w:rsidP="00A97A94">
      <w:pPr>
        <w:pStyle w:val="ListBullet2"/>
      </w:pPr>
      <w:r w:rsidRPr="00A97A94">
        <w:t>suspended slab operations</w:t>
      </w:r>
    </w:p>
    <w:p w:rsidR="00000000" w:rsidRPr="00A97A94" w:rsidP="00A97A94">
      <w:pPr>
        <w:pStyle w:val="ListBullet2"/>
      </w:pPr>
      <w:r w:rsidRPr="00A97A94">
        <w:t>hoist reeving for single and multi-winch operations</w:t>
      </w:r>
    </w:p>
    <w:p w:rsidR="00000000" w:rsidRPr="00A97A94" w:rsidP="00A97A94">
      <w:pPr>
        <w:pStyle w:val="ListBullet2"/>
      </w:pPr>
      <w:r w:rsidRPr="00A97A94">
        <w:t>requirements for single and multi-crane mid-air rotations</w:t>
      </w:r>
    </w:p>
    <w:p w:rsidR="00000000" w:rsidRPr="00A97A94" w:rsidP="00A97A94">
      <w:pPr>
        <w:pStyle w:val="ListBullet"/>
      </w:pPr>
      <w:r w:rsidRPr="00A97A94">
        <w:t>types, characteristics and limitations of tools, equipment and materials required for rigging, lifting and placing pref</w:t>
      </w:r>
      <w:r w:rsidRPr="00A97A94">
        <w:t>abricated concrete elements, including:</w:t>
      </w:r>
    </w:p>
    <w:p w:rsidR="00000000" w:rsidRPr="00A97A94" w:rsidP="00A97A94">
      <w:pPr>
        <w:pStyle w:val="ListBullet2"/>
      </w:pPr>
      <w:r w:rsidRPr="00A97A94">
        <w:t>chain slings</w:t>
      </w:r>
    </w:p>
    <w:p w:rsidR="00000000" w:rsidRPr="00A97A94" w:rsidP="00A97A94">
      <w:pPr>
        <w:pStyle w:val="ListBullet2"/>
      </w:pPr>
      <w:r w:rsidRPr="00A97A94">
        <w:t>flexible steel wire rope (FSWR) slings</w:t>
      </w:r>
    </w:p>
    <w:p w:rsidR="00000000" w:rsidRPr="00A97A94" w:rsidP="00A97A94">
      <w:pPr>
        <w:pStyle w:val="ListBullet2"/>
      </w:pPr>
      <w:r w:rsidRPr="00A97A94">
        <w:t>concrete lifting clutches and compatible lifting inserts</w:t>
      </w:r>
    </w:p>
    <w:p w:rsidR="00000000" w:rsidRPr="00A97A94" w:rsidP="00A97A94">
      <w:pPr>
        <w:pStyle w:val="ListBullet2"/>
      </w:pPr>
      <w:r w:rsidRPr="00A97A94">
        <w:t>post-installed lifting plates</w:t>
      </w:r>
    </w:p>
    <w:p w:rsidR="00000000" w:rsidRPr="00A97A94" w:rsidP="00A97A94">
      <w:pPr>
        <w:pStyle w:val="ListBullet2"/>
      </w:pPr>
      <w:r w:rsidRPr="00A97A94">
        <w:t>hooks, shackles, chain links, swivels and lifting rings</w:t>
      </w:r>
    </w:p>
    <w:p w:rsidR="00000000" w:rsidRPr="00A97A94" w:rsidP="00A97A94">
      <w:pPr>
        <w:pStyle w:val="ListBullet2"/>
      </w:pPr>
      <w:r w:rsidRPr="00A97A94">
        <w:t>sheaves and pulley b</w:t>
      </w:r>
      <w:r w:rsidRPr="00A97A94">
        <w:t>locks</w:t>
      </w:r>
    </w:p>
    <w:p w:rsidR="00000000" w:rsidRPr="00A97A94" w:rsidP="00A97A94">
      <w:pPr>
        <w:pStyle w:val="ListBullet2"/>
      </w:pPr>
      <w:r w:rsidRPr="00A97A94">
        <w:t>lifting beams</w:t>
      </w:r>
    </w:p>
    <w:p w:rsidR="00000000" w:rsidRPr="00A97A94" w:rsidP="00A97A94">
      <w:pPr>
        <w:pStyle w:val="ListBullet2"/>
      </w:pPr>
      <w:r w:rsidRPr="00A97A94">
        <w:t>equalising beams</w:t>
      </w:r>
    </w:p>
    <w:p w:rsidR="00000000" w:rsidRPr="00A97A94" w:rsidP="00A97A94">
      <w:pPr>
        <w:pStyle w:val="ListBullet2"/>
      </w:pPr>
      <w:r w:rsidRPr="00A97A94">
        <w:t>spanners</w:t>
      </w:r>
    </w:p>
    <w:p w:rsidR="00000000" w:rsidRPr="00A97A94" w:rsidP="00A97A94">
      <w:pPr>
        <w:pStyle w:val="ListBullet2"/>
      </w:pPr>
      <w:r w:rsidRPr="00A97A94">
        <w:t>spirit levels and automatic levels</w:t>
      </w:r>
    </w:p>
    <w:p w:rsidR="00000000" w:rsidRPr="00A97A94" w:rsidP="00A97A94">
      <w:pPr>
        <w:pStyle w:val="ListBullet2"/>
      </w:pPr>
      <w:r w:rsidRPr="00A97A94">
        <w:t>tape measures</w:t>
      </w:r>
    </w:p>
    <w:p w:rsidR="00000000" w:rsidRPr="00A97A94" w:rsidP="00A97A94">
      <w:pPr>
        <w:pStyle w:val="ListBullet2"/>
      </w:pPr>
      <w:r w:rsidRPr="00A97A94">
        <w:t xml:space="preserve">wrenches </w:t>
      </w:r>
    </w:p>
    <w:p w:rsidR="00000000" w:rsidRPr="00A97A94" w:rsidP="00A97A94">
      <w:pPr>
        <w:pStyle w:val="ListBullet2"/>
      </w:pPr>
      <w:r w:rsidRPr="00A97A94">
        <w:t>heights access equipment, such as elevated work platforms (EWPs)</w:t>
      </w:r>
    </w:p>
    <w:p w:rsidR="00000000" w:rsidRPr="00A97A94" w:rsidP="00A97A94">
      <w:pPr>
        <w:pStyle w:val="ListBullet"/>
      </w:pPr>
      <w:r w:rsidRPr="00A97A94">
        <w:t>load slinging methods:</w:t>
      </w:r>
    </w:p>
    <w:p w:rsidR="00000000" w:rsidRPr="00A97A94" w:rsidP="00A97A94">
      <w:pPr>
        <w:pStyle w:val="ListBullet2"/>
      </w:pPr>
      <w:r w:rsidRPr="00A97A94">
        <w:t>straight sling</w:t>
      </w:r>
    </w:p>
    <w:p w:rsidR="00000000" w:rsidRPr="00A97A94" w:rsidP="00A97A94">
      <w:pPr>
        <w:pStyle w:val="ListBullet2"/>
      </w:pPr>
      <w:r w:rsidRPr="00A97A94">
        <w:t>adjustable sling</w:t>
      </w:r>
    </w:p>
    <w:p w:rsidR="00000000" w:rsidRPr="00A97A94" w:rsidP="00A97A94">
      <w:pPr>
        <w:pStyle w:val="ListBullet2"/>
      </w:pPr>
      <w:r w:rsidRPr="00A97A94">
        <w:t>reeved sling</w:t>
      </w:r>
    </w:p>
    <w:p w:rsidR="00000000" w:rsidRPr="00A97A94" w:rsidP="00A97A94">
      <w:pPr>
        <w:pStyle w:val="ListBullet2"/>
      </w:pPr>
      <w:r w:rsidRPr="00A97A94">
        <w:t>inclined sling</w:t>
      </w:r>
    </w:p>
    <w:p w:rsidR="00000000" w:rsidRPr="00A97A94" w:rsidP="00A97A94">
      <w:pPr>
        <w:pStyle w:val="ListBullet2"/>
      </w:pPr>
      <w:r w:rsidRPr="00A97A94">
        <w:t>multi-point lift</w:t>
      </w:r>
    </w:p>
    <w:p w:rsidR="00000000" w:rsidRPr="00A97A94" w:rsidP="00A97A94">
      <w:pPr>
        <w:pStyle w:val="ListBullet2"/>
      </w:pPr>
      <w:r w:rsidRPr="00A97A94">
        <w:t>balanced load and CoG</w:t>
      </w:r>
    </w:p>
    <w:p w:rsidR="00000000" w:rsidRPr="00A97A94" w:rsidP="00A97A94">
      <w:pPr>
        <w:pStyle w:val="ListBullet"/>
      </w:pPr>
      <w:r w:rsidRPr="00A97A94">
        <w:t xml:space="preserve">load equalisation and methods </w:t>
      </w:r>
    </w:p>
    <w:p w:rsidR="00000000" w:rsidRPr="00A97A94" w:rsidP="00A97A94">
      <w:pPr>
        <w:pStyle w:val="ListBullet"/>
      </w:pPr>
      <w:r w:rsidRPr="00A97A94">
        <w:t>advanced lifting techniques:</w:t>
      </w:r>
    </w:p>
    <w:p w:rsidR="00000000" w:rsidRPr="00A97A94" w:rsidP="00A97A94">
      <w:pPr>
        <w:pStyle w:val="ListBullet2"/>
      </w:pPr>
      <w:r w:rsidRPr="00A97A94">
        <w:t>standard lift from a truck</w:t>
      </w:r>
    </w:p>
    <w:p w:rsidR="00000000" w:rsidRPr="00A97A94" w:rsidP="00A97A94">
      <w:pPr>
        <w:pStyle w:val="ListBullet2"/>
      </w:pPr>
      <w:r w:rsidRPr="00A97A94">
        <w:t>load balancing when lifting from vehicles</w:t>
      </w:r>
    </w:p>
    <w:p w:rsidR="00000000" w:rsidRPr="00A97A94" w:rsidP="00A97A94">
      <w:pPr>
        <w:pStyle w:val="ListBullet2"/>
      </w:pPr>
      <w:r w:rsidRPr="00A97A94">
        <w:t>flat lifting from supports or on ground</w:t>
      </w:r>
    </w:p>
    <w:p w:rsidR="00000000" w:rsidRPr="00A97A94" w:rsidP="00A97A94">
      <w:pPr>
        <w:pStyle w:val="ListBullet2"/>
      </w:pPr>
      <w:r w:rsidRPr="00A97A94">
        <w:t>edge lifting and tilting by rotation about one edge</w:t>
      </w:r>
    </w:p>
    <w:p w:rsidR="00000000" w:rsidRPr="00A97A94" w:rsidP="00A97A94">
      <w:pPr>
        <w:pStyle w:val="ListBullet2"/>
      </w:pPr>
      <w:r w:rsidRPr="00A97A94">
        <w:t>face lifting and tilting by rotation about one edge</w:t>
      </w:r>
    </w:p>
    <w:p w:rsidR="00000000" w:rsidRPr="00A97A94" w:rsidP="00A97A94">
      <w:pPr>
        <w:pStyle w:val="ListBullet2"/>
      </w:pPr>
      <w:r w:rsidRPr="00A97A94">
        <w:t>single crane and multi-crane mid-air rotation</w:t>
      </w:r>
    </w:p>
    <w:p w:rsidR="00000000" w:rsidRPr="00A97A94" w:rsidP="00A97A94">
      <w:pPr>
        <w:pStyle w:val="ListBullet2"/>
      </w:pPr>
      <w:r w:rsidRPr="00A97A94">
        <w:t>multi-crane lifts</w:t>
      </w:r>
    </w:p>
    <w:p w:rsidR="00000000" w:rsidRPr="00A97A94" w:rsidP="00A97A94">
      <w:pPr>
        <w:pStyle w:val="ListBullet"/>
      </w:pPr>
      <w:r w:rsidRPr="00A97A94">
        <w:t>workplace requirements when working with prefabricated concrete components:</w:t>
      </w:r>
    </w:p>
    <w:p w:rsidR="00000000" w:rsidRPr="00A97A94" w:rsidP="00A97A94">
      <w:pPr>
        <w:pStyle w:val="ListBullet2"/>
      </w:pPr>
      <w:r w:rsidRPr="00A97A94">
        <w:t>cleaning u</w:t>
      </w:r>
      <w:r w:rsidRPr="00A97A94">
        <w:t>p the work area</w:t>
      </w:r>
    </w:p>
    <w:p w:rsidR="00000000" w:rsidRPr="00A97A94" w:rsidP="00A97A94">
      <w:pPr>
        <w:pStyle w:val="ListBullet2"/>
      </w:pPr>
      <w:r w:rsidRPr="00A97A94">
        <w:t>maintaining and storing plant, labelling, tools and equipment</w:t>
      </w:r>
    </w:p>
    <w:p w:rsidR="00000000" w:rsidRPr="00A97A94" w:rsidP="00A97A94">
      <w:pPr>
        <w:pStyle w:val="ListBullet2"/>
      </w:pPr>
      <w:r w:rsidRPr="00A97A94">
        <w:t>material reuse</w:t>
      </w:r>
    </w:p>
    <w:p w:rsidR="00000000" w:rsidRPr="00A97A94" w:rsidP="00A97A94">
      <w:pPr>
        <w:pStyle w:val="ListBullet2"/>
      </w:pPr>
      <w:r w:rsidRPr="00A97A94">
        <w:t>reporting problems</w:t>
      </w:r>
    </w:p>
    <w:p w:rsidR="00000000" w:rsidRPr="00A97A94" w:rsidP="00A97A94">
      <w:pPr>
        <w:pStyle w:val="ListBullet2"/>
      </w:pPr>
      <w:r w:rsidRPr="00A97A94">
        <w:t>quality</w:t>
      </w:r>
    </w:p>
    <w:p w:rsidR="00000000" w:rsidRPr="00A97A94" w:rsidP="00A97A94">
      <w:pPr>
        <w:pStyle w:val="ListBullet"/>
      </w:pPr>
      <w:r w:rsidRPr="00A97A94">
        <w:t xml:space="preserve">workplace procedures related to communication protocols </w:t>
      </w:r>
    </w:p>
    <w:p w:rsidR="00000000" w:rsidRPr="00A97A94" w:rsidP="00A97A94">
      <w:pPr>
        <w:pStyle w:val="ListBullet"/>
      </w:pPr>
      <w:r w:rsidRPr="00A97A94">
        <w:t xml:space="preserve">principles of sustainability relevant to material reuse </w:t>
      </w:r>
    </w:p>
    <w:p w:rsidR="00000000" w:rsidRPr="00A97A94" w:rsidP="00A97A94">
      <w:pPr>
        <w:pStyle w:val="ListBullet"/>
      </w:pPr>
      <w:r w:rsidRPr="00A97A94">
        <w:t xml:space="preserve">work planning and logical task sequencing. </w:t>
      </w:r>
    </w:p>
    <w:p w:rsidR="00000000" w:rsidRPr="00A97A94" w:rsidP="00A97A94">
      <w:pPr>
        <w:pStyle w:val="AllowPageBreak"/>
      </w:pPr>
    </w:p>
    <w:p w:rsidR="00000000" w:rsidRPr="00A97A94" w:rsidP="00A97A94">
      <w:pPr>
        <w:pStyle w:val="Heading1"/>
      </w:pPr>
      <w:bookmarkStart w:id="12" w:name="O_1260719"/>
      <w:bookmarkEnd w:id="12"/>
      <w:r w:rsidRPr="00A97A94">
        <w:t>Assessment Conditions</w:t>
      </w:r>
    </w:p>
    <w:p w:rsidR="00000000" w:rsidRPr="00A97A94" w:rsidP="0084248D">
      <w:pPr>
        <w:pStyle w:val="BodyText"/>
      </w:pPr>
      <w:r w:rsidRPr="00A97A94">
        <w:t>Assessors must meet the requirements for assessors contained in the Standards for Registered Training Organisations.</w:t>
      </w:r>
    </w:p>
    <w:p w:rsidR="00000000" w:rsidRPr="00A97A94" w:rsidP="0084248D">
      <w:pPr>
        <w:pStyle w:val="BodyText"/>
      </w:pPr>
      <w:r w:rsidRPr="00A97A94">
        <w:t>Assessment must be conducted in the workplace or a sim</w:t>
      </w:r>
      <w:r w:rsidRPr="00A97A94">
        <w:t>ulated workplace using realistic conditions, materials, activities, responsibilities, procedures, safety requirements and environmental considerations.</w:t>
      </w:r>
    </w:p>
    <w:p w:rsidR="00000000" w:rsidRPr="00A97A94" w:rsidP="0084248D">
      <w:pPr>
        <w:pStyle w:val="BodyText"/>
      </w:pPr>
      <w:r w:rsidRPr="00A97A94">
        <w:t>Candidates must have access to erection design documentation, materials, manufacturer specifications, pl</w:t>
      </w:r>
      <w:r w:rsidRPr="00A97A94">
        <w:t>ant, tools and equipment required to achieve the performance evidence.</w:t>
      </w:r>
    </w:p>
    <w:p w:rsidR="00000000" w:rsidRPr="00A97A94" w:rsidP="00A97A94">
      <w:pPr>
        <w:pStyle w:val="Heading1"/>
      </w:pPr>
      <w:bookmarkStart w:id="13" w:name="O_1260717"/>
      <w:bookmarkEnd w:id="13"/>
      <w:r w:rsidRPr="00A97A94">
        <w:t>Links</w:t>
      </w:r>
    </w:p>
    <w:p w:rsidR="00000000" w:rsidRPr="00A97A94" w:rsidP="0084248D">
      <w:pPr>
        <w:pStyle w:val="BodyText"/>
      </w:pPr>
      <w:r w:rsidRPr="00A97A9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B2B99">
        <w:rPr>
          <w:rStyle w:val="Hyperlink"/>
        </w:rPr>
        <w:t>https://vetnet.gov.au/Pages/TrainingDocs.aspx?q=7e15fa6a-68b8-4097-b099-030a5569b1ad</w:t>
      </w:r>
      <w:r>
        <w:fldChar w:fldCharType="end"/>
      </w:r>
    </w:p>
    <w:p w:rsidR="00000000" w:rsidRPr="00A97A94" w:rsidP="00A97A94"/>
    <w:sectPr w:rsidSect="00A97A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rsidRPr="0084248D" w:rsidP="00842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8D" w:rsidP="00A97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248D" w:rsidP="00A97A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4248D" w:rsidP="00A97A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rsidP="00A97A94">
    <w:pPr>
      <w:pStyle w:val="Footer"/>
      <w:framePr w:wrap="around"/>
    </w:pPr>
    <w:r>
      <w:fldChar w:fldCharType="begin"/>
    </w:r>
    <w:r>
      <w:instrText xml:space="preserve"> DOCPROPERTY  Subject  \* MERGEFORMAT </w:instrText>
    </w:r>
    <w:r>
      <w:fldChar w:fldCharType="separate"/>
    </w:r>
    <w:r w:rsidR="0084248D">
      <w:t>Approved</w:t>
    </w:r>
    <w:r w:rsidR="0084248D">
      <w:fldChar w:fldCharType="end"/>
    </w:r>
    <w:r>
      <w:tab/>
      <w:t xml:space="preserve">Page </w:t>
    </w:r>
    <w:r>
      <w:fldChar w:fldCharType="begin"/>
    </w:r>
    <w:r>
      <w:instrText xml:space="preserve"> PAGE  \* Arabic  \* MERGEFORMAT </w:instrText>
    </w:r>
    <w:r>
      <w:fldChar w:fldCharType="separate"/>
    </w:r>
    <w:r w:rsidR="008424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48D">
      <w:rPr>
        <w:noProof/>
      </w:rPr>
      <w:t>6</w:t>
    </w:r>
    <w:r>
      <w:rPr>
        <w:noProof/>
      </w:rPr>
      <w:fldChar w:fldCharType="end"/>
    </w:r>
  </w:p>
  <w:p w:rsidR="00A97A94" w:rsidP="00A97A94">
    <w:pPr>
      <w:pStyle w:val="Footer"/>
      <w:framePr w:wrap="around"/>
    </w:pPr>
    <w:r>
      <w:t xml:space="preserve">© Commonwealth of Australia, </w:t>
    </w:r>
    <w:r>
      <w:fldChar w:fldCharType="begin"/>
    </w:r>
    <w:r>
      <w:instrText xml:space="preserve"> DATE  \@ "yyyy"  \* MERGEFORMAT </w:instrText>
    </w:r>
    <w:r>
      <w:fldChar w:fldCharType="separate"/>
    </w:r>
    <w:r w:rsidR="0084248D">
      <w:rPr>
        <w:noProof/>
      </w:rPr>
      <w:t>2025</w:t>
    </w:r>
    <w:r>
      <w:fldChar w:fldCharType="end"/>
    </w:r>
    <w:r>
      <w:tab/>
    </w:r>
    <w:r>
      <w:fldChar w:fldCharType="begin"/>
    </w:r>
    <w:r>
      <w:instrText xml:space="preserve"> DOCPROPERTY  Author  \* MERGEFORMAT </w:instrText>
    </w:r>
    <w:r>
      <w:fldChar w:fldCharType="separate"/>
    </w:r>
    <w:r w:rsidR="0084248D">
      <w:t>BuildSkills Australia</w:t>
    </w:r>
    <w:r w:rsidR="0084248D">
      <w:fldChar w:fldCharType="end"/>
    </w:r>
  </w:p>
  <w:p w:rsidR="00A97A94" w:rsidP="00A97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A94" w:rsidRPr="0084248D" w:rsidP="00842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8D" w:rsidRPr="002D2AF8" w:rsidP="00A97A94">
    <w:pPr>
      <w:pStyle w:val="Header"/>
      <w:framePr w:wrap="around"/>
    </w:pPr>
    <w:r>
      <w:fldChar w:fldCharType="begin"/>
    </w:r>
    <w:r>
      <w:instrText xml:space="preserve"> TITLE   \* MERGEFORMAT </w:instrText>
    </w:r>
    <w:r>
      <w:fldChar w:fldCharType="separate"/>
    </w:r>
    <w:r>
      <w:t>CPCPRE3000 Lift and place prefabricated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48D" w:rsidP="00A97A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94" w:rsidRPr="002D2AF8" w:rsidP="00A97A94">
    <w:pPr>
      <w:pStyle w:val="Header"/>
      <w:framePr w:wrap="around"/>
    </w:pPr>
    <w:r>
      <w:fldChar w:fldCharType="begin"/>
    </w:r>
    <w:r>
      <w:instrText xml:space="preserve"> TITLE   \* MERGEFORMAT </w:instrText>
    </w:r>
    <w:r>
      <w:fldChar w:fldCharType="separate"/>
    </w:r>
    <w:r w:rsidR="0084248D">
      <w:t>CPCPRE3000 Lift and place prefabricated concrete elements</w:t>
    </w:r>
    <w:r w:rsidR="0084248D">
      <w:fldChar w:fldCharType="end"/>
    </w:r>
    <w:r>
      <w:tab/>
      <w:t xml:space="preserve">Date this document was generated: </w:t>
    </w:r>
    <w:r>
      <w:fldChar w:fldCharType="begin"/>
    </w:r>
    <w:r>
      <w:instrText xml:space="preserve"> CREATEDATE  \@ "d MMMM yyyy"  \* MERGEFORMAT </w:instrText>
    </w:r>
    <w:r>
      <w:fldChar w:fldCharType="separate"/>
    </w:r>
    <w:r w:rsidR="0084248D">
      <w:rPr>
        <w:noProof/>
      </w:rPr>
      <w:t>2 March 2025</w:t>
    </w:r>
    <w:r>
      <w:fldChar w:fldCharType="end"/>
    </w:r>
  </w:p>
  <w:p w:rsidR="00A97A94" w:rsidP="00A97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CD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29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A7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A94"/>
    <w:pPr>
      <w:spacing w:before="360" w:after="60"/>
      <w:outlineLvl w:val="0"/>
    </w:pPr>
    <w:rPr>
      <w:sz w:val="32"/>
    </w:rPr>
  </w:style>
  <w:style w:type="paragraph" w:styleId="Heading2">
    <w:name w:val="heading 2"/>
    <w:basedOn w:val="HeadingBase"/>
    <w:next w:val="BodyText"/>
    <w:link w:val="Heading2Char"/>
    <w:qFormat/>
    <w:rsid w:val="00A97A94"/>
    <w:pPr>
      <w:keepLines/>
      <w:spacing w:before="240" w:after="120"/>
      <w:outlineLvl w:val="1"/>
    </w:pPr>
    <w:rPr>
      <w:sz w:val="28"/>
      <w:szCs w:val="40"/>
    </w:rPr>
  </w:style>
  <w:style w:type="paragraph" w:styleId="Heading3">
    <w:name w:val="heading 3"/>
    <w:basedOn w:val="HeadingBase"/>
    <w:next w:val="BodyText"/>
    <w:link w:val="Heading3Char"/>
    <w:qFormat/>
    <w:rsid w:val="00A97A94"/>
    <w:pPr>
      <w:spacing w:before="180" w:after="120"/>
      <w:outlineLvl w:val="2"/>
    </w:pPr>
    <w:rPr>
      <w:spacing w:val="-10"/>
      <w:kern w:val="32"/>
    </w:rPr>
  </w:style>
  <w:style w:type="paragraph" w:styleId="Heading4">
    <w:name w:val="heading 4"/>
    <w:basedOn w:val="HeadingBase"/>
    <w:next w:val="BodyText"/>
    <w:link w:val="Heading4Char"/>
    <w:qFormat/>
    <w:rsid w:val="00A97A94"/>
    <w:pPr>
      <w:spacing w:before="160" w:after="120"/>
      <w:outlineLvl w:val="3"/>
    </w:pPr>
    <w:rPr>
      <w:sz w:val="22"/>
    </w:rPr>
  </w:style>
  <w:style w:type="paragraph" w:styleId="Heading5">
    <w:name w:val="heading 5"/>
    <w:basedOn w:val="HeadingBase"/>
    <w:next w:val="Normal"/>
    <w:link w:val="Heading5Char"/>
    <w:qFormat/>
    <w:rsid w:val="00A97A94"/>
    <w:pPr>
      <w:spacing w:before="80"/>
      <w:outlineLvl w:val="4"/>
    </w:pPr>
    <w:rPr>
      <w:color w:val="918585"/>
      <w:sz w:val="20"/>
    </w:rPr>
  </w:style>
  <w:style w:type="paragraph" w:styleId="Heading6">
    <w:name w:val="heading 6"/>
    <w:basedOn w:val="HeadingBase"/>
    <w:next w:val="Normal"/>
    <w:link w:val="Heading6Char"/>
    <w:qFormat/>
    <w:rsid w:val="00A97A94"/>
    <w:pPr>
      <w:spacing w:before="60"/>
      <w:outlineLvl w:val="5"/>
    </w:pPr>
    <w:rPr>
      <w:color w:val="918585"/>
      <w:sz w:val="20"/>
    </w:rPr>
  </w:style>
  <w:style w:type="paragraph" w:styleId="Heading7">
    <w:name w:val="heading 7"/>
    <w:basedOn w:val="Normal"/>
    <w:next w:val="Normal"/>
    <w:link w:val="Heading7Char"/>
    <w:qFormat/>
    <w:rsid w:val="00A97A94"/>
    <w:pPr>
      <w:ind w:left="720"/>
      <w:outlineLvl w:val="6"/>
    </w:pPr>
    <w:rPr>
      <w:i/>
    </w:rPr>
  </w:style>
  <w:style w:type="paragraph" w:styleId="Heading8">
    <w:name w:val="heading 8"/>
    <w:basedOn w:val="Normal"/>
    <w:next w:val="Normal"/>
    <w:link w:val="Heading8Char"/>
    <w:qFormat/>
    <w:rsid w:val="00A97A94"/>
    <w:pPr>
      <w:ind w:left="720"/>
      <w:outlineLvl w:val="7"/>
    </w:pPr>
    <w:rPr>
      <w:i/>
    </w:rPr>
  </w:style>
  <w:style w:type="paragraph" w:styleId="Heading9">
    <w:name w:val="heading 9"/>
    <w:basedOn w:val="Normal"/>
    <w:next w:val="Normal"/>
    <w:link w:val="Heading9Char"/>
    <w:qFormat/>
    <w:rsid w:val="00A97A94"/>
    <w:pPr>
      <w:ind w:left="720"/>
      <w:outlineLvl w:val="8"/>
    </w:pPr>
    <w:rPr>
      <w:i/>
    </w:rPr>
  </w:style>
  <w:style w:type="character" w:default="1" w:styleId="DefaultParagraphFont">
    <w:name w:val="Default Paragraph Font"/>
    <w:uiPriority w:val="1"/>
    <w:unhideWhenUsed/>
    <w:rsid w:val="00A97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A94"/>
  </w:style>
  <w:style w:type="character" w:customStyle="1" w:styleId="Heading1Char">
    <w:name w:val="Heading 1 Char"/>
    <w:basedOn w:val="DefaultParagraphFont"/>
    <w:link w:val="Heading1"/>
    <w:rsid w:val="00A97A94"/>
    <w:rPr>
      <w:rFonts w:ascii="Times New Roman" w:eastAsia="Times New Roman" w:hAnsi="Times New Roman" w:cs="Times New Roman"/>
      <w:b/>
      <w:sz w:val="32"/>
      <w:szCs w:val="20"/>
      <w:lang w:eastAsia="en-US"/>
    </w:rPr>
  </w:style>
  <w:style w:type="paragraph" w:styleId="BodyText">
    <w:name w:val="Body Text"/>
    <w:basedOn w:val="Normal"/>
    <w:link w:val="BodyTextChar"/>
    <w:rsid w:val="00A97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A94"/>
    <w:rPr>
      <w:rFonts w:ascii="Times New Roman" w:eastAsia="Times New Roman" w:hAnsi="Times New Roman" w:cs="Times New Roman"/>
      <w:sz w:val="24"/>
      <w:lang w:eastAsia="en-US"/>
    </w:rPr>
  </w:style>
  <w:style w:type="paragraph" w:styleId="ListBullet">
    <w:name w:val="List Bullet"/>
    <w:basedOn w:val="List"/>
    <w:rsid w:val="00A97A94"/>
    <w:pPr>
      <w:numPr>
        <w:numId w:val="13"/>
      </w:numPr>
      <w:tabs>
        <w:tab w:val="clear" w:pos="340"/>
      </w:tabs>
      <w:spacing w:before="40" w:after="40"/>
    </w:pPr>
  </w:style>
  <w:style w:type="paragraph" w:styleId="ListBullet2">
    <w:name w:val="List Bullet 2"/>
    <w:basedOn w:val="List2"/>
    <w:rsid w:val="00A97A94"/>
    <w:pPr>
      <w:numPr>
        <w:numId w:val="14"/>
      </w:numPr>
      <w:tabs>
        <w:tab w:val="clear" w:pos="680"/>
      </w:tabs>
    </w:pPr>
  </w:style>
  <w:style w:type="paragraph" w:customStyle="1" w:styleId="SuperHeading">
    <w:name w:val="SuperHeading"/>
    <w:basedOn w:val="Normal"/>
    <w:rsid w:val="00A97A94"/>
    <w:pPr>
      <w:spacing w:before="240" w:after="120"/>
      <w:outlineLvl w:val="0"/>
    </w:pPr>
    <w:rPr>
      <w:rFonts w:ascii="Times New Roman" w:hAnsi="Times New Roman"/>
      <w:b/>
      <w:sz w:val="32"/>
    </w:rPr>
  </w:style>
  <w:style w:type="paragraph" w:customStyle="1" w:styleId="AllowPageBreak">
    <w:name w:val="AllowPageBreak"/>
    <w:rsid w:val="00A97A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7A94"/>
    <w:pPr>
      <w:numPr>
        <w:numId w:val="3"/>
      </w:numPr>
      <w:tabs>
        <w:tab w:val="clear" w:pos="1021"/>
      </w:tabs>
      <w:ind w:left="1037" w:hanging="357"/>
    </w:pPr>
  </w:style>
  <w:style w:type="character" w:customStyle="1" w:styleId="Heading2Char">
    <w:name w:val="Heading 2 Char"/>
    <w:basedOn w:val="DefaultParagraphFont"/>
    <w:link w:val="Heading2"/>
    <w:rsid w:val="00A97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A94"/>
    <w:rPr>
      <w:rFonts w:ascii="Courier New" w:eastAsia="Times New Roman" w:hAnsi="Courier New" w:cs="Times New Roman"/>
      <w:i/>
      <w:szCs w:val="20"/>
      <w:lang w:eastAsia="en-US"/>
    </w:rPr>
  </w:style>
  <w:style w:type="paragraph" w:customStyle="1" w:styleId="HeadingBase">
    <w:name w:val="Heading Base"/>
    <w:rsid w:val="00A97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A94"/>
    <w:pPr>
      <w:tabs>
        <w:tab w:val="right" w:leader="dot" w:pos="9072"/>
      </w:tabs>
      <w:ind w:left="567"/>
    </w:pPr>
    <w:rPr>
      <w:szCs w:val="22"/>
    </w:rPr>
  </w:style>
  <w:style w:type="paragraph" w:customStyle="1" w:styleId="TOCBase">
    <w:name w:val="TOC Base"/>
    <w:rsid w:val="00A97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A94"/>
    <w:pPr>
      <w:tabs>
        <w:tab w:val="right" w:leader="dot" w:pos="9072"/>
      </w:tabs>
      <w:spacing w:before="40" w:after="40"/>
      <w:ind w:left="284"/>
    </w:pPr>
    <w:rPr>
      <w:rFonts w:ascii="Times New Roman" w:hAnsi="Times New Roman"/>
    </w:rPr>
  </w:style>
  <w:style w:type="paragraph" w:styleId="TOC1">
    <w:name w:val="toc 1"/>
    <w:basedOn w:val="TOCBase"/>
    <w:next w:val="Normal"/>
    <w:rsid w:val="00A97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A94"/>
    <w:rPr>
      <w:rFonts w:ascii="Times New Roman" w:eastAsia="Times New Roman" w:hAnsi="Times New Roman" w:cs="Times New Roman"/>
      <w:sz w:val="16"/>
      <w:lang w:eastAsia="en-US"/>
    </w:rPr>
  </w:style>
  <w:style w:type="paragraph" w:styleId="Title">
    <w:name w:val="Title"/>
    <w:basedOn w:val="HeadingBase"/>
    <w:link w:val="TitleChar"/>
    <w:qFormat/>
    <w:rsid w:val="00A97A94"/>
    <w:pPr>
      <w:spacing w:before="5040"/>
      <w:jc w:val="center"/>
    </w:pPr>
    <w:rPr>
      <w:sz w:val="48"/>
      <w:szCs w:val="72"/>
      <w:lang w:val="en-US"/>
    </w:rPr>
  </w:style>
  <w:style w:type="character" w:customStyle="1" w:styleId="TitleChar">
    <w:name w:val="Title Char"/>
    <w:basedOn w:val="DefaultParagraphFont"/>
    <w:link w:val="Title"/>
    <w:rsid w:val="00A97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A94"/>
    <w:pPr>
      <w:tabs>
        <w:tab w:val="left" w:pos="3600"/>
        <w:tab w:val="left" w:pos="3958"/>
      </w:tabs>
    </w:pPr>
  </w:style>
  <w:style w:type="paragraph" w:styleId="List">
    <w:name w:val="List"/>
    <w:basedOn w:val="BodyText"/>
    <w:next w:val="BodyText"/>
    <w:rsid w:val="00A97A94"/>
    <w:pPr>
      <w:tabs>
        <w:tab w:val="left" w:pos="340"/>
      </w:tabs>
      <w:spacing w:before="60" w:after="60"/>
      <w:ind w:left="340" w:hanging="340"/>
    </w:pPr>
  </w:style>
  <w:style w:type="paragraph" w:customStyle="1" w:styleId="Note">
    <w:name w:val="Note"/>
    <w:basedOn w:val="BodyText"/>
    <w:rsid w:val="00A97A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7A94"/>
    <w:rPr>
      <w:b/>
      <w:spacing w:val="0"/>
    </w:rPr>
  </w:style>
  <w:style w:type="paragraph" w:customStyle="1" w:styleId="SuperTitle">
    <w:name w:val="SuperTitle"/>
    <w:basedOn w:val="Title"/>
    <w:rsid w:val="00A97A94"/>
    <w:pPr>
      <w:framePr w:wrap="auto" w:hAnchor="text" w:y="6049"/>
    </w:pPr>
    <w:rPr>
      <w:color w:val="000000"/>
      <w:sz w:val="40"/>
    </w:rPr>
  </w:style>
  <w:style w:type="paragraph" w:customStyle="1" w:styleId="TOCTitle">
    <w:name w:val="TOCTitle"/>
    <w:basedOn w:val="Heading1"/>
    <w:rsid w:val="00A97A94"/>
    <w:pPr>
      <w:spacing w:after="240"/>
      <w:jc w:val="center"/>
      <w:outlineLvl w:val="9"/>
    </w:pPr>
    <w:rPr>
      <w:caps/>
    </w:rPr>
  </w:style>
  <w:style w:type="paragraph" w:customStyle="1" w:styleId="Version">
    <w:name w:val="Version"/>
    <w:rsid w:val="00A97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A94"/>
    <w:pPr>
      <w:keepNext w:val="0"/>
      <w:tabs>
        <w:tab w:val="right" w:pos="4176"/>
      </w:tabs>
      <w:ind w:left="198" w:hanging="198"/>
    </w:pPr>
    <w:rPr>
      <w:rFonts w:ascii="Garamond" w:hAnsi="Garamond"/>
    </w:rPr>
  </w:style>
  <w:style w:type="paragraph" w:styleId="IndexHeading">
    <w:name w:val="index heading"/>
    <w:basedOn w:val="Normal"/>
    <w:next w:val="Index1"/>
    <w:semiHidden/>
    <w:rsid w:val="00A97A94"/>
    <w:pPr>
      <w:spacing w:before="120" w:after="120"/>
    </w:pPr>
    <w:rPr>
      <w:rFonts w:ascii="Arial" w:hAnsi="Arial"/>
      <w:b/>
      <w:color w:val="918585"/>
      <w:sz w:val="24"/>
    </w:rPr>
  </w:style>
  <w:style w:type="paragraph" w:styleId="Header">
    <w:name w:val="header"/>
    <w:basedOn w:val="Normal"/>
    <w:link w:val="HeaderChar"/>
    <w:rsid w:val="00A97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A94"/>
    <w:rPr>
      <w:rFonts w:ascii="Times New Roman" w:eastAsia="Times New Roman" w:hAnsi="Times New Roman" w:cs="Times New Roman"/>
      <w:sz w:val="16"/>
      <w:szCs w:val="20"/>
      <w:lang w:val="en-GB" w:eastAsia="en-US"/>
    </w:rPr>
  </w:style>
  <w:style w:type="paragraph" w:customStyle="1" w:styleId="Chapter">
    <w:name w:val="Chapter"/>
    <w:basedOn w:val="Normal"/>
    <w:rsid w:val="00A97A94"/>
    <w:pPr>
      <w:spacing w:before="240"/>
    </w:pPr>
    <w:rPr>
      <w:rFonts w:ascii="Times New Roman" w:hAnsi="Times New Roman"/>
      <w:smallCaps/>
      <w:spacing w:val="80"/>
      <w:sz w:val="28"/>
    </w:rPr>
  </w:style>
  <w:style w:type="paragraph" w:customStyle="1" w:styleId="InChapter">
    <w:name w:val="InChapter"/>
    <w:basedOn w:val="Heading3"/>
    <w:rsid w:val="00A97A94"/>
    <w:pPr>
      <w:spacing w:after="240"/>
      <w:outlineLvl w:val="9"/>
    </w:pPr>
    <w:rPr>
      <w:noProof/>
    </w:rPr>
  </w:style>
  <w:style w:type="paragraph" w:styleId="Index2">
    <w:name w:val="index 2"/>
    <w:basedOn w:val="Normal"/>
    <w:next w:val="Normal"/>
    <w:semiHidden/>
    <w:rsid w:val="00A97A94"/>
    <w:pPr>
      <w:tabs>
        <w:tab w:val="right" w:pos="4176"/>
      </w:tabs>
      <w:ind w:left="568" w:hanging="284"/>
    </w:pPr>
    <w:rPr>
      <w:rFonts w:ascii="Garamond" w:hAnsi="Garamond"/>
    </w:rPr>
  </w:style>
  <w:style w:type="paragraph" w:customStyle="1" w:styleId="Byline">
    <w:name w:val="Byline"/>
    <w:rsid w:val="00A97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A94"/>
    <w:pPr>
      <w:tabs>
        <w:tab w:val="clear" w:pos="3600"/>
        <w:tab w:val="clear" w:pos="3958"/>
      </w:tabs>
      <w:jc w:val="right"/>
    </w:pPr>
  </w:style>
  <w:style w:type="character" w:styleId="Emphasis">
    <w:name w:val="Emphasis"/>
    <w:basedOn w:val="DefaultParagraphFont"/>
    <w:qFormat/>
    <w:rsid w:val="00A97A94"/>
    <w:rPr>
      <w:i/>
    </w:rPr>
  </w:style>
  <w:style w:type="paragraph" w:styleId="Caption">
    <w:name w:val="caption"/>
    <w:basedOn w:val="BodyText"/>
    <w:next w:val="Normal"/>
    <w:qFormat/>
    <w:rsid w:val="00A97A94"/>
    <w:pPr>
      <w:framePr w:w="2268" w:hSpace="181" w:vSpace="181" w:wrap="around" w:vAnchor="text" w:hAnchor="page" w:x="1135" w:y="285" w:anchorLock="1"/>
    </w:pPr>
    <w:rPr>
      <w:i/>
    </w:rPr>
  </w:style>
  <w:style w:type="paragraph" w:customStyle="1" w:styleId="MiniTOCTitle">
    <w:name w:val="MiniTOCTitle"/>
    <w:basedOn w:val="Heading4"/>
    <w:rsid w:val="00A97A94"/>
    <w:pPr>
      <w:spacing w:before="240"/>
      <w:outlineLvl w:val="9"/>
    </w:pPr>
    <w:rPr>
      <w:noProof/>
      <w:sz w:val="24"/>
    </w:rPr>
  </w:style>
  <w:style w:type="paragraph" w:customStyle="1" w:styleId="MiniTOCItem">
    <w:name w:val="MiniTOCItem"/>
    <w:basedOn w:val="ListBullet"/>
    <w:rsid w:val="00A97A94"/>
    <w:pPr>
      <w:numPr>
        <w:numId w:val="0"/>
      </w:numPr>
      <w:tabs>
        <w:tab w:val="right" w:leader="dot" w:pos="6521"/>
      </w:tabs>
      <w:spacing w:before="0" w:after="0"/>
    </w:pPr>
  </w:style>
  <w:style w:type="paragraph" w:customStyle="1" w:styleId="TOFTitle">
    <w:name w:val="TOFTitle"/>
    <w:basedOn w:val="TOCTitle"/>
    <w:rsid w:val="00A97A94"/>
  </w:style>
  <w:style w:type="paragraph" w:styleId="TableofFigures">
    <w:name w:val="table of figures"/>
    <w:basedOn w:val="Normal"/>
    <w:next w:val="Normal"/>
    <w:semiHidden/>
    <w:rsid w:val="00A97A94"/>
    <w:pPr>
      <w:tabs>
        <w:tab w:val="right" w:leader="dot" w:pos="9072"/>
      </w:tabs>
      <w:ind w:left="970" w:hanging="403"/>
    </w:pPr>
    <w:rPr>
      <w:rFonts w:ascii="Times New Roman" w:hAnsi="Times New Roman"/>
      <w:b/>
    </w:rPr>
  </w:style>
  <w:style w:type="paragraph" w:styleId="ListNumber">
    <w:name w:val="List Number"/>
    <w:basedOn w:val="List"/>
    <w:rsid w:val="00A97A94"/>
    <w:pPr>
      <w:numPr>
        <w:numId w:val="16"/>
      </w:numPr>
      <w:tabs>
        <w:tab w:val="clear" w:pos="340"/>
      </w:tabs>
    </w:pPr>
  </w:style>
  <w:style w:type="character" w:customStyle="1" w:styleId="WingdingSymbols">
    <w:name w:val="Wingding Symbols"/>
    <w:rsid w:val="00A97A94"/>
    <w:rPr>
      <w:rFonts w:ascii="Wingdings" w:hAnsi="Wingdings"/>
    </w:rPr>
  </w:style>
  <w:style w:type="paragraph" w:customStyle="1" w:styleId="TableHeading">
    <w:name w:val="Table Heading"/>
    <w:basedOn w:val="HeadingBase"/>
    <w:rsid w:val="00A97A94"/>
    <w:pPr>
      <w:keepLines/>
      <w:pBdr>
        <w:bottom w:val="single" w:sz="6" w:space="1" w:color="918585"/>
      </w:pBdr>
      <w:spacing w:before="240"/>
    </w:pPr>
  </w:style>
  <w:style w:type="character" w:customStyle="1" w:styleId="HotSpot">
    <w:name w:val="HotSpot"/>
    <w:rsid w:val="00A97A94"/>
    <w:rPr>
      <w:color w:val="0033CC"/>
      <w:u w:val="none"/>
    </w:rPr>
  </w:style>
  <w:style w:type="paragraph" w:customStyle="1" w:styleId="BodyTextRight">
    <w:name w:val="Body Text Right"/>
    <w:basedOn w:val="BodyText"/>
    <w:rsid w:val="00A97A94"/>
    <w:pPr>
      <w:spacing w:before="0" w:after="0"/>
      <w:jc w:val="right"/>
    </w:pPr>
  </w:style>
  <w:style w:type="paragraph" w:styleId="Index3">
    <w:name w:val="index 3"/>
    <w:basedOn w:val="ListNumber2"/>
    <w:next w:val="Normal"/>
    <w:semiHidden/>
    <w:rsid w:val="00A97A94"/>
    <w:pPr>
      <w:numPr>
        <w:numId w:val="0"/>
      </w:numPr>
      <w:tabs>
        <w:tab w:val="right" w:leader="dot" w:pos="4176"/>
      </w:tabs>
    </w:pPr>
  </w:style>
  <w:style w:type="paragraph" w:styleId="ListNumber2">
    <w:name w:val="List Number 2"/>
    <w:basedOn w:val="List2"/>
    <w:rsid w:val="00A97A94"/>
    <w:pPr>
      <w:numPr>
        <w:numId w:val="11"/>
      </w:numPr>
      <w:tabs>
        <w:tab w:val="clear" w:pos="1060"/>
      </w:tabs>
    </w:pPr>
  </w:style>
  <w:style w:type="paragraph" w:customStyle="1" w:styleId="MarginNote">
    <w:name w:val="Margin Note"/>
    <w:basedOn w:val="BodyText"/>
    <w:rsid w:val="00A97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A94"/>
    <w:rPr>
      <w:sz w:val="32"/>
    </w:rPr>
  </w:style>
  <w:style w:type="paragraph" w:customStyle="1" w:styleId="HeadingProcedure">
    <w:name w:val="Heading Procedure"/>
    <w:basedOn w:val="HeadingBase"/>
    <w:next w:val="Normal"/>
    <w:rsid w:val="00A97A94"/>
    <w:pPr>
      <w:tabs>
        <w:tab w:val="left" w:pos="0"/>
      </w:tabs>
      <w:spacing w:before="120" w:after="60"/>
    </w:pPr>
    <w:rPr>
      <w:i/>
      <w:color w:val="918585"/>
      <w:sz w:val="22"/>
    </w:rPr>
  </w:style>
  <w:style w:type="paragraph" w:customStyle="1" w:styleId="TableBodyText">
    <w:name w:val="Table Body Text"/>
    <w:basedOn w:val="BodyText"/>
    <w:rsid w:val="00A97A94"/>
    <w:pPr>
      <w:spacing w:before="60" w:after="60"/>
    </w:pPr>
  </w:style>
  <w:style w:type="paragraph" w:styleId="ListContinue">
    <w:name w:val="List Continue"/>
    <w:basedOn w:val="List"/>
    <w:rsid w:val="00A97A94"/>
    <w:pPr>
      <w:ind w:firstLine="0"/>
    </w:pPr>
  </w:style>
  <w:style w:type="paragraph" w:customStyle="1" w:styleId="ListNote">
    <w:name w:val="List Note"/>
    <w:basedOn w:val="List"/>
    <w:rsid w:val="00A97A94"/>
    <w:pPr>
      <w:pBdr>
        <w:top w:val="single" w:sz="6" w:space="2" w:color="918585"/>
        <w:bottom w:val="single" w:sz="6" w:space="2" w:color="918585"/>
      </w:pBdr>
      <w:tabs>
        <w:tab w:val="left" w:pos="1021"/>
      </w:tabs>
      <w:ind w:firstLine="0"/>
    </w:pPr>
  </w:style>
  <w:style w:type="paragraph" w:customStyle="1" w:styleId="Warning">
    <w:name w:val="Warning"/>
    <w:basedOn w:val="BodyText"/>
    <w:rsid w:val="00A97A94"/>
    <w:pPr>
      <w:shd w:val="clear" w:color="auto" w:fill="D9D9D9"/>
      <w:tabs>
        <w:tab w:val="left" w:pos="992"/>
      </w:tabs>
      <w:ind w:left="119" w:right="119"/>
    </w:pPr>
    <w:rPr>
      <w:sz w:val="20"/>
    </w:rPr>
  </w:style>
  <w:style w:type="paragraph" w:customStyle="1" w:styleId="MarginIcons">
    <w:name w:val="Margin Icons"/>
    <w:basedOn w:val="BodyText"/>
    <w:rsid w:val="00A97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A94"/>
    <w:rPr>
      <w:rFonts w:ascii="Courier New" w:hAnsi="Courier New"/>
    </w:rPr>
  </w:style>
  <w:style w:type="paragraph" w:customStyle="1" w:styleId="NoteBullet">
    <w:name w:val="Note Bullet"/>
    <w:basedOn w:val="Note"/>
    <w:rsid w:val="00A97A94"/>
    <w:pPr>
      <w:tabs>
        <w:tab w:val="clear" w:pos="680"/>
      </w:tabs>
      <w:spacing w:before="60" w:after="60"/>
    </w:pPr>
  </w:style>
  <w:style w:type="paragraph" w:customStyle="1" w:styleId="SubHeading2">
    <w:name w:val="SubHeading2"/>
    <w:basedOn w:val="HeadingBase"/>
    <w:rsid w:val="00A97A94"/>
    <w:pPr>
      <w:spacing w:before="240" w:after="60"/>
    </w:pPr>
    <w:rPr>
      <w:sz w:val="20"/>
    </w:rPr>
  </w:style>
  <w:style w:type="paragraph" w:customStyle="1" w:styleId="SubHeading1">
    <w:name w:val="SubHeading1"/>
    <w:basedOn w:val="HeadingBase"/>
    <w:rsid w:val="00A97A94"/>
    <w:pPr>
      <w:spacing w:before="240" w:after="60"/>
    </w:pPr>
    <w:rPr>
      <w:color w:val="918585"/>
      <w:sz w:val="22"/>
    </w:rPr>
  </w:style>
  <w:style w:type="paragraph" w:customStyle="1" w:styleId="SideHeading">
    <w:name w:val="Side Heading"/>
    <w:basedOn w:val="HeadingBase"/>
    <w:rsid w:val="00A97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A94"/>
    <w:pPr>
      <w:numPr>
        <w:numId w:val="12"/>
      </w:numPr>
    </w:pPr>
  </w:style>
  <w:style w:type="paragraph" w:styleId="PlainText">
    <w:name w:val="Plain Text"/>
    <w:basedOn w:val="Normal"/>
    <w:link w:val="PlainTextChar"/>
    <w:rsid w:val="00A97A94"/>
    <w:rPr>
      <w:sz w:val="20"/>
    </w:rPr>
  </w:style>
  <w:style w:type="character" w:customStyle="1" w:styleId="PlainTextChar">
    <w:name w:val="Plain Text Char"/>
    <w:basedOn w:val="DefaultParagraphFont"/>
    <w:link w:val="PlainText"/>
    <w:rsid w:val="00A97A94"/>
    <w:rPr>
      <w:rFonts w:ascii="Courier New" w:eastAsia="Times New Roman" w:hAnsi="Courier New" w:cs="Times New Roman"/>
      <w:sz w:val="20"/>
      <w:szCs w:val="20"/>
      <w:lang w:eastAsia="en-US"/>
    </w:rPr>
  </w:style>
  <w:style w:type="character" w:customStyle="1" w:styleId="MenuOption">
    <w:name w:val="Menu Option"/>
    <w:basedOn w:val="DefaultParagraphFont"/>
    <w:rsid w:val="00A97A94"/>
    <w:rPr>
      <w:b/>
      <w:smallCaps/>
    </w:rPr>
  </w:style>
  <w:style w:type="paragraph" w:customStyle="1" w:styleId="TableListNumber">
    <w:name w:val="Table List Number"/>
    <w:basedOn w:val="ListNumber"/>
    <w:rsid w:val="00A97A94"/>
    <w:pPr>
      <w:numPr>
        <w:numId w:val="0"/>
      </w:numPr>
    </w:pPr>
  </w:style>
  <w:style w:type="paragraph" w:styleId="TOC4">
    <w:name w:val="toc 4"/>
    <w:basedOn w:val="TOCBase"/>
    <w:next w:val="Normal"/>
    <w:semiHidden/>
    <w:rsid w:val="00A97A94"/>
    <w:pPr>
      <w:tabs>
        <w:tab w:val="right" w:leader="dot" w:pos="9071"/>
      </w:tabs>
      <w:ind w:left="1701"/>
    </w:pPr>
  </w:style>
  <w:style w:type="paragraph" w:customStyle="1" w:styleId="ListAlpha">
    <w:name w:val="List Alpha"/>
    <w:basedOn w:val="List"/>
    <w:rsid w:val="00A97A94"/>
    <w:pPr>
      <w:numPr>
        <w:numId w:val="10"/>
      </w:numPr>
    </w:pPr>
  </w:style>
  <w:style w:type="paragraph" w:customStyle="1" w:styleId="ListAlpha2">
    <w:name w:val="List Alpha 2"/>
    <w:basedOn w:val="List2"/>
    <w:rsid w:val="00A97A94"/>
    <w:pPr>
      <w:numPr>
        <w:numId w:val="9"/>
      </w:numPr>
    </w:pPr>
  </w:style>
  <w:style w:type="paragraph" w:styleId="List2">
    <w:name w:val="List 2"/>
    <w:basedOn w:val="BodyText"/>
    <w:rsid w:val="00A97A94"/>
    <w:pPr>
      <w:tabs>
        <w:tab w:val="left" w:pos="680"/>
      </w:tabs>
      <w:spacing w:before="60" w:after="60"/>
      <w:ind w:left="680" w:hanging="340"/>
    </w:pPr>
  </w:style>
  <w:style w:type="paragraph" w:styleId="List3">
    <w:name w:val="List 3"/>
    <w:basedOn w:val="BodyText"/>
    <w:rsid w:val="00A97A94"/>
    <w:pPr>
      <w:tabs>
        <w:tab w:val="left" w:pos="1021"/>
      </w:tabs>
      <w:spacing w:before="60" w:after="60"/>
      <w:ind w:left="1020" w:hanging="340"/>
    </w:pPr>
  </w:style>
  <w:style w:type="paragraph" w:styleId="List4">
    <w:name w:val="List 4"/>
    <w:basedOn w:val="BodyText"/>
    <w:rsid w:val="00A97A94"/>
    <w:pPr>
      <w:tabs>
        <w:tab w:val="left" w:pos="1361"/>
      </w:tabs>
      <w:spacing w:before="60" w:after="60"/>
      <w:ind w:left="1361" w:hanging="340"/>
    </w:pPr>
  </w:style>
  <w:style w:type="paragraph" w:styleId="List5">
    <w:name w:val="List 5"/>
    <w:basedOn w:val="BodyText"/>
    <w:rsid w:val="00A97A94"/>
    <w:pPr>
      <w:tabs>
        <w:tab w:val="left" w:pos="1701"/>
      </w:tabs>
      <w:spacing w:before="60" w:after="60"/>
      <w:ind w:left="1701" w:hanging="340"/>
    </w:pPr>
  </w:style>
  <w:style w:type="paragraph" w:styleId="ListBullet4">
    <w:name w:val="List Bullet 4"/>
    <w:basedOn w:val="List4"/>
    <w:rsid w:val="00A97A94"/>
    <w:pPr>
      <w:numPr>
        <w:numId w:val="4"/>
      </w:numPr>
      <w:tabs>
        <w:tab w:val="clear" w:pos="1361"/>
      </w:tabs>
    </w:pPr>
  </w:style>
  <w:style w:type="paragraph" w:styleId="ListBullet5">
    <w:name w:val="List Bullet 5"/>
    <w:basedOn w:val="List5"/>
    <w:rsid w:val="00A97A94"/>
    <w:pPr>
      <w:numPr>
        <w:numId w:val="5"/>
      </w:numPr>
    </w:pPr>
  </w:style>
  <w:style w:type="paragraph" w:styleId="ListContinue2">
    <w:name w:val="List Continue 2"/>
    <w:basedOn w:val="List2"/>
    <w:rsid w:val="00A97A94"/>
    <w:pPr>
      <w:ind w:firstLine="0"/>
    </w:pPr>
  </w:style>
  <w:style w:type="paragraph" w:styleId="ListContinue3">
    <w:name w:val="List Continue 3"/>
    <w:basedOn w:val="List3"/>
    <w:rsid w:val="00A97A94"/>
    <w:pPr>
      <w:ind w:left="1021" w:firstLine="0"/>
    </w:pPr>
  </w:style>
  <w:style w:type="paragraph" w:styleId="ListContinue4">
    <w:name w:val="List Continue 4"/>
    <w:basedOn w:val="List4"/>
    <w:rsid w:val="00A97A94"/>
    <w:pPr>
      <w:ind w:firstLine="0"/>
    </w:pPr>
  </w:style>
  <w:style w:type="paragraph" w:styleId="ListContinue5">
    <w:name w:val="List Continue 5"/>
    <w:basedOn w:val="List5"/>
    <w:rsid w:val="00A97A94"/>
    <w:pPr>
      <w:ind w:firstLine="0"/>
    </w:pPr>
  </w:style>
  <w:style w:type="paragraph" w:styleId="ListNumber3">
    <w:name w:val="List Number 3"/>
    <w:basedOn w:val="List3"/>
    <w:rsid w:val="00A97A94"/>
    <w:pPr>
      <w:numPr>
        <w:numId w:val="6"/>
      </w:numPr>
    </w:pPr>
  </w:style>
  <w:style w:type="paragraph" w:styleId="ListNumber4">
    <w:name w:val="List Number 4"/>
    <w:basedOn w:val="List4"/>
    <w:rsid w:val="00A97A94"/>
    <w:pPr>
      <w:numPr>
        <w:numId w:val="7"/>
      </w:numPr>
    </w:pPr>
  </w:style>
  <w:style w:type="paragraph" w:styleId="ListNumber5">
    <w:name w:val="List Number 5"/>
    <w:basedOn w:val="List5"/>
    <w:rsid w:val="00A97A94"/>
    <w:pPr>
      <w:numPr>
        <w:numId w:val="8"/>
      </w:numPr>
    </w:pPr>
  </w:style>
  <w:style w:type="paragraph" w:styleId="BlockText">
    <w:name w:val="Block Text"/>
    <w:basedOn w:val="Normal"/>
    <w:rsid w:val="00A97A94"/>
    <w:pPr>
      <w:spacing w:after="120"/>
      <w:ind w:left="1440" w:right="1440"/>
    </w:pPr>
  </w:style>
  <w:style w:type="character" w:customStyle="1" w:styleId="Subscript">
    <w:name w:val="Subscript"/>
    <w:basedOn w:val="DefaultParagraphFont"/>
    <w:rsid w:val="00A97A94"/>
    <w:rPr>
      <w:sz w:val="16"/>
      <w:vertAlign w:val="subscript"/>
    </w:rPr>
  </w:style>
  <w:style w:type="character" w:customStyle="1" w:styleId="Superscript">
    <w:name w:val="Superscript"/>
    <w:basedOn w:val="DefaultParagraphFont"/>
    <w:rsid w:val="00A97A94"/>
    <w:rPr>
      <w:sz w:val="16"/>
      <w:vertAlign w:val="superscript"/>
    </w:rPr>
  </w:style>
  <w:style w:type="character" w:customStyle="1" w:styleId="Symbols">
    <w:name w:val="Symbols"/>
    <w:basedOn w:val="DefaultParagraphFont"/>
    <w:rsid w:val="00A97A94"/>
    <w:rPr>
      <w:rFonts w:ascii="Symbol" w:hAnsi="Symbol"/>
    </w:rPr>
  </w:style>
  <w:style w:type="character" w:customStyle="1" w:styleId="MenuOptions">
    <w:name w:val="Menu Options"/>
    <w:basedOn w:val="DefaultParagraphFont"/>
    <w:rsid w:val="00A97A94"/>
    <w:rPr>
      <w:rFonts w:ascii="Arial Narrow" w:hAnsi="Arial Narrow"/>
      <w:smallCaps/>
    </w:rPr>
  </w:style>
  <w:style w:type="character" w:customStyle="1" w:styleId="Buttons">
    <w:name w:val="Buttons"/>
    <w:basedOn w:val="DefaultParagraphFont"/>
    <w:rsid w:val="00A97A94"/>
    <w:rPr>
      <w:b/>
    </w:rPr>
  </w:style>
  <w:style w:type="character" w:customStyle="1" w:styleId="Underlined">
    <w:name w:val="Underlined"/>
    <w:basedOn w:val="DefaultParagraphFont"/>
    <w:rsid w:val="00A97A94"/>
    <w:rPr>
      <w:u w:val="single"/>
    </w:rPr>
  </w:style>
  <w:style w:type="paragraph" w:customStyle="1" w:styleId="TableBodyTextRight">
    <w:name w:val="Table Body Text Right"/>
    <w:basedOn w:val="TableBodyText"/>
    <w:rsid w:val="00A97A94"/>
    <w:pPr>
      <w:widowControl w:val="0"/>
      <w:autoSpaceDE w:val="0"/>
      <w:autoSpaceDN w:val="0"/>
      <w:adjustRightInd w:val="0"/>
      <w:jc w:val="right"/>
    </w:pPr>
    <w:rPr>
      <w:rFonts w:cs="Arial"/>
      <w:szCs w:val="18"/>
    </w:rPr>
  </w:style>
  <w:style w:type="paragraph" w:customStyle="1" w:styleId="CopyrightText">
    <w:name w:val="Copyright Text"/>
    <w:basedOn w:val="BodyText"/>
    <w:rsid w:val="00A97A94"/>
    <w:rPr>
      <w:sz w:val="18"/>
    </w:rPr>
  </w:style>
  <w:style w:type="paragraph" w:customStyle="1" w:styleId="BodySmallRight">
    <w:name w:val="Body Small Right"/>
    <w:basedOn w:val="BodyTextRight"/>
    <w:rsid w:val="00A97A94"/>
    <w:rPr>
      <w:sz w:val="18"/>
      <w:szCs w:val="18"/>
    </w:rPr>
  </w:style>
  <w:style w:type="paragraph" w:customStyle="1" w:styleId="MarginEdition">
    <w:name w:val="Margin Edition"/>
    <w:basedOn w:val="MarginNote"/>
    <w:rsid w:val="00A97A94"/>
    <w:pPr>
      <w:spacing w:before="0" w:after="0"/>
    </w:pPr>
    <w:rPr>
      <w:rFonts w:ascii="Times New Roman" w:hAnsi="Times New Roman"/>
      <w:color w:val="999999"/>
    </w:rPr>
  </w:style>
  <w:style w:type="paragraph" w:customStyle="1" w:styleId="Spacer">
    <w:name w:val="Spacer"/>
    <w:basedOn w:val="Normal"/>
    <w:rsid w:val="00A97A94"/>
    <w:rPr>
      <w:sz w:val="2"/>
      <w:szCs w:val="2"/>
    </w:rPr>
  </w:style>
  <w:style w:type="character" w:customStyle="1" w:styleId="Small">
    <w:name w:val="Small"/>
    <w:basedOn w:val="DefaultParagraphFont"/>
    <w:rsid w:val="00A97A94"/>
    <w:rPr>
      <w:sz w:val="16"/>
    </w:rPr>
  </w:style>
  <w:style w:type="paragraph" w:customStyle="1" w:styleId="WideTable">
    <w:name w:val="Wide Table"/>
    <w:basedOn w:val="Normal"/>
    <w:rsid w:val="00A97A94"/>
    <w:pPr>
      <w:ind w:left="-1418"/>
    </w:pPr>
    <w:rPr>
      <w:sz w:val="2"/>
      <w:szCs w:val="2"/>
    </w:rPr>
  </w:style>
  <w:style w:type="character" w:styleId="PageNumber">
    <w:name w:val="page number"/>
    <w:basedOn w:val="DefaultParagraphFont"/>
    <w:rsid w:val="00A97A94"/>
  </w:style>
  <w:style w:type="paragraph" w:styleId="Quote">
    <w:name w:val="Quote"/>
    <w:basedOn w:val="Heading1"/>
    <w:link w:val="QuoteChar"/>
    <w:qFormat/>
    <w:rsid w:val="00A97A94"/>
    <w:rPr>
      <w:b w:val="0"/>
      <w:sz w:val="72"/>
      <w:szCs w:val="72"/>
      <w:lang w:val="en-NZ"/>
    </w:rPr>
  </w:style>
  <w:style w:type="character" w:customStyle="1" w:styleId="QuoteChar">
    <w:name w:val="Quote Char"/>
    <w:basedOn w:val="DefaultParagraphFont"/>
    <w:link w:val="Quote"/>
    <w:rsid w:val="00A97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A94"/>
    <w:pPr>
      <w:pageBreakBefore/>
    </w:pPr>
  </w:style>
  <w:style w:type="paragraph" w:customStyle="1" w:styleId="Border">
    <w:name w:val="Border"/>
    <w:basedOn w:val="Normal"/>
    <w:qFormat/>
    <w:rsid w:val="00A97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A94"/>
    <w:rPr>
      <w:b/>
      <w:bCs/>
      <w:i/>
      <w:iCs/>
      <w:color w:val="auto"/>
    </w:rPr>
  </w:style>
  <w:style w:type="paragraph" w:styleId="IntenseQuote">
    <w:name w:val="Intense Quote"/>
    <w:basedOn w:val="Normal"/>
    <w:next w:val="Normal"/>
    <w:link w:val="IntenseQuoteChar"/>
    <w:uiPriority w:val="30"/>
    <w:qFormat/>
    <w:rsid w:val="00A97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A94"/>
    <w:rPr>
      <w:smallCaps/>
      <w:color w:val="auto"/>
      <w:u w:val="single"/>
    </w:rPr>
  </w:style>
  <w:style w:type="character" w:styleId="IntenseReference">
    <w:name w:val="Intense Reference"/>
    <w:basedOn w:val="DefaultParagraphFont"/>
    <w:uiPriority w:val="32"/>
    <w:qFormat/>
    <w:rsid w:val="00A97A94"/>
    <w:rPr>
      <w:b/>
      <w:bCs/>
      <w:smallCaps/>
      <w:color w:val="auto"/>
      <w:spacing w:val="5"/>
      <w:u w:val="single"/>
    </w:rPr>
  </w:style>
  <w:style w:type="paragraph" w:customStyle="1" w:styleId="2ColumnHeading">
    <w:name w:val="2Column Heading"/>
    <w:basedOn w:val="BodyText"/>
    <w:qFormat/>
    <w:rsid w:val="00A97A94"/>
    <w:pPr>
      <w:spacing w:after="60"/>
      <w:ind w:left="-2268"/>
    </w:pPr>
    <w:rPr>
      <w:b/>
    </w:rPr>
  </w:style>
  <w:style w:type="paragraph" w:customStyle="1" w:styleId="Heading1TOC">
    <w:name w:val="Heading1 TOC"/>
    <w:basedOn w:val="Normal"/>
    <w:qFormat/>
    <w:rsid w:val="00A97A94"/>
    <w:pPr>
      <w:spacing w:before="240" w:after="120"/>
    </w:pPr>
    <w:rPr>
      <w:rFonts w:ascii="Times New Roman" w:hAnsi="Times New Roman"/>
      <w:b/>
      <w:sz w:val="32"/>
    </w:rPr>
  </w:style>
  <w:style w:type="paragraph" w:customStyle="1" w:styleId="Heading2TOC">
    <w:name w:val="Heading2 TOC"/>
    <w:basedOn w:val="Normal"/>
    <w:qFormat/>
    <w:rsid w:val="00A97A94"/>
    <w:pPr>
      <w:spacing w:before="240" w:after="60"/>
    </w:pPr>
    <w:rPr>
      <w:rFonts w:ascii="Times New Roman" w:hAnsi="Times New Roman"/>
      <w:b/>
      <w:sz w:val="28"/>
    </w:rPr>
  </w:style>
  <w:style w:type="character" w:customStyle="1" w:styleId="Underline">
    <w:name w:val="Underline"/>
    <w:basedOn w:val="DefaultParagraphFont"/>
    <w:qFormat/>
    <w:rsid w:val="00A97A94"/>
    <w:rPr>
      <w:u w:val="single"/>
    </w:rPr>
  </w:style>
  <w:style w:type="character" w:customStyle="1" w:styleId="BoldandItalics">
    <w:name w:val="Bold and Italics"/>
    <w:qFormat/>
    <w:rsid w:val="00A97A94"/>
    <w:rPr>
      <w:b/>
      <w:i/>
      <w:u w:val="none"/>
    </w:rPr>
  </w:style>
  <w:style w:type="paragraph" w:styleId="BalloonText">
    <w:name w:val="Balloon Text"/>
    <w:basedOn w:val="Normal"/>
    <w:link w:val="BalloonTextChar"/>
    <w:rsid w:val="00A97A94"/>
    <w:rPr>
      <w:rFonts w:ascii="Tahoma" w:hAnsi="Tahoma" w:cs="Tahoma"/>
      <w:sz w:val="16"/>
      <w:szCs w:val="16"/>
    </w:rPr>
  </w:style>
  <w:style w:type="character" w:customStyle="1" w:styleId="BalloonTextChar">
    <w:name w:val="Balloon Text Char"/>
    <w:basedOn w:val="DefaultParagraphFont"/>
    <w:link w:val="BalloonText"/>
    <w:rsid w:val="00A97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A94"/>
    <w:rPr>
      <w:b/>
      <w:color w:val="660033"/>
      <w:spacing w:val="0"/>
    </w:rPr>
  </w:style>
  <w:style w:type="paragraph" w:customStyle="1" w:styleId="Nameditemlist">
    <w:name w:val="Named item list"/>
    <w:basedOn w:val="BodyText"/>
    <w:qFormat/>
    <w:rsid w:val="00A97A94"/>
    <w:pPr>
      <w:tabs>
        <w:tab w:val="left" w:pos="2835"/>
      </w:tabs>
      <w:ind w:left="2835" w:hanging="2835"/>
    </w:pPr>
  </w:style>
  <w:style w:type="paragraph" w:customStyle="1" w:styleId="BodyTextnopadding">
    <w:name w:val="Body Text no padding"/>
    <w:basedOn w:val="BodyText"/>
    <w:qFormat/>
    <w:rsid w:val="00A97A94"/>
    <w:pPr>
      <w:spacing w:before="0" w:after="0"/>
    </w:pPr>
  </w:style>
  <w:style w:type="paragraph" w:customStyle="1" w:styleId="BodyTextBold">
    <w:name w:val="Body Text Bold"/>
    <w:basedOn w:val="BodyText"/>
    <w:qFormat/>
    <w:rsid w:val="00A97A94"/>
    <w:rPr>
      <w:b/>
    </w:rPr>
  </w:style>
  <w:style w:type="character" w:styleId="Hyperlink">
    <w:name w:val="Hyperlink"/>
    <w:basedOn w:val="DefaultParagraphFont"/>
    <w:uiPriority w:val="99"/>
    <w:unhideWhenUsed/>
    <w:rsid w:val="00842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10736</Characters>
  <Application>Microsoft Office Word</Application>
  <DocSecurity>0</DocSecurity>
  <Lines>429</Lines>
  <Paragraphs>253</Paragraphs>
  <ScaleCrop>false</ScaleCrop>
  <Company>Author-it Software Corporation Ltd.</Company>
  <LinksUpToDate>false</LinksUpToDate>
  <CharactersWithSpaces>12186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CPCPRE3000 Lift and place prefabricated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