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911" w:rsidP="003B4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CPCPRE2004 Caulk prefabricated concrete elements</w:t>
      </w:r>
      <w:r>
        <w:fldChar w:fldCharType="end"/>
      </w:r>
    </w:p>
    <w:p w:rsidR="003B4911" w:rsidP="003B4911">
      <w:pPr>
        <w:pStyle w:val="Version"/>
        <w:sectPr w:rsidSect="009D7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E71" w:rsidP="009D7E71">
      <w:pPr>
        <w:pStyle w:val="SuperHeading"/>
      </w:pPr>
      <w:r w:rsidRPr="009D7E71">
        <w:t>CPCPRE2004 Caulk prefabricated concrete elements</w:t>
      </w:r>
    </w:p>
    <w:p w:rsidR="00000000" w:rsidRPr="009D7E71" w:rsidP="009D7E71">
      <w:pPr>
        <w:pStyle w:val="Heading1"/>
      </w:pPr>
      <w:bookmarkStart w:id="1" w:name="O_1260697"/>
      <w:bookmarkEnd w:id="1"/>
      <w:r w:rsidRPr="009D7E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E71" w:rsidP="009D7E71">
            <w:pPr>
              <w:pStyle w:val="BodyText"/>
            </w:pPr>
            <w:r w:rsidRPr="009D7E71">
              <w:t>This version first released with CPC Construction, Plumbing and Services Training Package Release 9.0.</w:t>
            </w:r>
          </w:p>
          <w:p w:rsidR="00000000" w:rsidRPr="009D7E71" w:rsidP="009D7E71">
            <w:pPr>
              <w:pStyle w:val="BodyText"/>
            </w:pPr>
            <w:r w:rsidRPr="009D7E71">
              <w:t>Newly created unit.</w:t>
            </w:r>
          </w:p>
        </w:tc>
      </w:tr>
    </w:tbl>
    <w:p w:rsidR="00000000" w:rsidRPr="009D7E71" w:rsidP="009D7E71">
      <w:pPr>
        <w:pStyle w:val="BodyText"/>
      </w:pPr>
    </w:p>
    <w:p w:rsidR="00000000" w:rsidRPr="009D7E71" w:rsidP="009D7E71">
      <w:pPr>
        <w:pStyle w:val="AllowPageBreak"/>
      </w:pPr>
    </w:p>
    <w:p w:rsidR="00000000" w:rsidRPr="009D7E71" w:rsidP="009D7E71">
      <w:pPr>
        <w:pStyle w:val="Heading1"/>
      </w:pPr>
      <w:bookmarkStart w:id="2" w:name="O_1260703"/>
      <w:bookmarkEnd w:id="2"/>
      <w:r w:rsidRPr="009D7E71">
        <w:t>Application</w:t>
      </w:r>
    </w:p>
    <w:p w:rsidR="00000000" w:rsidRPr="009D7E71" w:rsidP="003B4911">
      <w:pPr>
        <w:pStyle w:val="BodyText"/>
      </w:pPr>
      <w:r w:rsidRPr="009D7E71">
        <w:t xml:space="preserve">This unit of competency specifies the skills and knowledge </w:t>
      </w:r>
      <w:r w:rsidRPr="009D7E71">
        <w:t xml:space="preserve">required to caulk concrete prefabricated elements according to specified requirements. </w:t>
      </w:r>
    </w:p>
    <w:p w:rsidR="00000000" w:rsidRPr="009D7E71" w:rsidP="003B4911">
      <w:pPr>
        <w:pStyle w:val="BodyText"/>
      </w:pPr>
      <w:r w:rsidRPr="009D7E71">
        <w:t>It requires using tools and equipment appropriate for caulking prefabricated concrete elements.</w:t>
      </w:r>
    </w:p>
    <w:p w:rsidR="00000000" w:rsidRPr="009D7E71" w:rsidP="003B4911">
      <w:pPr>
        <w:pStyle w:val="BodyText"/>
      </w:pPr>
      <w:r w:rsidRPr="009D7E71">
        <w:t>A person who has achieved this unit of competency would be expected to a</w:t>
      </w:r>
      <w:r w:rsidRPr="009D7E71">
        <w:t>pply caulking techniques to vertical and horizontal joints between concrete prefabricated elements.</w:t>
      </w:r>
    </w:p>
    <w:p w:rsidR="00000000" w:rsidRPr="009D7E71" w:rsidP="003B4911">
      <w:pPr>
        <w:pStyle w:val="BodyText"/>
      </w:pPr>
      <w:r w:rsidRPr="009D7E71">
        <w:t>Completion of the general construction induction training program, specified in the Safe Work Australia model Code of Practice: Construction Work, is requir</w:t>
      </w:r>
      <w:r w:rsidRPr="009D7E71">
        <w:t>ed by anyone carrying out construction work. Achievement of CPCWHS1001 Prepare to work safely in the construction industry meets this requirement.</w:t>
      </w:r>
    </w:p>
    <w:p w:rsidR="00000000" w:rsidRPr="009D7E71" w:rsidP="003B4911">
      <w:pPr>
        <w:pStyle w:val="BodyText"/>
      </w:pPr>
      <w:r w:rsidRPr="009D7E71">
        <w:t>Licensing, legislative, regulatory or certification requirements apply to this unit of competency in some sta</w:t>
      </w:r>
      <w:r w:rsidRPr="009D7E71">
        <w:t>tes and territories. For further information, check with the relevant regulatory authority.</w:t>
      </w:r>
    </w:p>
    <w:p w:rsidR="00000000" w:rsidRPr="009D7E71" w:rsidP="009D7E71">
      <w:pPr>
        <w:pStyle w:val="Heading1"/>
      </w:pPr>
      <w:bookmarkStart w:id="3" w:name="O_1260702"/>
      <w:bookmarkEnd w:id="3"/>
      <w:r w:rsidRPr="009D7E71">
        <w:t>Pre-requisite Unit</w:t>
      </w:r>
    </w:p>
    <w:p w:rsidR="00000000" w:rsidRPr="009D7E71" w:rsidP="009D7E71">
      <w:pPr>
        <w:pStyle w:val="ListBullet"/>
      </w:pPr>
      <w:r w:rsidRPr="009D7E71">
        <w:t xml:space="preserve">CPCCWHS2001 Apply WHS requirements policies and procedures in the construction industry </w:t>
      </w:r>
    </w:p>
    <w:p w:rsidR="00000000" w:rsidRPr="009D7E71" w:rsidP="009D7E71">
      <w:pPr>
        <w:pStyle w:val="ListBullet"/>
      </w:pPr>
      <w:r w:rsidRPr="009D7E71">
        <w:t>CPCCCM2012 Work safely at heights</w:t>
      </w:r>
    </w:p>
    <w:p w:rsidR="00000000" w:rsidRPr="009D7E71" w:rsidP="009D7E71">
      <w:pPr>
        <w:pStyle w:val="AllowPageBreak"/>
      </w:pPr>
    </w:p>
    <w:p w:rsidR="00000000" w:rsidRPr="009D7E71" w:rsidP="009D7E71">
      <w:pPr>
        <w:pStyle w:val="Heading1"/>
      </w:pPr>
      <w:bookmarkStart w:id="4" w:name="O_1260701"/>
      <w:bookmarkEnd w:id="4"/>
      <w:r w:rsidRPr="009D7E71">
        <w:t>Unit Sector</w:t>
      </w:r>
    </w:p>
    <w:p w:rsidR="00000000" w:rsidRPr="009D7E71" w:rsidP="003B4911">
      <w:pPr>
        <w:pStyle w:val="BodyText"/>
      </w:pPr>
      <w:r w:rsidRPr="009D7E71">
        <w:t>Prefabricated concrete</w:t>
      </w:r>
    </w:p>
    <w:p w:rsidR="00000000" w:rsidRPr="009D7E71" w:rsidP="009D7E71">
      <w:pPr>
        <w:pStyle w:val="Heading1"/>
      </w:pPr>
      <w:bookmarkStart w:id="5" w:name="O_1260700"/>
      <w:bookmarkEnd w:id="5"/>
      <w:r w:rsidRPr="009D7E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60"/>
        <w:gridCol w:w="2210"/>
        <w:gridCol w:w="804"/>
        <w:gridCol w:w="5659"/>
      </w:tblGrid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Performance criteria describe what needs to be done to demonstrate achievement of the element.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1.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Access requirements to caulk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Review the erection design documentation and construction drawings to clarify caulking task specifications.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Review work health and safety (WHS) requirements for the task in accordance</w:t>
            </w:r>
            <w:r w:rsidRPr="009D7E71">
              <w:t xml:space="preserve"> with safety plans and policies.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 xml:space="preserve">Conduct working at heights risk assessment and follow appropriate WHS processes. 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Identify safety signage and barricade requirements.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Review environmental requirements for the task in accordance with environmental plans and legislative requirements.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Access tools, equipment and materials required to carry out task.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 xml:space="preserve">Locate the joints and confirm safety requirements, including working aloft, fall protection, accessibility and drop zones. 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2.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Prepare to caulk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Erect identified safety signage and barricade requirements, and fit p</w:t>
            </w:r>
            <w:r w:rsidRPr="009D7E71">
              <w:t>ersonal protective equipment (PPE).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Obtain plant, tools, equipment, check for serviceability and rectify or report any faults.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 xml:space="preserve">Identify materials and associated quantities/measurements required for caulking according to specifications.  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3.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Prepare concrete prefabricated joint and apply caulking and finishing technique.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 xml:space="preserve">Remove any existing fill and clean joint between concrete prefabricated elements to ensure the surface area is free from laitance, dust and dirt in accordance </w:t>
            </w:r>
            <w:r w:rsidRPr="009D7E71">
              <w:t xml:space="preserve">with manufacturer technical data sheet. 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Review need for bond break tape and install backing rod using a blunt edged tool into joint between concrete prefabricated elements in accordance with manufacturer technical data sheet to control depth of inj</w:t>
            </w:r>
            <w:r w:rsidRPr="009D7E71">
              <w:t>ected caulking material.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Check backing rod installation to ensure material is firmly secured within the joint, at the depth specified in the erection design documentation.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 xml:space="preserve">Check backing </w:t>
            </w:r>
            <w:r w:rsidRPr="009D7E71">
              <w:t>rod installation is free of punctures and air pockets and complies with fire rating and acoustic requirements.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Assess if priming agent is required and, if so, apply to both edges/sides of the backing rod and concrete prefabricated elements in accord</w:t>
            </w:r>
            <w:r w:rsidRPr="009D7E71">
              <w:t>ance with the manufacturer technical data sheets.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Access approved sealant and apply in a constant motion using steady pressure, filling the required void, to achieve a uniform appearance in accordance with the manufacturer technical data sheet.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Back tool the sealant immediately after caulking, using an appropriate caulking tool in accordance with the manufacturer technical data sheet to achieve a smooth and uniform finish, ensuring both sides of the joint are flush with sealant chamfer end.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4.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Clear work area and dispose of, reuse or recycle materials in accordance with regulatory and workplace requirements.</w:t>
            </w:r>
          </w:p>
        </w:tc>
      </w:tr>
      <w:tr w:rsidTr="009D7E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E71">
            <w:pPr>
              <w:pStyle w:val="BodyText"/>
              <w:rPr>
                <w:lang w:val="en-NZ"/>
              </w:rPr>
            </w:pPr>
            <w:r w:rsidRPr="009D7E7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E71" w:rsidP="009D7E71">
            <w:pPr>
              <w:pStyle w:val="BodyText"/>
            </w:pPr>
            <w:r w:rsidRPr="009D7E71">
              <w:t>Clean, check, maintain and store tools and equipment in accordance with manufacturer and workplace requirements.</w:t>
            </w:r>
          </w:p>
        </w:tc>
      </w:tr>
    </w:tbl>
    <w:p w:rsidR="00000000" w:rsidRPr="009D7E71" w:rsidP="009D7E71">
      <w:pPr>
        <w:pStyle w:val="BodyText"/>
      </w:pPr>
    </w:p>
    <w:p w:rsidR="00000000" w:rsidRPr="009D7E71" w:rsidP="009D7E71">
      <w:pPr>
        <w:pStyle w:val="AllowPageBreak"/>
      </w:pPr>
    </w:p>
    <w:p w:rsidR="00000000" w:rsidRPr="009D7E71" w:rsidP="009D7E71">
      <w:pPr>
        <w:pStyle w:val="Heading1"/>
      </w:pPr>
      <w:bookmarkStart w:id="6" w:name="O_1260699"/>
      <w:bookmarkEnd w:id="6"/>
      <w:r w:rsidRPr="009D7E71">
        <w:t>Foundation Skills</w:t>
      </w:r>
    </w:p>
    <w:p w:rsidR="00000000" w:rsidRPr="009D7E71" w:rsidP="003B4911">
      <w:pPr>
        <w:pStyle w:val="BodyText"/>
      </w:pPr>
      <w:r w:rsidRPr="009D7E71">
        <w:t>Foundation skills essential to performance are explicit in the performance criteria of this unit of comp</w:t>
      </w:r>
      <w:r w:rsidRPr="009D7E71">
        <w:t xml:space="preserve">etency. </w:t>
      </w:r>
    </w:p>
    <w:p w:rsidR="00000000" w:rsidRPr="009D7E71" w:rsidP="009D7E71">
      <w:pPr>
        <w:pStyle w:val="Heading1"/>
      </w:pPr>
      <w:bookmarkStart w:id="7" w:name="O_1260698"/>
      <w:bookmarkEnd w:id="7"/>
      <w:r w:rsidRPr="009D7E71">
        <w:t>Unit Mapping Information</w:t>
      </w:r>
    </w:p>
    <w:p w:rsidR="00000000" w:rsidRPr="009D7E71" w:rsidP="003B4911">
      <w:pPr>
        <w:pStyle w:val="BodyText"/>
      </w:pPr>
      <w:r w:rsidRPr="009D7E71">
        <w:t>No equivalent unit.</w:t>
      </w:r>
    </w:p>
    <w:p w:rsidR="00000000" w:rsidRPr="009D7E71" w:rsidP="009D7E71">
      <w:pPr>
        <w:pStyle w:val="Heading1"/>
      </w:pPr>
      <w:bookmarkStart w:id="8" w:name="O_1260691"/>
      <w:bookmarkEnd w:id="8"/>
      <w:r w:rsidRPr="009D7E71">
        <w:t>Links</w:t>
      </w:r>
    </w:p>
    <w:p w:rsidR="00000000" w:rsidRPr="009D7E71" w:rsidP="003B4911">
      <w:pPr>
        <w:pStyle w:val="BodyText"/>
      </w:pPr>
      <w:r w:rsidRPr="009D7E7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34D3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D7E71" w:rsidP="009D7E71"/>
    <w:sectPr w:rsidSect="009D7E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71" w:rsidRPr="003B4911" w:rsidP="003B4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11" w:rsidP="009D7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911" w:rsidP="009D7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B4911" w:rsidP="009D7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E71" w:rsidRPr="003B4911" w:rsidP="003B49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11" w:rsidRPr="002D2AF8" w:rsidP="009D7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CPCPRE2004 Caulk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B4911" w:rsidP="009D7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CCF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B415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E71"/>
  </w:style>
  <w:style w:type="character" w:customStyle="1" w:styleId="Heading1Char">
    <w:name w:val="Heading 1 Char"/>
    <w:basedOn w:val="DefaultParagraphFont"/>
    <w:link w:val="Heading1"/>
    <w:rsid w:val="009D7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E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E7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D7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E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E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E71"/>
    <w:rPr>
      <w:b/>
      <w:spacing w:val="0"/>
    </w:rPr>
  </w:style>
  <w:style w:type="paragraph" w:customStyle="1" w:styleId="SuperTitle">
    <w:name w:val="SuperTitle"/>
    <w:basedOn w:val="Title"/>
    <w:rsid w:val="009D7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E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E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E71"/>
    <w:rPr>
      <w:i/>
    </w:rPr>
  </w:style>
  <w:style w:type="paragraph" w:styleId="Caption">
    <w:name w:val="caption"/>
    <w:basedOn w:val="BodyText"/>
    <w:next w:val="Normal"/>
    <w:qFormat/>
    <w:rsid w:val="009D7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E71"/>
  </w:style>
  <w:style w:type="paragraph" w:styleId="TableofFigures">
    <w:name w:val="table of figures"/>
    <w:basedOn w:val="Normal"/>
    <w:next w:val="Normal"/>
    <w:semiHidden/>
    <w:rsid w:val="009D7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E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7E71"/>
    <w:rPr>
      <w:rFonts w:ascii="Wingdings" w:hAnsi="Wingdings"/>
    </w:rPr>
  </w:style>
  <w:style w:type="paragraph" w:customStyle="1" w:styleId="TableHeading">
    <w:name w:val="Table Heading"/>
    <w:basedOn w:val="HeadingBase"/>
    <w:rsid w:val="009D7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E71"/>
    <w:rPr>
      <w:color w:val="0033CC"/>
      <w:u w:val="none"/>
    </w:rPr>
  </w:style>
  <w:style w:type="paragraph" w:customStyle="1" w:styleId="BodyTextRight">
    <w:name w:val="Body Text Right"/>
    <w:basedOn w:val="BodyText"/>
    <w:rsid w:val="009D7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E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E71"/>
    <w:rPr>
      <w:sz w:val="32"/>
    </w:rPr>
  </w:style>
  <w:style w:type="paragraph" w:customStyle="1" w:styleId="HeadingProcedure">
    <w:name w:val="Heading Procedure"/>
    <w:basedOn w:val="HeadingBase"/>
    <w:next w:val="Normal"/>
    <w:rsid w:val="009D7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E71"/>
    <w:pPr>
      <w:spacing w:before="60" w:after="60"/>
    </w:pPr>
  </w:style>
  <w:style w:type="paragraph" w:styleId="ListContinue">
    <w:name w:val="List Continue"/>
    <w:basedOn w:val="List"/>
    <w:rsid w:val="009D7E71"/>
    <w:pPr>
      <w:ind w:firstLine="0"/>
    </w:pPr>
  </w:style>
  <w:style w:type="paragraph" w:customStyle="1" w:styleId="ListNote">
    <w:name w:val="List Note"/>
    <w:basedOn w:val="List"/>
    <w:rsid w:val="009D7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E71"/>
    <w:rPr>
      <w:rFonts w:ascii="Courier New" w:hAnsi="Courier New"/>
    </w:rPr>
  </w:style>
  <w:style w:type="paragraph" w:customStyle="1" w:styleId="NoteBullet">
    <w:name w:val="Note Bullet"/>
    <w:basedOn w:val="Note"/>
    <w:rsid w:val="009D7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E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E71"/>
    <w:rPr>
      <w:b/>
      <w:smallCaps/>
    </w:rPr>
  </w:style>
  <w:style w:type="paragraph" w:customStyle="1" w:styleId="TableListNumber">
    <w:name w:val="Table List Number"/>
    <w:basedOn w:val="ListNumber"/>
    <w:rsid w:val="009D7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E71"/>
    <w:pPr>
      <w:numPr>
        <w:numId w:val="8"/>
      </w:numPr>
    </w:pPr>
  </w:style>
  <w:style w:type="paragraph" w:customStyle="1" w:styleId="ListAlpha2">
    <w:name w:val="List Alpha 2"/>
    <w:basedOn w:val="List2"/>
    <w:rsid w:val="009D7E71"/>
    <w:pPr>
      <w:numPr>
        <w:numId w:val="7"/>
      </w:numPr>
    </w:pPr>
  </w:style>
  <w:style w:type="paragraph" w:styleId="List2">
    <w:name w:val="List 2"/>
    <w:basedOn w:val="BodyText"/>
    <w:rsid w:val="009D7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E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E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7E71"/>
    <w:pPr>
      <w:numPr>
        <w:numId w:val="3"/>
      </w:numPr>
    </w:pPr>
  </w:style>
  <w:style w:type="paragraph" w:styleId="ListContinue2">
    <w:name w:val="List Continue 2"/>
    <w:basedOn w:val="List2"/>
    <w:rsid w:val="009D7E71"/>
    <w:pPr>
      <w:ind w:firstLine="0"/>
    </w:pPr>
  </w:style>
  <w:style w:type="paragraph" w:styleId="ListContinue3">
    <w:name w:val="List Continue 3"/>
    <w:basedOn w:val="List3"/>
    <w:rsid w:val="009D7E71"/>
    <w:pPr>
      <w:ind w:left="1021" w:firstLine="0"/>
    </w:pPr>
  </w:style>
  <w:style w:type="paragraph" w:styleId="ListContinue4">
    <w:name w:val="List Continue 4"/>
    <w:basedOn w:val="List4"/>
    <w:rsid w:val="009D7E71"/>
    <w:pPr>
      <w:ind w:firstLine="0"/>
    </w:pPr>
  </w:style>
  <w:style w:type="paragraph" w:styleId="ListContinue5">
    <w:name w:val="List Continue 5"/>
    <w:basedOn w:val="List5"/>
    <w:rsid w:val="009D7E71"/>
    <w:pPr>
      <w:ind w:firstLine="0"/>
    </w:pPr>
  </w:style>
  <w:style w:type="paragraph" w:styleId="ListNumber3">
    <w:name w:val="List Number 3"/>
    <w:basedOn w:val="List3"/>
    <w:rsid w:val="009D7E71"/>
    <w:pPr>
      <w:numPr>
        <w:numId w:val="4"/>
      </w:numPr>
    </w:pPr>
  </w:style>
  <w:style w:type="paragraph" w:styleId="ListNumber4">
    <w:name w:val="List Number 4"/>
    <w:basedOn w:val="List4"/>
    <w:rsid w:val="009D7E71"/>
    <w:pPr>
      <w:numPr>
        <w:numId w:val="5"/>
      </w:numPr>
    </w:pPr>
  </w:style>
  <w:style w:type="paragraph" w:styleId="ListNumber5">
    <w:name w:val="List Number 5"/>
    <w:basedOn w:val="List5"/>
    <w:rsid w:val="009D7E71"/>
    <w:pPr>
      <w:numPr>
        <w:numId w:val="6"/>
      </w:numPr>
    </w:pPr>
  </w:style>
  <w:style w:type="paragraph" w:styleId="BlockText">
    <w:name w:val="Block Text"/>
    <w:basedOn w:val="Normal"/>
    <w:rsid w:val="009D7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E71"/>
    <w:rPr>
      <w:sz w:val="16"/>
      <w:vertAlign w:val="superscript"/>
    </w:rPr>
  </w:style>
  <w:style w:type="character" w:customStyle="1" w:styleId="Symbols">
    <w:name w:val="Symbols"/>
    <w:basedOn w:val="DefaultParagraphFont"/>
    <w:rsid w:val="009D7E71"/>
    <w:rPr>
      <w:rFonts w:ascii="Symbol" w:hAnsi="Symbol"/>
    </w:rPr>
  </w:style>
  <w:style w:type="character" w:customStyle="1" w:styleId="MenuOptions">
    <w:name w:val="Menu Options"/>
    <w:basedOn w:val="DefaultParagraphFont"/>
    <w:rsid w:val="009D7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E71"/>
    <w:rPr>
      <w:b/>
    </w:rPr>
  </w:style>
  <w:style w:type="character" w:customStyle="1" w:styleId="Underlined">
    <w:name w:val="Underlined"/>
    <w:basedOn w:val="DefaultParagraphFont"/>
    <w:rsid w:val="009D7E71"/>
    <w:rPr>
      <w:u w:val="single"/>
    </w:rPr>
  </w:style>
  <w:style w:type="paragraph" w:customStyle="1" w:styleId="TableBodyTextRight">
    <w:name w:val="Table Body Text Right"/>
    <w:basedOn w:val="TableBodyText"/>
    <w:rsid w:val="009D7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E71"/>
    <w:rPr>
      <w:sz w:val="18"/>
    </w:rPr>
  </w:style>
  <w:style w:type="paragraph" w:customStyle="1" w:styleId="BodySmallRight">
    <w:name w:val="Body Small Right"/>
    <w:basedOn w:val="BodyTextRight"/>
    <w:rsid w:val="009D7E71"/>
    <w:rPr>
      <w:sz w:val="18"/>
      <w:szCs w:val="18"/>
    </w:rPr>
  </w:style>
  <w:style w:type="paragraph" w:customStyle="1" w:styleId="MarginEdition">
    <w:name w:val="Margin Edition"/>
    <w:basedOn w:val="MarginNote"/>
    <w:rsid w:val="009D7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E71"/>
    <w:rPr>
      <w:sz w:val="2"/>
      <w:szCs w:val="2"/>
    </w:rPr>
  </w:style>
  <w:style w:type="character" w:customStyle="1" w:styleId="Small">
    <w:name w:val="Small"/>
    <w:basedOn w:val="DefaultParagraphFont"/>
    <w:rsid w:val="009D7E71"/>
    <w:rPr>
      <w:sz w:val="16"/>
    </w:rPr>
  </w:style>
  <w:style w:type="paragraph" w:customStyle="1" w:styleId="WideTable">
    <w:name w:val="Wide Table"/>
    <w:basedOn w:val="Normal"/>
    <w:rsid w:val="009D7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E71"/>
  </w:style>
  <w:style w:type="paragraph" w:styleId="Quote">
    <w:name w:val="Quote"/>
    <w:basedOn w:val="Heading1"/>
    <w:link w:val="QuoteChar"/>
    <w:qFormat/>
    <w:rsid w:val="009D7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E71"/>
    <w:pPr>
      <w:pageBreakBefore/>
    </w:pPr>
  </w:style>
  <w:style w:type="paragraph" w:customStyle="1" w:styleId="Border">
    <w:name w:val="Border"/>
    <w:basedOn w:val="Normal"/>
    <w:qFormat/>
    <w:rsid w:val="009D7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E71"/>
    <w:rPr>
      <w:u w:val="single"/>
    </w:rPr>
  </w:style>
  <w:style w:type="character" w:customStyle="1" w:styleId="BoldandItalics">
    <w:name w:val="Bold and Italics"/>
    <w:qFormat/>
    <w:rsid w:val="009D7E71"/>
    <w:rPr>
      <w:b/>
      <w:i/>
      <w:u w:val="none"/>
    </w:rPr>
  </w:style>
  <w:style w:type="paragraph" w:styleId="BalloonText">
    <w:name w:val="Balloon Text"/>
    <w:basedOn w:val="Normal"/>
    <w:link w:val="BalloonTextChar"/>
    <w:rsid w:val="009D7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E71"/>
    <w:pPr>
      <w:spacing w:before="0" w:after="0"/>
    </w:pPr>
  </w:style>
  <w:style w:type="paragraph" w:customStyle="1" w:styleId="BodyTextBold">
    <w:name w:val="Body Text Bold"/>
    <w:basedOn w:val="BodyText"/>
    <w:qFormat/>
    <w:rsid w:val="009D7E71"/>
    <w:rPr>
      <w:b/>
    </w:rPr>
  </w:style>
  <w:style w:type="character" w:styleId="Hyperlink">
    <w:name w:val="Hyperlink"/>
    <w:basedOn w:val="DefaultParagraphFont"/>
    <w:uiPriority w:val="99"/>
    <w:unhideWhenUsed/>
    <w:rsid w:val="003B4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4264</Characters>
  <Application>Microsoft Office Word</Application>
  <DocSecurity>0</DocSecurity>
  <Lines>193</Lines>
  <Paragraphs>88</Paragraphs>
  <ScaleCrop>false</ScaleCrop>
  <Company>Author-it Software Corporation Ltd.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CPCPRE2004 Caulk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