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86C" w:rsidP="008A7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CPCPRE2004 Caulk prefabricated concrete elements</w:t>
      </w:r>
      <w:r>
        <w:fldChar w:fldCharType="end"/>
      </w:r>
    </w:p>
    <w:p w:rsidR="008A786C" w:rsidP="008A786C">
      <w:pPr>
        <w:pStyle w:val="Version"/>
        <w:sectPr w:rsidSect="006B7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EAA" w:rsidP="006B7EAA">
      <w:pPr>
        <w:pStyle w:val="SuperHeading"/>
      </w:pPr>
      <w:r w:rsidRPr="006B7EAA">
        <w:t>CPCPRE2004 Caulk prefabricated concrete elements</w:t>
      </w:r>
    </w:p>
    <w:p w:rsidR="00000000" w:rsidRPr="006B7EAA" w:rsidP="006B7EAA">
      <w:pPr>
        <w:pStyle w:val="Heading1"/>
      </w:pPr>
      <w:bookmarkStart w:id="1" w:name="O_1260697"/>
      <w:bookmarkEnd w:id="1"/>
      <w:r w:rsidRPr="006B7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AA" w:rsidP="006B7EAA">
            <w:pPr>
              <w:pStyle w:val="BodyText"/>
            </w:pPr>
            <w:r w:rsidRPr="006B7EAA">
              <w:t>This version first released with CPC Construction, Plumbing and Services Training Package Release 9.0.</w:t>
            </w:r>
          </w:p>
          <w:p w:rsidR="00000000" w:rsidRPr="006B7EAA" w:rsidP="006B7EAA">
            <w:pPr>
              <w:pStyle w:val="BodyText"/>
            </w:pPr>
            <w:r w:rsidRPr="006B7EAA">
              <w:t>Newly created unit.</w:t>
            </w:r>
          </w:p>
        </w:tc>
      </w:tr>
    </w:tbl>
    <w:p w:rsidR="00000000" w:rsidRPr="006B7EAA" w:rsidP="006B7EAA">
      <w:pPr>
        <w:pStyle w:val="BodyText"/>
      </w:pPr>
    </w:p>
    <w:p w:rsidR="00000000" w:rsidRPr="006B7EAA" w:rsidP="006B7EAA">
      <w:pPr>
        <w:pStyle w:val="AllowPageBreak"/>
      </w:pPr>
    </w:p>
    <w:p w:rsidR="00000000" w:rsidRPr="006B7EAA" w:rsidP="006B7EAA">
      <w:pPr>
        <w:pStyle w:val="Heading1"/>
      </w:pPr>
      <w:bookmarkStart w:id="2" w:name="O_1260703"/>
      <w:bookmarkEnd w:id="2"/>
      <w:r w:rsidRPr="006B7EAA">
        <w:t>Application</w:t>
      </w:r>
    </w:p>
    <w:p w:rsidR="00000000" w:rsidRPr="006B7EAA" w:rsidP="008A786C">
      <w:pPr>
        <w:pStyle w:val="BodyText"/>
      </w:pPr>
      <w:r w:rsidRPr="006B7EAA">
        <w:t xml:space="preserve">This unit of competency specifies the skills and knowledge </w:t>
      </w:r>
      <w:r w:rsidRPr="006B7EAA">
        <w:t xml:space="preserve">required to caulk concrete prefabricated elements according to specified requirements. </w:t>
      </w:r>
    </w:p>
    <w:p w:rsidR="00000000" w:rsidRPr="006B7EAA" w:rsidP="008A786C">
      <w:pPr>
        <w:pStyle w:val="BodyText"/>
      </w:pPr>
      <w:r w:rsidRPr="006B7EAA">
        <w:t>It requires using tools and equipment appropriate for caulking prefabricated concrete elements.</w:t>
      </w:r>
    </w:p>
    <w:p w:rsidR="00000000" w:rsidRPr="006B7EAA" w:rsidP="008A786C">
      <w:pPr>
        <w:pStyle w:val="BodyText"/>
      </w:pPr>
      <w:r w:rsidRPr="006B7EAA">
        <w:t>A person who has achieved this unit of competency would be expected to a</w:t>
      </w:r>
      <w:r w:rsidRPr="006B7EAA">
        <w:t>pply caulking techniques to vertical and horizontal joints between concrete prefabricated elements.</w:t>
      </w:r>
    </w:p>
    <w:p w:rsidR="00000000" w:rsidRPr="006B7EAA" w:rsidP="008A786C">
      <w:pPr>
        <w:pStyle w:val="BodyText"/>
      </w:pPr>
      <w:r w:rsidRPr="006B7EAA">
        <w:t>Completion of the general construction induction training program, specified in the Safe Work Australia model Code of Practice: Construction Work, is requir</w:t>
      </w:r>
      <w:r w:rsidRPr="006B7EAA">
        <w:t>ed by anyone carrying out construction work. Achievement of CPCWHS1001 Prepare to work safely in the construction industry meets this requirement.</w:t>
      </w:r>
    </w:p>
    <w:p w:rsidR="00000000" w:rsidRPr="006B7EAA" w:rsidP="008A786C">
      <w:pPr>
        <w:pStyle w:val="BodyText"/>
      </w:pPr>
      <w:r w:rsidRPr="006B7EAA">
        <w:t>Licensing, legislative, regulatory or certification requirements apply to this unit of competency in some sta</w:t>
      </w:r>
      <w:r w:rsidRPr="006B7EAA">
        <w:t>tes and territories. For further information, check with the relevant regulatory authority.</w:t>
      </w:r>
    </w:p>
    <w:p w:rsidR="00000000" w:rsidRPr="006B7EAA" w:rsidP="006B7EAA">
      <w:pPr>
        <w:pStyle w:val="Heading1"/>
      </w:pPr>
      <w:bookmarkStart w:id="3" w:name="O_1260702"/>
      <w:bookmarkEnd w:id="3"/>
      <w:r w:rsidRPr="006B7EAA">
        <w:t>Pre-requisite Unit</w:t>
      </w:r>
    </w:p>
    <w:p w:rsidR="00000000" w:rsidRPr="006B7EAA" w:rsidP="006B7EAA">
      <w:pPr>
        <w:pStyle w:val="ListBullet"/>
      </w:pPr>
      <w:r w:rsidRPr="006B7EAA">
        <w:t xml:space="preserve">CPCCWHS2001 Apply WHS requirements policies and procedures in the construction industry </w:t>
      </w:r>
    </w:p>
    <w:p w:rsidR="00000000" w:rsidRPr="006B7EAA" w:rsidP="006B7EAA">
      <w:pPr>
        <w:pStyle w:val="ListBullet"/>
      </w:pPr>
      <w:r w:rsidRPr="006B7EAA">
        <w:t>CPCCCM2012 Work safely at heights</w:t>
      </w:r>
    </w:p>
    <w:p w:rsidR="00000000" w:rsidRPr="006B7EAA" w:rsidP="006B7EAA">
      <w:pPr>
        <w:pStyle w:val="AllowPageBreak"/>
      </w:pPr>
    </w:p>
    <w:p w:rsidR="00000000" w:rsidRPr="006B7EAA" w:rsidP="006B7EAA">
      <w:pPr>
        <w:pStyle w:val="Heading1"/>
      </w:pPr>
      <w:bookmarkStart w:id="4" w:name="O_1260701"/>
      <w:bookmarkEnd w:id="4"/>
      <w:r w:rsidRPr="006B7EAA">
        <w:t>Unit Sector</w:t>
      </w:r>
    </w:p>
    <w:p w:rsidR="00000000" w:rsidRPr="006B7EAA" w:rsidP="008A786C">
      <w:pPr>
        <w:pStyle w:val="BodyText"/>
      </w:pPr>
      <w:r w:rsidRPr="006B7EAA">
        <w:t>Prefabricated concrete</w:t>
      </w:r>
    </w:p>
    <w:p w:rsidR="00000000" w:rsidRPr="006B7EAA" w:rsidP="006B7EAA">
      <w:pPr>
        <w:pStyle w:val="Heading1"/>
      </w:pPr>
      <w:bookmarkStart w:id="5" w:name="O_1260700"/>
      <w:bookmarkEnd w:id="5"/>
      <w:r w:rsidRPr="006B7E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60"/>
        <w:gridCol w:w="2210"/>
        <w:gridCol w:w="804"/>
        <w:gridCol w:w="5659"/>
      </w:tblGrid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Performance criteria describe what needs to be done to demonstrate achievement of the element.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Access requirements to caulk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Review the erection design documentation and construction drawings to clarify caulking task specifications.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Review work health and safety (WHS) requirements for the task in accordance</w:t>
            </w:r>
            <w:r w:rsidRPr="006B7EAA">
              <w:t xml:space="preserve"> with safety plans and policies.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 xml:space="preserve">Conduct working at heights risk assessment and follow appropriate WHS processes. 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Identify safety signage and barricade requirements.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Rev</w:t>
            </w:r>
            <w:r w:rsidRPr="006B7EAA">
              <w:t>iew environmental requirements for the task in accordance with environmental plans and legislative requirements.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Access tools, equipment and materials required to carry out task.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 xml:space="preserve">Locate the joints and confirm safety requirements, including working aloft, fall protection, accessibility and drop zones. 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2.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Prepare to caulk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Erect identified safety signage and barricade requirements, and fit p</w:t>
            </w:r>
            <w:r w:rsidRPr="006B7EAA">
              <w:t>ersonal protective equipment (PPE).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Obtain plant, tools, equipment, check for serviceability and rectify or report any faults.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 xml:space="preserve">Identify materials and associated quantities/measurements required for caulking according to specifications.  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Prepare concrete prefabricated joint and apply caulking and finishing technique.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 xml:space="preserve">Remove any existing fill and clean joint between concrete prefabricated elements to ensure the surface area is free from laitance, dust and dirt in accordance </w:t>
            </w:r>
            <w:r w:rsidRPr="006B7EAA">
              <w:t xml:space="preserve">with manufacturer technical data sheet. 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Review need for bond break tape and install backing rod using a blunt edged tool into joint between concrete prefabricated elements in accordance with manufacturer technical data sheet to control depth of inj</w:t>
            </w:r>
            <w:r w:rsidRPr="006B7EAA">
              <w:t>ected caulking material.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Check backing rod installation to ensure material is firmly secured within the joint, at the depth specified in the erection design documentation.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Check backing rod installation is free of punctures and air pockets and complies with fire rating and acoustic requirements.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Assess if priming agent is required and, if so, apply to both edges/sides of the backing rod and concrete prefabricated elem</w:t>
            </w:r>
            <w:r w:rsidRPr="006B7EAA">
              <w:t>ents in accordance with the manufacturer technical data sheets.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Access approved sealant and apply in a constant motion using steady pressure, filling the required void, to achieve a uniform appearance in accordance with the manufacturer technical da</w:t>
            </w:r>
            <w:r w:rsidRPr="006B7EAA">
              <w:t>ta sheet.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 xml:space="preserve">Back tool the sealant immediately after caulking, using an appropriate caulking tool in accordance with the manufacturer technical data sheet to achieve a </w:t>
            </w:r>
            <w:r w:rsidRPr="006B7EAA">
              <w:t>smooth and uniform finish, ensuring both sides of the joint are flush with sealant chamfer end.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4.</w:t>
            </w:r>
          </w:p>
        </w:tc>
        <w:tc>
          <w:tcPr>
            <w:tcW w:w="22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Clear work area and dispose of, reuse or recycle materials in accordance with regulatory and workplace requirements.</w:t>
            </w:r>
          </w:p>
        </w:tc>
      </w:tr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AA" w:rsidP="006B7EAA">
            <w:pPr>
              <w:pStyle w:val="BodyText"/>
            </w:pPr>
            <w:r w:rsidRPr="006B7EAA">
              <w:t>Clean, check, maintain and store tools and equipment in accordance with manufacturer and workplace requirements.</w:t>
            </w:r>
          </w:p>
        </w:tc>
      </w:tr>
    </w:tbl>
    <w:p w:rsidR="00000000" w:rsidRPr="006B7EAA" w:rsidP="006B7EAA">
      <w:pPr>
        <w:pStyle w:val="BodyText"/>
      </w:pPr>
    </w:p>
    <w:p w:rsidR="00000000" w:rsidRPr="006B7EAA" w:rsidP="006B7EAA">
      <w:pPr>
        <w:pStyle w:val="AllowPageBreak"/>
      </w:pPr>
    </w:p>
    <w:p w:rsidR="00000000" w:rsidRPr="006B7EAA" w:rsidP="006B7EAA">
      <w:pPr>
        <w:pStyle w:val="Heading1"/>
      </w:pPr>
      <w:bookmarkStart w:id="6" w:name="O_1260699"/>
      <w:bookmarkEnd w:id="6"/>
      <w:r w:rsidRPr="006B7EAA">
        <w:t>Foundation Skills</w:t>
      </w:r>
    </w:p>
    <w:p w:rsidR="00000000" w:rsidRPr="006B7EAA" w:rsidP="008A786C">
      <w:pPr>
        <w:pStyle w:val="BodyText"/>
      </w:pPr>
      <w:r w:rsidRPr="006B7EAA">
        <w:t>Foundation skills essential to performance are explicit in the performance criteria of this unit of comp</w:t>
      </w:r>
      <w:r w:rsidRPr="006B7EAA">
        <w:t xml:space="preserve">etency. </w:t>
      </w:r>
    </w:p>
    <w:p w:rsidR="00000000" w:rsidRPr="006B7EAA" w:rsidP="006B7EAA">
      <w:pPr>
        <w:pStyle w:val="Heading1"/>
      </w:pPr>
      <w:bookmarkStart w:id="7" w:name="O_1260698"/>
      <w:bookmarkEnd w:id="7"/>
      <w:r w:rsidRPr="006B7EAA">
        <w:t>Unit Mapping Information</w:t>
      </w:r>
    </w:p>
    <w:p w:rsidR="00000000" w:rsidRPr="006B7EAA" w:rsidP="008A786C">
      <w:pPr>
        <w:pStyle w:val="BodyText"/>
      </w:pPr>
      <w:r w:rsidRPr="006B7EAA">
        <w:t>No equivalent unit.</w:t>
      </w:r>
    </w:p>
    <w:p w:rsidR="00000000" w:rsidRPr="006B7EAA" w:rsidP="006B7EAA">
      <w:pPr>
        <w:pStyle w:val="Heading1"/>
      </w:pPr>
      <w:bookmarkStart w:id="8" w:name="O_1260691"/>
      <w:bookmarkEnd w:id="8"/>
      <w:r w:rsidRPr="006B7EAA">
        <w:t>Links</w:t>
      </w:r>
    </w:p>
    <w:p w:rsidR="00000000" w:rsidRPr="006B7EAA" w:rsidP="008A786C">
      <w:pPr>
        <w:pStyle w:val="BodyText"/>
      </w:pPr>
      <w:r w:rsidRPr="006B7EA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B251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B7EAA" w:rsidP="008A786C">
      <w:pPr>
        <w:pStyle w:val="BodyText"/>
        <w:sectPr w:rsidSect="006B7E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7EAA" w:rsidP="006B7EAA">
      <w:pPr>
        <w:pStyle w:val="SuperHeading"/>
      </w:pPr>
      <w:r w:rsidRPr="006B7EAA">
        <w:t>Assessment Requirements for CPCPRE2004 Caul</w:t>
      </w:r>
      <w:r w:rsidRPr="006B7EAA">
        <w:t>k prefabricated concrete elements</w:t>
      </w:r>
    </w:p>
    <w:p w:rsidR="00000000" w:rsidRPr="006B7EAA" w:rsidP="006B7EAA">
      <w:pPr>
        <w:pStyle w:val="Heading1"/>
      </w:pPr>
      <w:bookmarkStart w:id="9" w:name="O_1260693"/>
      <w:bookmarkEnd w:id="9"/>
      <w:r w:rsidRPr="006B7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6B7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EAA">
            <w:pPr>
              <w:pStyle w:val="BodyText"/>
              <w:rPr>
                <w:lang w:val="en-NZ"/>
              </w:rPr>
            </w:pPr>
            <w:r w:rsidRPr="006B7EA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EAA" w:rsidP="006B7EAA">
            <w:pPr>
              <w:pStyle w:val="BodyText"/>
            </w:pPr>
            <w:r w:rsidRPr="006B7EAA">
              <w:t>This version first released with CPC Construction, Plumbing and Services Training Package Release 9.0.</w:t>
            </w:r>
          </w:p>
          <w:p w:rsidR="00000000" w:rsidRPr="006B7EAA" w:rsidP="006B7EAA">
            <w:pPr>
              <w:pStyle w:val="BodyText"/>
            </w:pPr>
            <w:r w:rsidRPr="006B7EAA">
              <w:t>Newly created unit.</w:t>
            </w:r>
          </w:p>
        </w:tc>
      </w:tr>
    </w:tbl>
    <w:p w:rsidR="00000000" w:rsidRPr="006B7EAA" w:rsidP="006B7EAA">
      <w:pPr>
        <w:pStyle w:val="BodyText"/>
      </w:pPr>
    </w:p>
    <w:p w:rsidR="00000000" w:rsidRPr="006B7EAA" w:rsidP="006B7EAA">
      <w:pPr>
        <w:pStyle w:val="AllowPageBreak"/>
      </w:pPr>
    </w:p>
    <w:p w:rsidR="00000000" w:rsidRPr="006B7EAA" w:rsidP="006B7EAA">
      <w:pPr>
        <w:pStyle w:val="Heading1"/>
      </w:pPr>
      <w:bookmarkStart w:id="10" w:name="O_1260696"/>
      <w:bookmarkEnd w:id="10"/>
      <w:r w:rsidRPr="006B7EAA">
        <w:t>Performance Evidence</w:t>
      </w:r>
    </w:p>
    <w:p w:rsidR="00000000" w:rsidRPr="006B7EAA" w:rsidP="008A786C">
      <w:pPr>
        <w:pStyle w:val="BodyText"/>
      </w:pPr>
      <w:r w:rsidRPr="006B7EAA">
        <w:t>To demon</w:t>
      </w:r>
      <w:r w:rsidRPr="006B7EAA">
        <w:t xml:space="preserve">strate competency, a candidate must meet the elements and performance criteria of this unit by: </w:t>
      </w:r>
    </w:p>
    <w:p w:rsidR="00000000" w:rsidRPr="006B7EAA" w:rsidP="006B7EAA">
      <w:pPr>
        <w:pStyle w:val="ListBullet"/>
      </w:pPr>
      <w:r w:rsidRPr="006B7EAA">
        <w:t>caulking a 20 mm nominal gap between two prefabricated concrete elements, for at least 3 m.</w:t>
      </w:r>
    </w:p>
    <w:p w:rsidR="00000000" w:rsidRPr="006B7EAA" w:rsidP="006B7EAA">
      <w:pPr>
        <w:pStyle w:val="AllowPageBreak"/>
      </w:pPr>
    </w:p>
    <w:p w:rsidR="00000000" w:rsidRPr="006B7EAA" w:rsidP="006B7EAA">
      <w:pPr>
        <w:pStyle w:val="Heading1"/>
      </w:pPr>
      <w:bookmarkStart w:id="11" w:name="O_1260695"/>
      <w:bookmarkEnd w:id="11"/>
      <w:r w:rsidRPr="006B7EAA">
        <w:t>Knowledge Evidence</w:t>
      </w:r>
    </w:p>
    <w:p w:rsidR="00000000" w:rsidRPr="006B7EAA" w:rsidP="008A786C">
      <w:pPr>
        <w:pStyle w:val="BodyText"/>
      </w:pPr>
      <w:r w:rsidRPr="006B7EAA">
        <w:t xml:space="preserve">To be competent in </w:t>
      </w:r>
      <w:r w:rsidRPr="006B7EAA">
        <w:t>this unit, a candidate must demonstrate knowledge of:</w:t>
      </w:r>
    </w:p>
    <w:p w:rsidR="00000000" w:rsidRPr="006B7EAA" w:rsidP="006B7EAA">
      <w:pPr>
        <w:pStyle w:val="ListBullet"/>
      </w:pPr>
      <w:r w:rsidRPr="006B7EAA">
        <w:t>compliance requirements of legislation, regulations, codes and Australian Standards relevant to joint caulking of concrete prefabricated elements, including:</w:t>
      </w:r>
    </w:p>
    <w:p w:rsidR="00000000" w:rsidRPr="006B7EAA" w:rsidP="006B7EAA">
      <w:pPr>
        <w:pStyle w:val="ListBullet2"/>
      </w:pPr>
      <w:r w:rsidRPr="006B7EAA">
        <w:t>environmental protection and waste disposa</w:t>
      </w:r>
      <w:r w:rsidRPr="006B7EAA">
        <w:t>l</w:t>
      </w:r>
    </w:p>
    <w:p w:rsidR="00000000" w:rsidRPr="006B7EAA" w:rsidP="006B7EAA">
      <w:pPr>
        <w:pStyle w:val="ListBullet2"/>
      </w:pPr>
      <w:r w:rsidRPr="006B7EAA">
        <w:t>work health and safety (WHS) regulations, including:</w:t>
      </w:r>
    </w:p>
    <w:p w:rsidR="00000000" w:rsidRPr="006B7EAA" w:rsidP="006B7EAA">
      <w:pPr>
        <w:pStyle w:val="ListBullet3"/>
      </w:pPr>
      <w:r w:rsidRPr="006B7EAA">
        <w:t xml:space="preserve">use of personal protective equipment (PPE) as specified on the safety data sheet (SDS) </w:t>
      </w:r>
    </w:p>
    <w:p w:rsidR="00000000" w:rsidRPr="006B7EAA" w:rsidP="006B7EAA">
      <w:pPr>
        <w:pStyle w:val="ListBullet3"/>
      </w:pPr>
      <w:r w:rsidRPr="006B7EAA">
        <w:t>risk when working at heights/on ladders</w:t>
      </w:r>
    </w:p>
    <w:p w:rsidR="00000000" w:rsidRPr="006B7EAA" w:rsidP="006B7EAA">
      <w:pPr>
        <w:pStyle w:val="ListBullet3"/>
      </w:pPr>
      <w:r w:rsidRPr="006B7EAA">
        <w:t>fall protection</w:t>
      </w:r>
    </w:p>
    <w:p w:rsidR="00000000" w:rsidRPr="006B7EAA" w:rsidP="006B7EAA">
      <w:pPr>
        <w:pStyle w:val="ListBullet3"/>
      </w:pPr>
      <w:r w:rsidRPr="006B7EAA">
        <w:t>drop zones</w:t>
      </w:r>
    </w:p>
    <w:p w:rsidR="00000000" w:rsidRPr="006B7EAA" w:rsidP="006B7EAA">
      <w:pPr>
        <w:pStyle w:val="ListBullet3"/>
      </w:pPr>
      <w:r w:rsidRPr="006B7EAA">
        <w:t>hazardous substances</w:t>
      </w:r>
    </w:p>
    <w:p w:rsidR="00000000" w:rsidRPr="006B7EAA" w:rsidP="006B7EAA">
      <w:pPr>
        <w:pStyle w:val="ListBullet3"/>
      </w:pPr>
      <w:r w:rsidRPr="006B7EAA">
        <w:t xml:space="preserve">safe manual handling techniques </w:t>
      </w:r>
    </w:p>
    <w:p w:rsidR="00000000" w:rsidRPr="006B7EAA" w:rsidP="006B7EAA">
      <w:pPr>
        <w:pStyle w:val="ListBullet3"/>
      </w:pPr>
      <w:r w:rsidRPr="006B7EAA">
        <w:t>respiratory crystalline silica</w:t>
      </w:r>
    </w:p>
    <w:p w:rsidR="00000000" w:rsidRPr="006B7EAA" w:rsidP="006B7EAA">
      <w:pPr>
        <w:pStyle w:val="ListBullet"/>
      </w:pPr>
      <w:r w:rsidRPr="006B7EAA">
        <w:t>detrimental effect of water addition to concrete properties</w:t>
      </w:r>
    </w:p>
    <w:p w:rsidR="00000000" w:rsidRPr="006B7EAA" w:rsidP="006B7EAA">
      <w:pPr>
        <w:pStyle w:val="ListBullet"/>
      </w:pPr>
      <w:r w:rsidRPr="006B7EAA">
        <w:t>precautions that should be taken to minimise any potential adverse effects when finishing concrete</w:t>
      </w:r>
    </w:p>
    <w:p w:rsidR="00000000" w:rsidRPr="006B7EAA" w:rsidP="006B7EAA">
      <w:pPr>
        <w:pStyle w:val="ListBullet"/>
      </w:pPr>
      <w:r w:rsidRPr="006B7EAA">
        <w:t>caulk manufacturer technical dat</w:t>
      </w:r>
      <w:r w:rsidRPr="006B7EAA">
        <w:t>a sheet</w:t>
      </w:r>
    </w:p>
    <w:p w:rsidR="00000000" w:rsidRPr="006B7EAA" w:rsidP="006B7EAA">
      <w:pPr>
        <w:pStyle w:val="ListBullet"/>
      </w:pPr>
      <w:r w:rsidRPr="006B7EAA">
        <w:t>types, characteristics and purposes of construction drawings to confirm:</w:t>
      </w:r>
    </w:p>
    <w:p w:rsidR="00000000" w:rsidRPr="006B7EAA" w:rsidP="006B7EAA">
      <w:pPr>
        <w:pStyle w:val="ListBullet2"/>
      </w:pPr>
      <w:r w:rsidRPr="006B7EAA">
        <w:t>caulking thickness</w:t>
      </w:r>
    </w:p>
    <w:p w:rsidR="00000000" w:rsidRPr="006B7EAA" w:rsidP="006B7EAA">
      <w:pPr>
        <w:pStyle w:val="ListBullet2"/>
      </w:pPr>
      <w:r w:rsidRPr="006B7EAA">
        <w:t xml:space="preserve">fire rating requirements </w:t>
      </w:r>
    </w:p>
    <w:p w:rsidR="00000000" w:rsidRPr="006B7EAA" w:rsidP="006B7EAA">
      <w:pPr>
        <w:pStyle w:val="ListBullet2"/>
      </w:pPr>
      <w:r w:rsidRPr="006B7EAA">
        <w:t>specifications used to interpret concrete installation requirements</w:t>
      </w:r>
    </w:p>
    <w:p w:rsidR="00000000" w:rsidRPr="006B7EAA" w:rsidP="006B7EAA">
      <w:pPr>
        <w:pStyle w:val="ListBullet"/>
      </w:pPr>
      <w:r w:rsidRPr="006B7EAA">
        <w:t>characteristics of caulking materials and their effect on, and appropriateness of use with, priming agents</w:t>
      </w:r>
    </w:p>
    <w:p w:rsidR="00000000" w:rsidRPr="006B7EAA" w:rsidP="006B7EAA">
      <w:pPr>
        <w:pStyle w:val="ListBullet"/>
      </w:pPr>
      <w:r w:rsidRPr="006B7EAA">
        <w:t xml:space="preserve">types, characteristics and purposes of caulking surfaces and materials, including: </w:t>
      </w:r>
    </w:p>
    <w:p w:rsidR="00000000" w:rsidRPr="006B7EAA" w:rsidP="006B7EAA">
      <w:pPr>
        <w:pStyle w:val="ListBullet2"/>
      </w:pPr>
      <w:r w:rsidRPr="006B7EAA">
        <w:t>existing silicon or caulking material</w:t>
      </w:r>
    </w:p>
    <w:p w:rsidR="00000000" w:rsidRPr="006B7EAA" w:rsidP="006B7EAA">
      <w:pPr>
        <w:pStyle w:val="ListBullet2"/>
      </w:pPr>
      <w:r w:rsidRPr="006B7EAA">
        <w:t>existing backing rod</w:t>
      </w:r>
    </w:p>
    <w:p w:rsidR="00000000" w:rsidRPr="006B7EAA" w:rsidP="006B7EAA">
      <w:pPr>
        <w:pStyle w:val="ListBullet2"/>
      </w:pPr>
      <w:r w:rsidRPr="006B7EAA">
        <w:t>laita</w:t>
      </w:r>
      <w:r w:rsidRPr="006B7EAA">
        <w:t>nce</w:t>
      </w:r>
    </w:p>
    <w:p w:rsidR="00000000" w:rsidRPr="006B7EAA" w:rsidP="006B7EAA">
      <w:pPr>
        <w:pStyle w:val="ListBullet2"/>
      </w:pPr>
      <w:r w:rsidRPr="006B7EAA">
        <w:t>concrete prefabricated bonding agent residue</w:t>
      </w:r>
    </w:p>
    <w:p w:rsidR="00000000" w:rsidRPr="006B7EAA" w:rsidP="006B7EAA">
      <w:pPr>
        <w:pStyle w:val="ListBullet2"/>
      </w:pPr>
      <w:r w:rsidRPr="006B7EAA">
        <w:t>sealed concrete prefabricated surface</w:t>
      </w:r>
    </w:p>
    <w:p w:rsidR="00000000" w:rsidRPr="006B7EAA" w:rsidP="006B7EAA">
      <w:pPr>
        <w:pStyle w:val="ListBullet2"/>
      </w:pPr>
      <w:r w:rsidRPr="006B7EAA">
        <w:t>painted concrete prefabricated surface</w:t>
      </w:r>
    </w:p>
    <w:p w:rsidR="00000000" w:rsidRPr="006B7EAA" w:rsidP="006B7EAA">
      <w:pPr>
        <w:pStyle w:val="ListBullet2"/>
      </w:pPr>
      <w:r w:rsidRPr="006B7EAA">
        <w:t>moisture content of joint</w:t>
      </w:r>
    </w:p>
    <w:p w:rsidR="00000000" w:rsidRPr="006B7EAA" w:rsidP="006B7EAA">
      <w:pPr>
        <w:pStyle w:val="ListBullet2"/>
      </w:pPr>
      <w:r w:rsidRPr="006B7EAA">
        <w:t xml:space="preserve">silicone </w:t>
      </w:r>
    </w:p>
    <w:p w:rsidR="00000000" w:rsidRPr="006B7EAA" w:rsidP="006B7EAA">
      <w:pPr>
        <w:pStyle w:val="ListBullet2"/>
      </w:pPr>
      <w:r w:rsidRPr="006B7EAA">
        <w:t>polyurethane</w:t>
      </w:r>
    </w:p>
    <w:p w:rsidR="00000000" w:rsidRPr="006B7EAA" w:rsidP="006B7EAA">
      <w:pPr>
        <w:pStyle w:val="ListBullet2"/>
      </w:pPr>
      <w:r w:rsidRPr="006B7EAA">
        <w:t>modified polymer</w:t>
      </w:r>
    </w:p>
    <w:p w:rsidR="00000000" w:rsidRPr="006B7EAA" w:rsidP="006B7EAA">
      <w:pPr>
        <w:pStyle w:val="ListBullet2"/>
      </w:pPr>
      <w:r w:rsidRPr="006B7EAA">
        <w:t>polysulphide</w:t>
      </w:r>
    </w:p>
    <w:p w:rsidR="00000000" w:rsidRPr="006B7EAA" w:rsidP="006B7EAA">
      <w:pPr>
        <w:pStyle w:val="ListBullet2"/>
      </w:pPr>
      <w:r w:rsidRPr="006B7EAA">
        <w:t>acrylic</w:t>
      </w:r>
    </w:p>
    <w:p w:rsidR="00000000" w:rsidRPr="006B7EAA" w:rsidP="006B7EAA">
      <w:pPr>
        <w:pStyle w:val="ListBullet2"/>
      </w:pPr>
      <w:r w:rsidRPr="006B7EAA">
        <w:t>fire rating</w:t>
      </w:r>
    </w:p>
    <w:p w:rsidR="00000000" w:rsidRPr="006B7EAA" w:rsidP="006B7EAA">
      <w:pPr>
        <w:pStyle w:val="ListBullet"/>
      </w:pPr>
      <w:r w:rsidRPr="006B7EAA">
        <w:t>caulking tool types and their purpose, including:</w:t>
      </w:r>
    </w:p>
    <w:p w:rsidR="00000000" w:rsidRPr="006B7EAA" w:rsidP="006B7EAA">
      <w:pPr>
        <w:pStyle w:val="ListBullet2"/>
      </w:pPr>
      <w:r w:rsidRPr="006B7EAA">
        <w:t>wire brush</w:t>
      </w:r>
    </w:p>
    <w:p w:rsidR="00000000" w:rsidRPr="006B7EAA" w:rsidP="006B7EAA">
      <w:pPr>
        <w:pStyle w:val="ListBullet2"/>
      </w:pPr>
      <w:r w:rsidRPr="006B7EAA">
        <w:t>soft brush</w:t>
      </w:r>
    </w:p>
    <w:p w:rsidR="00000000" w:rsidRPr="006B7EAA" w:rsidP="006B7EAA">
      <w:pPr>
        <w:pStyle w:val="ListBullet2"/>
      </w:pPr>
      <w:r w:rsidRPr="006B7EAA">
        <w:t>scraper</w:t>
      </w:r>
    </w:p>
    <w:p w:rsidR="00000000" w:rsidRPr="006B7EAA" w:rsidP="006B7EAA">
      <w:pPr>
        <w:pStyle w:val="ListBullet2"/>
      </w:pPr>
      <w:r w:rsidRPr="006B7EAA">
        <w:t>air compressors and hoses</w:t>
      </w:r>
    </w:p>
    <w:p w:rsidR="00000000" w:rsidRPr="006B7EAA" w:rsidP="006B7EAA">
      <w:pPr>
        <w:pStyle w:val="ListBullet2"/>
      </w:pPr>
      <w:r w:rsidRPr="006B7EAA">
        <w:t>portable blower</w:t>
      </w:r>
    </w:p>
    <w:p w:rsidR="00000000" w:rsidRPr="006B7EAA" w:rsidP="006B7EAA">
      <w:pPr>
        <w:pStyle w:val="ListBullet2"/>
      </w:pPr>
      <w:r w:rsidRPr="006B7EAA">
        <w:t>sander/grinder</w:t>
      </w:r>
    </w:p>
    <w:p w:rsidR="00000000" w:rsidRPr="006B7EAA" w:rsidP="006B7EAA">
      <w:pPr>
        <w:pStyle w:val="ListBullet2"/>
      </w:pPr>
      <w:r w:rsidRPr="006B7EAA">
        <w:t xml:space="preserve">caulking ‘slicks’ (sausages) </w:t>
      </w:r>
    </w:p>
    <w:p w:rsidR="00000000" w:rsidRPr="006B7EAA" w:rsidP="006B7EAA">
      <w:pPr>
        <w:pStyle w:val="ListBullet2"/>
      </w:pPr>
      <w:r w:rsidRPr="006B7EAA">
        <w:t>spatula</w:t>
      </w:r>
    </w:p>
    <w:p w:rsidR="00000000" w:rsidRPr="006B7EAA" w:rsidP="006B7EAA">
      <w:pPr>
        <w:pStyle w:val="ListBullet2"/>
      </w:pPr>
      <w:r w:rsidRPr="006B7EAA">
        <w:t>roller</w:t>
      </w:r>
    </w:p>
    <w:p w:rsidR="00000000" w:rsidRPr="006B7EAA" w:rsidP="006B7EAA">
      <w:pPr>
        <w:pStyle w:val="ListBullet2"/>
      </w:pPr>
      <w:r w:rsidRPr="006B7EAA">
        <w:t>putty knife</w:t>
      </w:r>
    </w:p>
    <w:p w:rsidR="00000000" w:rsidRPr="006B7EAA" w:rsidP="006B7EAA">
      <w:pPr>
        <w:pStyle w:val="ListBullet2"/>
      </w:pPr>
      <w:r w:rsidRPr="006B7EAA">
        <w:t>caulking gun</w:t>
      </w:r>
    </w:p>
    <w:p w:rsidR="00000000" w:rsidRPr="006B7EAA" w:rsidP="006B7EAA">
      <w:pPr>
        <w:pStyle w:val="ListBullet2"/>
      </w:pPr>
      <w:r w:rsidRPr="006B7EAA">
        <w:t>power leads</w:t>
      </w:r>
    </w:p>
    <w:p w:rsidR="00000000" w:rsidRPr="006B7EAA" w:rsidP="006B7EAA">
      <w:pPr>
        <w:pStyle w:val="ListBullet2"/>
      </w:pPr>
      <w:r w:rsidRPr="006B7EAA">
        <w:t xml:space="preserve">testing equipment (moisture meter) </w:t>
      </w:r>
    </w:p>
    <w:p w:rsidR="00000000" w:rsidRPr="006B7EAA" w:rsidP="006B7EAA">
      <w:pPr>
        <w:pStyle w:val="ListBullet"/>
      </w:pPr>
      <w:r w:rsidRPr="006B7EAA">
        <w:t>workplace requirements for caulking prefabricated concrete elements:</w:t>
      </w:r>
    </w:p>
    <w:p w:rsidR="00000000" w:rsidRPr="006B7EAA" w:rsidP="006B7EAA">
      <w:pPr>
        <w:pStyle w:val="ListBullet2"/>
      </w:pPr>
      <w:r w:rsidRPr="006B7EAA">
        <w:t>cleaning up the work area</w:t>
      </w:r>
    </w:p>
    <w:p w:rsidR="00000000" w:rsidRPr="006B7EAA" w:rsidP="006B7EAA">
      <w:pPr>
        <w:pStyle w:val="ListBullet2"/>
      </w:pPr>
      <w:r w:rsidRPr="006B7EAA">
        <w:t>maintaining and storing plant, labelling, tools and equipment</w:t>
      </w:r>
    </w:p>
    <w:p w:rsidR="00000000" w:rsidRPr="006B7EAA" w:rsidP="006B7EAA">
      <w:pPr>
        <w:pStyle w:val="ListBullet2"/>
      </w:pPr>
      <w:r w:rsidRPr="006B7EAA">
        <w:t>reporting problems</w:t>
      </w:r>
    </w:p>
    <w:p w:rsidR="00000000" w:rsidRPr="006B7EAA" w:rsidP="006B7EAA">
      <w:pPr>
        <w:pStyle w:val="ListBullet2"/>
      </w:pPr>
      <w:r w:rsidRPr="006B7EAA">
        <w:t>quality</w:t>
      </w:r>
    </w:p>
    <w:p w:rsidR="00000000" w:rsidRPr="006B7EAA" w:rsidP="006B7EAA">
      <w:pPr>
        <w:pStyle w:val="ListBullet"/>
      </w:pPr>
      <w:r w:rsidRPr="006B7EAA">
        <w:t xml:space="preserve">terminology used for caulking </w:t>
      </w:r>
    </w:p>
    <w:p w:rsidR="00000000" w:rsidRPr="006B7EAA" w:rsidP="006B7EAA">
      <w:pPr>
        <w:pStyle w:val="ListBullet"/>
      </w:pPr>
      <w:r w:rsidRPr="006B7EAA">
        <w:t>manufacturer technical requirements</w:t>
      </w:r>
    </w:p>
    <w:p w:rsidR="00000000" w:rsidRPr="006B7EAA" w:rsidP="006B7EAA">
      <w:pPr>
        <w:pStyle w:val="ListBullet"/>
      </w:pPr>
      <w:r w:rsidRPr="006B7EAA">
        <w:t>sp</w:t>
      </w:r>
      <w:r w:rsidRPr="006B7EAA">
        <w:t xml:space="preserve">ecifications used for joint caulking </w:t>
      </w:r>
    </w:p>
    <w:p w:rsidR="00000000" w:rsidRPr="006B7EAA" w:rsidP="006B7EAA">
      <w:pPr>
        <w:pStyle w:val="ListBullet"/>
      </w:pPr>
      <w:r w:rsidRPr="006B7EAA">
        <w:t xml:space="preserve">types of concrete prefabricated elements </w:t>
      </w:r>
    </w:p>
    <w:p w:rsidR="00000000" w:rsidRPr="006B7EAA" w:rsidP="006B7EAA">
      <w:pPr>
        <w:pStyle w:val="ListBullet"/>
      </w:pPr>
      <w:r w:rsidRPr="006B7EAA">
        <w:t xml:space="preserve">fire rating requirements relevant to concrete prefabricated element rectification </w:t>
      </w:r>
    </w:p>
    <w:p w:rsidR="00000000" w:rsidRPr="006B7EAA" w:rsidP="006B7EAA">
      <w:pPr>
        <w:pStyle w:val="ListBullet"/>
      </w:pPr>
      <w:r w:rsidRPr="006B7EAA">
        <w:t xml:space="preserve">workplace procedures related to communication protocols </w:t>
      </w:r>
    </w:p>
    <w:p w:rsidR="00000000" w:rsidRPr="006B7EAA" w:rsidP="006B7EAA">
      <w:pPr>
        <w:pStyle w:val="ListBullet"/>
      </w:pPr>
      <w:r w:rsidRPr="006B7EAA">
        <w:t xml:space="preserve">principles of sustainability relevant to material reuse </w:t>
      </w:r>
    </w:p>
    <w:p w:rsidR="00000000" w:rsidRPr="006B7EAA" w:rsidP="006B7EAA">
      <w:pPr>
        <w:pStyle w:val="ListBullet"/>
      </w:pPr>
      <w:r w:rsidRPr="006B7EAA">
        <w:t xml:space="preserve">work planning and logical task sequencing </w:t>
      </w:r>
    </w:p>
    <w:p w:rsidR="00000000" w:rsidRPr="006B7EAA" w:rsidP="006B7EAA">
      <w:pPr>
        <w:pStyle w:val="ListBullet"/>
      </w:pPr>
      <w:r w:rsidRPr="006B7EAA">
        <w:t xml:space="preserve">types of concrete surface variables that reduce optimal sealant adhesion </w:t>
      </w:r>
    </w:p>
    <w:p w:rsidR="00000000" w:rsidRPr="006B7EAA" w:rsidP="006B7EAA">
      <w:pPr>
        <w:pStyle w:val="ListBullet"/>
      </w:pPr>
      <w:r w:rsidRPr="006B7EAA">
        <w:t>concrete prefabricated release agent residue</w:t>
      </w:r>
    </w:p>
    <w:p w:rsidR="00000000" w:rsidRPr="006B7EAA" w:rsidP="006B7EAA">
      <w:pPr>
        <w:pStyle w:val="ListBullet"/>
      </w:pPr>
      <w:r w:rsidRPr="006B7EAA">
        <w:t xml:space="preserve">impact of laitance, dirt and dust on </w:t>
      </w:r>
      <w:r w:rsidRPr="006B7EAA">
        <w:t>caulking</w:t>
      </w:r>
    </w:p>
    <w:p w:rsidR="00000000" w:rsidRPr="006B7EAA" w:rsidP="006B7EAA">
      <w:pPr>
        <w:pStyle w:val="ListBullet"/>
      </w:pPr>
      <w:r w:rsidRPr="006B7EAA">
        <w:t>difference between closed cell and open cell backing rod</w:t>
      </w:r>
    </w:p>
    <w:p w:rsidR="00000000" w:rsidRPr="006B7EAA" w:rsidP="006B7EAA">
      <w:pPr>
        <w:pStyle w:val="ListBullet"/>
      </w:pPr>
      <w:r w:rsidRPr="006B7EAA">
        <w:t xml:space="preserve">processes for calculating material measurements and quantities.  </w:t>
      </w:r>
    </w:p>
    <w:p w:rsidR="00000000" w:rsidRPr="006B7EAA" w:rsidP="006B7EAA">
      <w:pPr>
        <w:pStyle w:val="AllowPageBreak"/>
      </w:pPr>
    </w:p>
    <w:p w:rsidR="00000000" w:rsidRPr="006B7EAA" w:rsidP="006B7EAA">
      <w:pPr>
        <w:pStyle w:val="Heading1"/>
      </w:pPr>
      <w:bookmarkStart w:id="12" w:name="O_1260694"/>
      <w:bookmarkEnd w:id="12"/>
      <w:r w:rsidRPr="006B7EAA">
        <w:t>Assessment Conditions</w:t>
      </w:r>
    </w:p>
    <w:p w:rsidR="00000000" w:rsidRPr="006B7EAA" w:rsidP="008A786C">
      <w:pPr>
        <w:pStyle w:val="BodyText"/>
      </w:pPr>
      <w:r w:rsidRPr="006B7EAA">
        <w:t>Assessors must meet the requirements for assessors contained in the Standards for R</w:t>
      </w:r>
      <w:r w:rsidRPr="006B7EAA">
        <w:t>egistered Training Organisations.</w:t>
      </w:r>
    </w:p>
    <w:p w:rsidR="00000000" w:rsidRPr="006B7EAA" w:rsidP="008A786C">
      <w:pPr>
        <w:pStyle w:val="BodyText"/>
      </w:pPr>
      <w:r w:rsidRPr="006B7EAA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6B7EAA" w:rsidP="008A786C">
      <w:pPr>
        <w:pStyle w:val="BodyText"/>
      </w:pPr>
      <w:r w:rsidRPr="006B7EAA">
        <w:t xml:space="preserve">Candidates must </w:t>
      </w:r>
      <w:r w:rsidRPr="006B7EAA">
        <w:t>have access to erection design documentation, manufacturer technical data sheets, materials, plant, tools and equipment required to achieve the performance evidence.</w:t>
      </w:r>
    </w:p>
    <w:p w:rsidR="00000000" w:rsidRPr="006B7EAA" w:rsidP="006B7EAA">
      <w:pPr>
        <w:pStyle w:val="Heading1"/>
      </w:pPr>
      <w:bookmarkStart w:id="13" w:name="O_1260692"/>
      <w:bookmarkEnd w:id="13"/>
      <w:r w:rsidRPr="006B7EAA">
        <w:t>Links</w:t>
      </w:r>
    </w:p>
    <w:p w:rsidR="00000000" w:rsidRPr="006B7EAA" w:rsidP="008A786C">
      <w:pPr>
        <w:pStyle w:val="BodyText"/>
      </w:pPr>
      <w:r w:rsidRPr="006B7EAA">
        <w:t>Companion volumes to this training package are available at the V</w:t>
      </w:r>
      <w:r w:rsidRPr="006B7EAA">
        <w:t xml:space="preserve">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B251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B7EAA" w:rsidP="006B7EAA"/>
    <w:sectPr w:rsidSect="006B7E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AA" w:rsidRPr="008A786C" w:rsidP="008A7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6C" w:rsidP="006B7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786C" w:rsidP="006B7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A786C" w:rsidP="006B7E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AA" w:rsidP="006B7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786C">
      <w:t>Approved</w:t>
    </w:r>
    <w:r w:rsidR="008A78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78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786C">
      <w:rPr>
        <w:noProof/>
      </w:rPr>
      <w:t>5</w:t>
    </w:r>
    <w:r>
      <w:rPr>
        <w:noProof/>
      </w:rPr>
      <w:fldChar w:fldCharType="end"/>
    </w:r>
  </w:p>
  <w:p w:rsidR="006B7EAA" w:rsidP="006B7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78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786C">
      <w:t>BuildSkills Australia</w:t>
    </w:r>
    <w:r w:rsidR="008A786C">
      <w:fldChar w:fldCharType="end"/>
    </w:r>
  </w:p>
  <w:p w:rsidR="006B7EAA" w:rsidP="006B7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EAA" w:rsidRPr="008A786C" w:rsidP="008A7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6C" w:rsidRPr="002D2AF8" w:rsidP="006B7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CPCPRE2004 Caulk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786C" w:rsidP="006B7E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EAA" w:rsidRPr="002D2AF8" w:rsidP="006B7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786C">
      <w:t>CPCPRE2004 Caulk prefabricated concrete elements</w:t>
    </w:r>
    <w:r w:rsidR="008A78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786C">
      <w:rPr>
        <w:noProof/>
      </w:rPr>
      <w:t>2 March 2025</w:t>
    </w:r>
    <w:r>
      <w:fldChar w:fldCharType="end"/>
    </w:r>
  </w:p>
  <w:p w:rsidR="006B7EAA" w:rsidP="006B7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ACD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09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2A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EAA"/>
  </w:style>
  <w:style w:type="character" w:customStyle="1" w:styleId="Heading1Char">
    <w:name w:val="Heading 1 Char"/>
    <w:basedOn w:val="DefaultParagraphFont"/>
    <w:link w:val="Heading1"/>
    <w:rsid w:val="006B7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EA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7E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7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7E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7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7EAA"/>
    <w:rPr>
      <w:b/>
      <w:spacing w:val="0"/>
    </w:rPr>
  </w:style>
  <w:style w:type="paragraph" w:customStyle="1" w:styleId="SuperTitle">
    <w:name w:val="SuperTitle"/>
    <w:basedOn w:val="Title"/>
    <w:rsid w:val="006B7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E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EAA"/>
    <w:rPr>
      <w:i/>
    </w:rPr>
  </w:style>
  <w:style w:type="paragraph" w:styleId="Caption">
    <w:name w:val="caption"/>
    <w:basedOn w:val="BodyText"/>
    <w:next w:val="Normal"/>
    <w:qFormat/>
    <w:rsid w:val="006B7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EAA"/>
  </w:style>
  <w:style w:type="paragraph" w:styleId="TableofFigures">
    <w:name w:val="table of figures"/>
    <w:basedOn w:val="Normal"/>
    <w:next w:val="Normal"/>
    <w:semiHidden/>
    <w:rsid w:val="006B7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E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7EAA"/>
    <w:rPr>
      <w:rFonts w:ascii="Wingdings" w:hAnsi="Wingdings"/>
    </w:rPr>
  </w:style>
  <w:style w:type="paragraph" w:customStyle="1" w:styleId="TableHeading">
    <w:name w:val="Table Heading"/>
    <w:basedOn w:val="HeadingBase"/>
    <w:rsid w:val="006B7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EAA"/>
    <w:rPr>
      <w:color w:val="0033CC"/>
      <w:u w:val="none"/>
    </w:rPr>
  </w:style>
  <w:style w:type="paragraph" w:customStyle="1" w:styleId="BodyTextRight">
    <w:name w:val="Body Text Right"/>
    <w:basedOn w:val="BodyText"/>
    <w:rsid w:val="006B7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E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EAA"/>
    <w:rPr>
      <w:sz w:val="32"/>
    </w:rPr>
  </w:style>
  <w:style w:type="paragraph" w:customStyle="1" w:styleId="HeadingProcedure">
    <w:name w:val="Heading Procedure"/>
    <w:basedOn w:val="HeadingBase"/>
    <w:next w:val="Normal"/>
    <w:rsid w:val="006B7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EAA"/>
    <w:pPr>
      <w:spacing w:before="60" w:after="60"/>
    </w:pPr>
  </w:style>
  <w:style w:type="paragraph" w:styleId="ListContinue">
    <w:name w:val="List Continue"/>
    <w:basedOn w:val="List"/>
    <w:rsid w:val="006B7EAA"/>
    <w:pPr>
      <w:ind w:firstLine="0"/>
    </w:pPr>
  </w:style>
  <w:style w:type="paragraph" w:customStyle="1" w:styleId="ListNote">
    <w:name w:val="List Note"/>
    <w:basedOn w:val="List"/>
    <w:rsid w:val="006B7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EAA"/>
    <w:rPr>
      <w:rFonts w:ascii="Courier New" w:hAnsi="Courier New"/>
    </w:rPr>
  </w:style>
  <w:style w:type="paragraph" w:customStyle="1" w:styleId="NoteBullet">
    <w:name w:val="Note Bullet"/>
    <w:basedOn w:val="Note"/>
    <w:rsid w:val="006B7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E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7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EAA"/>
    <w:rPr>
      <w:b/>
      <w:smallCaps/>
    </w:rPr>
  </w:style>
  <w:style w:type="paragraph" w:customStyle="1" w:styleId="TableListNumber">
    <w:name w:val="Table List Number"/>
    <w:basedOn w:val="ListNumber"/>
    <w:rsid w:val="006B7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EAA"/>
    <w:pPr>
      <w:numPr>
        <w:numId w:val="10"/>
      </w:numPr>
    </w:pPr>
  </w:style>
  <w:style w:type="paragraph" w:customStyle="1" w:styleId="ListAlpha2">
    <w:name w:val="List Alpha 2"/>
    <w:basedOn w:val="List2"/>
    <w:rsid w:val="006B7EAA"/>
    <w:pPr>
      <w:numPr>
        <w:numId w:val="9"/>
      </w:numPr>
    </w:pPr>
  </w:style>
  <w:style w:type="paragraph" w:styleId="List2">
    <w:name w:val="List 2"/>
    <w:basedOn w:val="BodyText"/>
    <w:rsid w:val="006B7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E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7E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7EAA"/>
    <w:pPr>
      <w:numPr>
        <w:numId w:val="5"/>
      </w:numPr>
    </w:pPr>
  </w:style>
  <w:style w:type="paragraph" w:styleId="ListContinue2">
    <w:name w:val="List Continue 2"/>
    <w:basedOn w:val="List2"/>
    <w:rsid w:val="006B7EAA"/>
    <w:pPr>
      <w:ind w:firstLine="0"/>
    </w:pPr>
  </w:style>
  <w:style w:type="paragraph" w:styleId="ListContinue3">
    <w:name w:val="List Continue 3"/>
    <w:basedOn w:val="List3"/>
    <w:rsid w:val="006B7EAA"/>
    <w:pPr>
      <w:ind w:left="1021" w:firstLine="0"/>
    </w:pPr>
  </w:style>
  <w:style w:type="paragraph" w:styleId="ListContinue4">
    <w:name w:val="List Continue 4"/>
    <w:basedOn w:val="List4"/>
    <w:rsid w:val="006B7EAA"/>
    <w:pPr>
      <w:ind w:firstLine="0"/>
    </w:pPr>
  </w:style>
  <w:style w:type="paragraph" w:styleId="ListContinue5">
    <w:name w:val="List Continue 5"/>
    <w:basedOn w:val="List5"/>
    <w:rsid w:val="006B7EAA"/>
    <w:pPr>
      <w:ind w:firstLine="0"/>
    </w:pPr>
  </w:style>
  <w:style w:type="paragraph" w:styleId="ListNumber3">
    <w:name w:val="List Number 3"/>
    <w:basedOn w:val="List3"/>
    <w:rsid w:val="006B7EAA"/>
    <w:pPr>
      <w:numPr>
        <w:numId w:val="6"/>
      </w:numPr>
    </w:pPr>
  </w:style>
  <w:style w:type="paragraph" w:styleId="ListNumber4">
    <w:name w:val="List Number 4"/>
    <w:basedOn w:val="List4"/>
    <w:rsid w:val="006B7EAA"/>
    <w:pPr>
      <w:numPr>
        <w:numId w:val="7"/>
      </w:numPr>
    </w:pPr>
  </w:style>
  <w:style w:type="paragraph" w:styleId="ListNumber5">
    <w:name w:val="List Number 5"/>
    <w:basedOn w:val="List5"/>
    <w:rsid w:val="006B7EAA"/>
    <w:pPr>
      <w:numPr>
        <w:numId w:val="8"/>
      </w:numPr>
    </w:pPr>
  </w:style>
  <w:style w:type="paragraph" w:styleId="BlockText">
    <w:name w:val="Block Text"/>
    <w:basedOn w:val="Normal"/>
    <w:rsid w:val="006B7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EAA"/>
    <w:rPr>
      <w:sz w:val="16"/>
      <w:vertAlign w:val="superscript"/>
    </w:rPr>
  </w:style>
  <w:style w:type="character" w:customStyle="1" w:styleId="Symbols">
    <w:name w:val="Symbols"/>
    <w:basedOn w:val="DefaultParagraphFont"/>
    <w:rsid w:val="006B7EAA"/>
    <w:rPr>
      <w:rFonts w:ascii="Symbol" w:hAnsi="Symbol"/>
    </w:rPr>
  </w:style>
  <w:style w:type="character" w:customStyle="1" w:styleId="MenuOptions">
    <w:name w:val="Menu Options"/>
    <w:basedOn w:val="DefaultParagraphFont"/>
    <w:rsid w:val="006B7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EAA"/>
    <w:rPr>
      <w:b/>
    </w:rPr>
  </w:style>
  <w:style w:type="character" w:customStyle="1" w:styleId="Underlined">
    <w:name w:val="Underlined"/>
    <w:basedOn w:val="DefaultParagraphFont"/>
    <w:rsid w:val="006B7EAA"/>
    <w:rPr>
      <w:u w:val="single"/>
    </w:rPr>
  </w:style>
  <w:style w:type="paragraph" w:customStyle="1" w:styleId="TableBodyTextRight">
    <w:name w:val="Table Body Text Right"/>
    <w:basedOn w:val="TableBodyText"/>
    <w:rsid w:val="006B7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EAA"/>
    <w:rPr>
      <w:sz w:val="18"/>
    </w:rPr>
  </w:style>
  <w:style w:type="paragraph" w:customStyle="1" w:styleId="BodySmallRight">
    <w:name w:val="Body Small Right"/>
    <w:basedOn w:val="BodyTextRight"/>
    <w:rsid w:val="006B7EAA"/>
    <w:rPr>
      <w:sz w:val="18"/>
      <w:szCs w:val="18"/>
    </w:rPr>
  </w:style>
  <w:style w:type="paragraph" w:customStyle="1" w:styleId="MarginEdition">
    <w:name w:val="Margin Edition"/>
    <w:basedOn w:val="MarginNote"/>
    <w:rsid w:val="006B7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EAA"/>
    <w:rPr>
      <w:sz w:val="2"/>
      <w:szCs w:val="2"/>
    </w:rPr>
  </w:style>
  <w:style w:type="character" w:customStyle="1" w:styleId="Small">
    <w:name w:val="Small"/>
    <w:basedOn w:val="DefaultParagraphFont"/>
    <w:rsid w:val="006B7EAA"/>
    <w:rPr>
      <w:sz w:val="16"/>
    </w:rPr>
  </w:style>
  <w:style w:type="paragraph" w:customStyle="1" w:styleId="WideTable">
    <w:name w:val="Wide Table"/>
    <w:basedOn w:val="Normal"/>
    <w:rsid w:val="006B7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EAA"/>
  </w:style>
  <w:style w:type="paragraph" w:styleId="Quote">
    <w:name w:val="Quote"/>
    <w:basedOn w:val="Heading1"/>
    <w:link w:val="QuoteChar"/>
    <w:qFormat/>
    <w:rsid w:val="006B7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EAA"/>
    <w:pPr>
      <w:pageBreakBefore/>
    </w:pPr>
  </w:style>
  <w:style w:type="paragraph" w:customStyle="1" w:styleId="Border">
    <w:name w:val="Border"/>
    <w:basedOn w:val="Normal"/>
    <w:qFormat/>
    <w:rsid w:val="006B7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EAA"/>
    <w:rPr>
      <w:u w:val="single"/>
    </w:rPr>
  </w:style>
  <w:style w:type="character" w:customStyle="1" w:styleId="BoldandItalics">
    <w:name w:val="Bold and Italics"/>
    <w:qFormat/>
    <w:rsid w:val="006B7EAA"/>
    <w:rPr>
      <w:b/>
      <w:i/>
      <w:u w:val="none"/>
    </w:rPr>
  </w:style>
  <w:style w:type="paragraph" w:styleId="BalloonText">
    <w:name w:val="Balloon Text"/>
    <w:basedOn w:val="Normal"/>
    <w:link w:val="BalloonTextChar"/>
    <w:rsid w:val="006B7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EAA"/>
    <w:pPr>
      <w:spacing w:before="0" w:after="0"/>
    </w:pPr>
  </w:style>
  <w:style w:type="paragraph" w:customStyle="1" w:styleId="BodyTextBold">
    <w:name w:val="Body Text Bold"/>
    <w:basedOn w:val="BodyText"/>
    <w:qFormat/>
    <w:rsid w:val="006B7EAA"/>
    <w:rPr>
      <w:b/>
    </w:rPr>
  </w:style>
  <w:style w:type="character" w:styleId="Hyperlink">
    <w:name w:val="Hyperlink"/>
    <w:basedOn w:val="DefaultParagraphFont"/>
    <w:uiPriority w:val="99"/>
    <w:unhideWhenUsed/>
    <w:rsid w:val="008A7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7614</Characters>
  <Application>Microsoft Office Word</Application>
  <DocSecurity>0</DocSecurity>
  <Lines>292</Lines>
  <Paragraphs>178</Paragraphs>
  <ScaleCrop>false</ScaleCrop>
  <Company>Author-it Software Corporation Ltd.</Company>
  <LinksUpToDate>false</LinksUpToDate>
  <CharactersWithSpaces>8591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CPCPRE2004 Caulk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