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35A" w:rsidP="00304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CPCPRE2004 Caulk prefabricated concrete elements</w:t>
      </w:r>
      <w:r>
        <w:fldChar w:fldCharType="end"/>
      </w:r>
    </w:p>
    <w:p w:rsidR="0030435A" w:rsidP="0030435A">
      <w:pPr>
        <w:pStyle w:val="Version"/>
        <w:sectPr w:rsidSect="00145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1E9" w:rsidP="001451E9">
      <w:pPr>
        <w:pStyle w:val="SuperHeading"/>
      </w:pPr>
      <w:r w:rsidRPr="001451E9">
        <w:t>Assessment Requirements for CPCPRE2004 Caulk prefabricated concrete elements</w:t>
      </w:r>
    </w:p>
    <w:p w:rsidR="00000000" w:rsidRPr="001451E9" w:rsidP="001451E9">
      <w:pPr>
        <w:pStyle w:val="Heading1"/>
      </w:pPr>
      <w:bookmarkStart w:id="1" w:name="O_1260693"/>
      <w:bookmarkEnd w:id="1"/>
      <w:r w:rsidRPr="001451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45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E9">
            <w:pPr>
              <w:pStyle w:val="BodyText"/>
              <w:rPr>
                <w:lang w:val="en-NZ"/>
              </w:rPr>
            </w:pPr>
            <w:r w:rsidRPr="001451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E9" w:rsidP="001451E9">
            <w:pPr>
              <w:pStyle w:val="BodyText"/>
            </w:pPr>
            <w:r w:rsidRPr="001451E9">
              <w:t>This version first released with CPC Construction, Plumbing and Services Training Package Release 9.0.</w:t>
            </w:r>
          </w:p>
          <w:p w:rsidR="00000000" w:rsidRPr="001451E9" w:rsidP="001451E9">
            <w:pPr>
              <w:pStyle w:val="BodyText"/>
            </w:pPr>
            <w:r w:rsidRPr="001451E9">
              <w:t>Newly created unit.</w:t>
            </w:r>
          </w:p>
        </w:tc>
      </w:tr>
    </w:tbl>
    <w:p w:rsidR="00000000" w:rsidRPr="001451E9" w:rsidP="001451E9">
      <w:pPr>
        <w:pStyle w:val="BodyText"/>
      </w:pPr>
    </w:p>
    <w:p w:rsidR="00000000" w:rsidRPr="001451E9" w:rsidP="001451E9">
      <w:pPr>
        <w:pStyle w:val="AllowPageBreak"/>
      </w:pPr>
    </w:p>
    <w:p w:rsidR="00000000" w:rsidRPr="001451E9" w:rsidP="001451E9">
      <w:pPr>
        <w:pStyle w:val="Heading1"/>
      </w:pPr>
      <w:bookmarkStart w:id="2" w:name="O_1260696"/>
      <w:bookmarkEnd w:id="2"/>
      <w:r w:rsidRPr="001451E9">
        <w:t>Performance Evidence</w:t>
      </w:r>
    </w:p>
    <w:p w:rsidR="00000000" w:rsidRPr="001451E9" w:rsidP="0030435A">
      <w:pPr>
        <w:pStyle w:val="BodyText"/>
      </w:pPr>
      <w:r w:rsidRPr="001451E9">
        <w:t xml:space="preserve">To demonstrate competency, a candidate must meet the elements and performance criteria of this unit by: </w:t>
      </w:r>
    </w:p>
    <w:p w:rsidR="00000000" w:rsidRPr="001451E9" w:rsidP="001451E9">
      <w:pPr>
        <w:pStyle w:val="ListBullet"/>
      </w:pPr>
      <w:r w:rsidRPr="001451E9">
        <w:t>caulking a 20 mm nominal gap between two prefabricated concrete elements, for at least 3 m.</w:t>
      </w:r>
    </w:p>
    <w:p w:rsidR="00000000" w:rsidRPr="001451E9" w:rsidP="001451E9">
      <w:pPr>
        <w:pStyle w:val="AllowPageBreak"/>
      </w:pPr>
    </w:p>
    <w:p w:rsidR="00000000" w:rsidRPr="001451E9" w:rsidP="001451E9">
      <w:pPr>
        <w:pStyle w:val="Heading1"/>
      </w:pPr>
      <w:bookmarkStart w:id="3" w:name="O_1260695"/>
      <w:bookmarkEnd w:id="3"/>
      <w:r w:rsidRPr="001451E9">
        <w:t>Knowledge Evidence</w:t>
      </w:r>
    </w:p>
    <w:p w:rsidR="00000000" w:rsidRPr="001451E9" w:rsidP="0030435A">
      <w:pPr>
        <w:pStyle w:val="BodyText"/>
      </w:pPr>
      <w:r w:rsidRPr="001451E9">
        <w:t>To be competent in this unit, a candidate must demonstrate knowledge of:</w:t>
      </w:r>
    </w:p>
    <w:p w:rsidR="00000000" w:rsidRPr="001451E9" w:rsidP="001451E9">
      <w:pPr>
        <w:pStyle w:val="ListBullet"/>
      </w:pPr>
      <w:r w:rsidRPr="001451E9">
        <w:t>compliance requirements of legislation, regulations, codes and Australian Standards relevant to joint caulking of concrete prefabricated elements, including:</w:t>
      </w:r>
    </w:p>
    <w:p w:rsidR="00000000" w:rsidRPr="001451E9" w:rsidP="001451E9">
      <w:pPr>
        <w:pStyle w:val="ListBullet2"/>
      </w:pPr>
      <w:r w:rsidRPr="001451E9">
        <w:t>environmental protection and waste disposal</w:t>
      </w:r>
    </w:p>
    <w:p w:rsidR="00000000" w:rsidRPr="001451E9" w:rsidP="001451E9">
      <w:pPr>
        <w:pStyle w:val="ListBullet2"/>
      </w:pPr>
      <w:r w:rsidRPr="001451E9">
        <w:t>work health and safety (WHS) regulations, including:</w:t>
      </w:r>
    </w:p>
    <w:p w:rsidR="00000000" w:rsidRPr="001451E9" w:rsidP="001451E9">
      <w:pPr>
        <w:pStyle w:val="ListBullet3"/>
      </w:pPr>
      <w:r w:rsidRPr="001451E9">
        <w:t xml:space="preserve">use of personal protective equipment (PPE) as specified on the safety data sheet (SDS) </w:t>
      </w:r>
    </w:p>
    <w:p w:rsidR="00000000" w:rsidRPr="001451E9" w:rsidP="001451E9">
      <w:pPr>
        <w:pStyle w:val="ListBullet3"/>
      </w:pPr>
      <w:r w:rsidRPr="001451E9">
        <w:t>risk when working at heights/on ladders</w:t>
      </w:r>
    </w:p>
    <w:p w:rsidR="00000000" w:rsidRPr="001451E9" w:rsidP="001451E9">
      <w:pPr>
        <w:pStyle w:val="ListBullet3"/>
      </w:pPr>
      <w:r w:rsidRPr="001451E9">
        <w:t>fall protection</w:t>
      </w:r>
    </w:p>
    <w:p w:rsidR="00000000" w:rsidRPr="001451E9" w:rsidP="001451E9">
      <w:pPr>
        <w:pStyle w:val="ListBullet3"/>
      </w:pPr>
      <w:r w:rsidRPr="001451E9">
        <w:t>drop zones</w:t>
      </w:r>
    </w:p>
    <w:p w:rsidR="00000000" w:rsidRPr="001451E9" w:rsidP="001451E9">
      <w:pPr>
        <w:pStyle w:val="ListBullet3"/>
      </w:pPr>
      <w:r w:rsidRPr="001451E9">
        <w:t>hazardous substances</w:t>
      </w:r>
    </w:p>
    <w:p w:rsidR="00000000" w:rsidRPr="001451E9" w:rsidP="001451E9">
      <w:pPr>
        <w:pStyle w:val="ListBullet3"/>
      </w:pPr>
      <w:r w:rsidRPr="001451E9">
        <w:t xml:space="preserve">safe manual handling techniques </w:t>
      </w:r>
    </w:p>
    <w:p w:rsidR="00000000" w:rsidRPr="001451E9" w:rsidP="001451E9">
      <w:pPr>
        <w:pStyle w:val="ListBullet3"/>
      </w:pPr>
      <w:r w:rsidRPr="001451E9">
        <w:t>respiratory crystalline silica</w:t>
      </w:r>
    </w:p>
    <w:p w:rsidR="00000000" w:rsidRPr="001451E9" w:rsidP="001451E9">
      <w:pPr>
        <w:pStyle w:val="ListBullet"/>
      </w:pPr>
      <w:r w:rsidRPr="001451E9">
        <w:t>detrimental effect of water addition to concrete properties</w:t>
      </w:r>
    </w:p>
    <w:p w:rsidR="00000000" w:rsidRPr="001451E9" w:rsidP="001451E9">
      <w:pPr>
        <w:pStyle w:val="ListBullet"/>
      </w:pPr>
      <w:r w:rsidRPr="001451E9">
        <w:t>precautions that should be taken to minimise any potential adverse effects when finishing concrete</w:t>
      </w:r>
    </w:p>
    <w:p w:rsidR="00000000" w:rsidRPr="001451E9" w:rsidP="001451E9">
      <w:pPr>
        <w:pStyle w:val="ListBullet"/>
      </w:pPr>
      <w:r w:rsidRPr="001451E9">
        <w:t>caulk manuf</w:t>
      </w:r>
      <w:r w:rsidRPr="001451E9">
        <w:t>acturer technical data sheet</w:t>
      </w:r>
    </w:p>
    <w:p w:rsidR="00000000" w:rsidRPr="001451E9" w:rsidP="001451E9">
      <w:pPr>
        <w:pStyle w:val="ListBullet"/>
      </w:pPr>
      <w:r w:rsidRPr="001451E9">
        <w:t>types, characteristics and purposes of construction drawings to confirm:</w:t>
      </w:r>
    </w:p>
    <w:p w:rsidR="00000000" w:rsidRPr="001451E9" w:rsidP="001451E9">
      <w:pPr>
        <w:pStyle w:val="ListBullet2"/>
      </w:pPr>
      <w:r w:rsidRPr="001451E9">
        <w:t>caulking thickness</w:t>
      </w:r>
    </w:p>
    <w:p w:rsidR="00000000" w:rsidRPr="001451E9" w:rsidP="001451E9">
      <w:pPr>
        <w:pStyle w:val="ListBullet2"/>
      </w:pPr>
      <w:r w:rsidRPr="001451E9">
        <w:t xml:space="preserve">fire rating requirements </w:t>
      </w:r>
    </w:p>
    <w:p w:rsidR="00000000" w:rsidRPr="001451E9" w:rsidP="001451E9">
      <w:pPr>
        <w:pStyle w:val="ListBullet2"/>
      </w:pPr>
      <w:r w:rsidRPr="001451E9">
        <w:t>specifications used to interpret concrete installation requirements</w:t>
      </w:r>
    </w:p>
    <w:p w:rsidR="00000000" w:rsidRPr="001451E9" w:rsidP="001451E9">
      <w:pPr>
        <w:pStyle w:val="ListBullet"/>
      </w:pPr>
      <w:r w:rsidRPr="001451E9">
        <w:t>characteristics of caulking materials and their effect on, and appropriateness of use with, priming agents</w:t>
      </w:r>
    </w:p>
    <w:p w:rsidR="00000000" w:rsidRPr="001451E9" w:rsidP="001451E9">
      <w:pPr>
        <w:pStyle w:val="ListBullet"/>
      </w:pPr>
      <w:r w:rsidRPr="001451E9">
        <w:t xml:space="preserve">types, characteristics and purposes of caulking surfaces and materials, including: </w:t>
      </w:r>
    </w:p>
    <w:p w:rsidR="00000000" w:rsidRPr="001451E9" w:rsidP="001451E9">
      <w:pPr>
        <w:pStyle w:val="ListBullet2"/>
      </w:pPr>
      <w:r w:rsidRPr="001451E9">
        <w:t>existing silicon or caulking material</w:t>
      </w:r>
    </w:p>
    <w:p w:rsidR="00000000" w:rsidRPr="001451E9" w:rsidP="001451E9">
      <w:pPr>
        <w:pStyle w:val="ListBullet2"/>
      </w:pPr>
      <w:r w:rsidRPr="001451E9">
        <w:t>existing backing rod</w:t>
      </w:r>
    </w:p>
    <w:p w:rsidR="00000000" w:rsidRPr="001451E9" w:rsidP="001451E9">
      <w:pPr>
        <w:pStyle w:val="ListBullet2"/>
      </w:pPr>
      <w:r w:rsidRPr="001451E9">
        <w:t>laita</w:t>
      </w:r>
      <w:r w:rsidRPr="001451E9">
        <w:t>nce</w:t>
      </w:r>
    </w:p>
    <w:p w:rsidR="00000000" w:rsidRPr="001451E9" w:rsidP="001451E9">
      <w:pPr>
        <w:pStyle w:val="ListBullet2"/>
      </w:pPr>
      <w:r w:rsidRPr="001451E9">
        <w:t>concrete prefabricated bonding agent residue</w:t>
      </w:r>
    </w:p>
    <w:p w:rsidR="00000000" w:rsidRPr="001451E9" w:rsidP="001451E9">
      <w:pPr>
        <w:pStyle w:val="ListBullet2"/>
      </w:pPr>
      <w:r w:rsidRPr="001451E9">
        <w:t>sealed concrete prefabricated surface</w:t>
      </w:r>
    </w:p>
    <w:p w:rsidR="00000000" w:rsidRPr="001451E9" w:rsidP="001451E9">
      <w:pPr>
        <w:pStyle w:val="ListBullet2"/>
      </w:pPr>
      <w:r w:rsidRPr="001451E9">
        <w:t>painted concrete prefabricated surface</w:t>
      </w:r>
    </w:p>
    <w:p w:rsidR="00000000" w:rsidRPr="001451E9" w:rsidP="001451E9">
      <w:pPr>
        <w:pStyle w:val="ListBullet2"/>
      </w:pPr>
      <w:r w:rsidRPr="001451E9">
        <w:t>moisture content of joint</w:t>
      </w:r>
    </w:p>
    <w:p w:rsidR="00000000" w:rsidRPr="001451E9" w:rsidP="001451E9">
      <w:pPr>
        <w:pStyle w:val="ListBullet2"/>
      </w:pPr>
      <w:r w:rsidRPr="001451E9">
        <w:t xml:space="preserve">silicone </w:t>
      </w:r>
    </w:p>
    <w:p w:rsidR="00000000" w:rsidRPr="001451E9" w:rsidP="001451E9">
      <w:pPr>
        <w:pStyle w:val="ListBullet2"/>
      </w:pPr>
      <w:r w:rsidRPr="001451E9">
        <w:t>polyurethane</w:t>
      </w:r>
    </w:p>
    <w:p w:rsidR="00000000" w:rsidRPr="001451E9" w:rsidP="001451E9">
      <w:pPr>
        <w:pStyle w:val="ListBullet2"/>
      </w:pPr>
      <w:r w:rsidRPr="001451E9">
        <w:t>modified polymer</w:t>
      </w:r>
    </w:p>
    <w:p w:rsidR="00000000" w:rsidRPr="001451E9" w:rsidP="001451E9">
      <w:pPr>
        <w:pStyle w:val="ListBullet2"/>
      </w:pPr>
      <w:r w:rsidRPr="001451E9">
        <w:t>polysulphide</w:t>
      </w:r>
    </w:p>
    <w:p w:rsidR="00000000" w:rsidRPr="001451E9" w:rsidP="001451E9">
      <w:pPr>
        <w:pStyle w:val="ListBullet2"/>
      </w:pPr>
      <w:r w:rsidRPr="001451E9">
        <w:t>acrylic</w:t>
      </w:r>
    </w:p>
    <w:p w:rsidR="00000000" w:rsidRPr="001451E9" w:rsidP="001451E9">
      <w:pPr>
        <w:pStyle w:val="ListBullet2"/>
      </w:pPr>
      <w:r w:rsidRPr="001451E9">
        <w:t>fire rating</w:t>
      </w:r>
    </w:p>
    <w:p w:rsidR="00000000" w:rsidRPr="001451E9" w:rsidP="001451E9">
      <w:pPr>
        <w:pStyle w:val="ListBullet"/>
      </w:pPr>
      <w:r w:rsidRPr="001451E9">
        <w:t>caulking tool types and their purpose, including:</w:t>
      </w:r>
    </w:p>
    <w:p w:rsidR="00000000" w:rsidRPr="001451E9" w:rsidP="001451E9">
      <w:pPr>
        <w:pStyle w:val="ListBullet2"/>
      </w:pPr>
      <w:r w:rsidRPr="001451E9">
        <w:t>wire brush</w:t>
      </w:r>
    </w:p>
    <w:p w:rsidR="00000000" w:rsidRPr="001451E9" w:rsidP="001451E9">
      <w:pPr>
        <w:pStyle w:val="ListBullet2"/>
      </w:pPr>
      <w:r w:rsidRPr="001451E9">
        <w:t>soft brush</w:t>
      </w:r>
    </w:p>
    <w:p w:rsidR="00000000" w:rsidRPr="001451E9" w:rsidP="001451E9">
      <w:pPr>
        <w:pStyle w:val="ListBullet2"/>
      </w:pPr>
      <w:r w:rsidRPr="001451E9">
        <w:t>scraper</w:t>
      </w:r>
    </w:p>
    <w:p w:rsidR="00000000" w:rsidRPr="001451E9" w:rsidP="001451E9">
      <w:pPr>
        <w:pStyle w:val="ListBullet2"/>
      </w:pPr>
      <w:r w:rsidRPr="001451E9">
        <w:t>air compressors and hoses</w:t>
      </w:r>
    </w:p>
    <w:p w:rsidR="00000000" w:rsidRPr="001451E9" w:rsidP="001451E9">
      <w:pPr>
        <w:pStyle w:val="ListBullet2"/>
      </w:pPr>
      <w:r w:rsidRPr="001451E9">
        <w:t>portable blower</w:t>
      </w:r>
    </w:p>
    <w:p w:rsidR="00000000" w:rsidRPr="001451E9" w:rsidP="001451E9">
      <w:pPr>
        <w:pStyle w:val="ListBullet2"/>
      </w:pPr>
      <w:r w:rsidRPr="001451E9">
        <w:t>sander/grinder</w:t>
      </w:r>
    </w:p>
    <w:p w:rsidR="00000000" w:rsidRPr="001451E9" w:rsidP="001451E9">
      <w:pPr>
        <w:pStyle w:val="ListBullet2"/>
      </w:pPr>
      <w:r w:rsidRPr="001451E9">
        <w:t xml:space="preserve">caulking ‘slicks’ (sausages) </w:t>
      </w:r>
    </w:p>
    <w:p w:rsidR="00000000" w:rsidRPr="001451E9" w:rsidP="001451E9">
      <w:pPr>
        <w:pStyle w:val="ListBullet2"/>
      </w:pPr>
      <w:r w:rsidRPr="001451E9">
        <w:t>spatula</w:t>
      </w:r>
    </w:p>
    <w:p w:rsidR="00000000" w:rsidRPr="001451E9" w:rsidP="001451E9">
      <w:pPr>
        <w:pStyle w:val="ListBullet2"/>
      </w:pPr>
      <w:r w:rsidRPr="001451E9">
        <w:t>roller</w:t>
      </w:r>
    </w:p>
    <w:p w:rsidR="00000000" w:rsidRPr="001451E9" w:rsidP="001451E9">
      <w:pPr>
        <w:pStyle w:val="ListBullet2"/>
      </w:pPr>
      <w:r w:rsidRPr="001451E9">
        <w:t>putty knife</w:t>
      </w:r>
    </w:p>
    <w:p w:rsidR="00000000" w:rsidRPr="001451E9" w:rsidP="001451E9">
      <w:pPr>
        <w:pStyle w:val="ListBullet2"/>
      </w:pPr>
      <w:r w:rsidRPr="001451E9">
        <w:t>caulking gun</w:t>
      </w:r>
    </w:p>
    <w:p w:rsidR="00000000" w:rsidRPr="001451E9" w:rsidP="001451E9">
      <w:pPr>
        <w:pStyle w:val="ListBullet2"/>
      </w:pPr>
      <w:r w:rsidRPr="001451E9">
        <w:t>power leads</w:t>
      </w:r>
    </w:p>
    <w:p w:rsidR="00000000" w:rsidRPr="001451E9" w:rsidP="001451E9">
      <w:pPr>
        <w:pStyle w:val="ListBullet2"/>
      </w:pPr>
      <w:r w:rsidRPr="001451E9">
        <w:t xml:space="preserve">testing equipment (moisture meter) </w:t>
      </w:r>
    </w:p>
    <w:p w:rsidR="00000000" w:rsidRPr="001451E9" w:rsidP="001451E9">
      <w:pPr>
        <w:pStyle w:val="ListBullet"/>
      </w:pPr>
      <w:r w:rsidRPr="001451E9">
        <w:t>workplace requirements for caulking prefabricated concrete elements:</w:t>
      </w:r>
    </w:p>
    <w:p w:rsidR="00000000" w:rsidRPr="001451E9" w:rsidP="001451E9">
      <w:pPr>
        <w:pStyle w:val="ListBullet2"/>
      </w:pPr>
      <w:r w:rsidRPr="001451E9">
        <w:t>cleaning up the work area</w:t>
      </w:r>
    </w:p>
    <w:p w:rsidR="00000000" w:rsidRPr="001451E9" w:rsidP="001451E9">
      <w:pPr>
        <w:pStyle w:val="ListBullet2"/>
      </w:pPr>
      <w:r w:rsidRPr="001451E9">
        <w:t>maintaining and storing plant, labelling, tools and equipment</w:t>
      </w:r>
    </w:p>
    <w:p w:rsidR="00000000" w:rsidRPr="001451E9" w:rsidP="001451E9">
      <w:pPr>
        <w:pStyle w:val="ListBullet2"/>
      </w:pPr>
      <w:r w:rsidRPr="001451E9">
        <w:t>reporting problems</w:t>
      </w:r>
    </w:p>
    <w:p w:rsidR="00000000" w:rsidRPr="001451E9" w:rsidP="001451E9">
      <w:pPr>
        <w:pStyle w:val="ListBullet2"/>
      </w:pPr>
      <w:r w:rsidRPr="001451E9">
        <w:t>quality</w:t>
      </w:r>
    </w:p>
    <w:p w:rsidR="00000000" w:rsidRPr="001451E9" w:rsidP="001451E9">
      <w:pPr>
        <w:pStyle w:val="ListBullet"/>
      </w:pPr>
      <w:r w:rsidRPr="001451E9">
        <w:t xml:space="preserve">terminology used for caulking </w:t>
      </w:r>
    </w:p>
    <w:p w:rsidR="00000000" w:rsidRPr="001451E9" w:rsidP="001451E9">
      <w:pPr>
        <w:pStyle w:val="ListBullet"/>
      </w:pPr>
      <w:r w:rsidRPr="001451E9">
        <w:t>manufacturer technical requirements</w:t>
      </w:r>
    </w:p>
    <w:p w:rsidR="00000000" w:rsidRPr="001451E9" w:rsidP="001451E9">
      <w:pPr>
        <w:pStyle w:val="ListBullet"/>
      </w:pPr>
      <w:r w:rsidRPr="001451E9">
        <w:t>sp</w:t>
      </w:r>
      <w:r w:rsidRPr="001451E9">
        <w:t xml:space="preserve">ecifications used for joint caulking </w:t>
      </w:r>
    </w:p>
    <w:p w:rsidR="00000000" w:rsidRPr="001451E9" w:rsidP="001451E9">
      <w:pPr>
        <w:pStyle w:val="ListBullet"/>
      </w:pPr>
      <w:r w:rsidRPr="001451E9">
        <w:t xml:space="preserve">types of concrete prefabricated elements </w:t>
      </w:r>
    </w:p>
    <w:p w:rsidR="00000000" w:rsidRPr="001451E9" w:rsidP="001451E9">
      <w:pPr>
        <w:pStyle w:val="ListBullet"/>
      </w:pPr>
      <w:r w:rsidRPr="001451E9">
        <w:t xml:space="preserve">fire rating requirements relevant to concrete prefabricated element rectification </w:t>
      </w:r>
    </w:p>
    <w:p w:rsidR="00000000" w:rsidRPr="001451E9" w:rsidP="001451E9">
      <w:pPr>
        <w:pStyle w:val="ListBullet"/>
      </w:pPr>
      <w:r w:rsidRPr="001451E9">
        <w:t xml:space="preserve">workplace procedures related to communication protocols </w:t>
      </w:r>
    </w:p>
    <w:p w:rsidR="00000000" w:rsidRPr="001451E9" w:rsidP="001451E9">
      <w:pPr>
        <w:pStyle w:val="ListBullet"/>
      </w:pPr>
      <w:r w:rsidRPr="001451E9">
        <w:t xml:space="preserve">principles of sustainability relevant to material reuse </w:t>
      </w:r>
    </w:p>
    <w:p w:rsidR="00000000" w:rsidRPr="001451E9" w:rsidP="001451E9">
      <w:pPr>
        <w:pStyle w:val="ListBullet"/>
      </w:pPr>
      <w:r w:rsidRPr="001451E9">
        <w:t xml:space="preserve">work planning and logical task sequencing </w:t>
      </w:r>
    </w:p>
    <w:p w:rsidR="00000000" w:rsidRPr="001451E9" w:rsidP="001451E9">
      <w:pPr>
        <w:pStyle w:val="ListBullet"/>
      </w:pPr>
      <w:r w:rsidRPr="001451E9">
        <w:t xml:space="preserve">types of concrete surface variables that reduce optimal sealant adhesion </w:t>
      </w:r>
    </w:p>
    <w:p w:rsidR="00000000" w:rsidRPr="001451E9" w:rsidP="001451E9">
      <w:pPr>
        <w:pStyle w:val="ListBullet"/>
      </w:pPr>
      <w:r w:rsidRPr="001451E9">
        <w:t>concrete prefabricated release agent residue</w:t>
      </w:r>
    </w:p>
    <w:p w:rsidR="00000000" w:rsidRPr="001451E9" w:rsidP="001451E9">
      <w:pPr>
        <w:pStyle w:val="ListBullet"/>
      </w:pPr>
      <w:r w:rsidRPr="001451E9">
        <w:t xml:space="preserve">impact of laitance, dirt and dust on </w:t>
      </w:r>
      <w:r w:rsidRPr="001451E9">
        <w:t>caulking</w:t>
      </w:r>
    </w:p>
    <w:p w:rsidR="00000000" w:rsidRPr="001451E9" w:rsidP="001451E9">
      <w:pPr>
        <w:pStyle w:val="ListBullet"/>
      </w:pPr>
      <w:r w:rsidRPr="001451E9">
        <w:t>difference between closed cell and open cell backing rod</w:t>
      </w:r>
    </w:p>
    <w:p w:rsidR="00000000" w:rsidRPr="001451E9" w:rsidP="001451E9">
      <w:pPr>
        <w:pStyle w:val="ListBullet"/>
      </w:pPr>
      <w:r w:rsidRPr="001451E9">
        <w:t xml:space="preserve">processes for calculating material measurements and quantities.  </w:t>
      </w:r>
    </w:p>
    <w:p w:rsidR="00000000" w:rsidRPr="001451E9" w:rsidP="001451E9">
      <w:pPr>
        <w:pStyle w:val="AllowPageBreak"/>
      </w:pPr>
    </w:p>
    <w:p w:rsidR="00000000" w:rsidRPr="001451E9" w:rsidP="001451E9">
      <w:pPr>
        <w:pStyle w:val="Heading1"/>
      </w:pPr>
      <w:bookmarkStart w:id="4" w:name="O_1260694"/>
      <w:bookmarkEnd w:id="4"/>
      <w:r w:rsidRPr="001451E9">
        <w:t>Assessment Conditions</w:t>
      </w:r>
    </w:p>
    <w:p w:rsidR="00000000" w:rsidRPr="001451E9" w:rsidP="0030435A">
      <w:pPr>
        <w:pStyle w:val="BodyText"/>
      </w:pPr>
      <w:r w:rsidRPr="001451E9">
        <w:t>Assessors must meet the requirements for assessors contained in the Standards for R</w:t>
      </w:r>
      <w:r w:rsidRPr="001451E9">
        <w:t>egistered Training Organisations.</w:t>
      </w:r>
    </w:p>
    <w:p w:rsidR="00000000" w:rsidRPr="001451E9" w:rsidP="0030435A">
      <w:pPr>
        <w:pStyle w:val="BodyText"/>
      </w:pPr>
      <w:r w:rsidRPr="001451E9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1451E9" w:rsidP="0030435A">
      <w:pPr>
        <w:pStyle w:val="BodyText"/>
      </w:pPr>
      <w:r w:rsidRPr="001451E9">
        <w:t xml:space="preserve">Candidates must </w:t>
      </w:r>
      <w:r w:rsidRPr="001451E9">
        <w:t>have access to erection design documentation, manufacturer technical data sheets, materials, plant, tools and equipment required to achieve the performance evidence.</w:t>
      </w:r>
    </w:p>
    <w:p w:rsidR="00000000" w:rsidRPr="001451E9" w:rsidP="001451E9">
      <w:pPr>
        <w:pStyle w:val="Heading1"/>
      </w:pPr>
      <w:bookmarkStart w:id="5" w:name="O_1260692"/>
      <w:bookmarkEnd w:id="5"/>
      <w:r w:rsidRPr="001451E9">
        <w:t>Links</w:t>
      </w:r>
    </w:p>
    <w:p w:rsidR="00000000" w:rsidRPr="001451E9" w:rsidP="0030435A">
      <w:pPr>
        <w:pStyle w:val="BodyText"/>
      </w:pPr>
      <w:r w:rsidRPr="001451E9">
        <w:t>Companion volumes to this training package are available at the V</w:t>
      </w:r>
      <w:r w:rsidRPr="001451E9">
        <w:t xml:space="preserve">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680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51E9" w:rsidP="001451E9"/>
    <w:sectPr w:rsidSect="00145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E9" w:rsidRPr="0030435A" w:rsidP="00304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5A" w:rsidP="00145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35A" w:rsidP="00145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435A" w:rsidP="00145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1E9" w:rsidRPr="0030435A" w:rsidP="00304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5A" w:rsidRPr="002D2AF8" w:rsidP="00145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CPCPRE2004 Caulk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0435A" w:rsidP="00145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A4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29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89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1E9"/>
  </w:style>
  <w:style w:type="character" w:customStyle="1" w:styleId="Heading1Char">
    <w:name w:val="Heading 1 Char"/>
    <w:basedOn w:val="DefaultParagraphFont"/>
    <w:link w:val="Heading1"/>
    <w:rsid w:val="00145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1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1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51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5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1E9"/>
    <w:rPr>
      <w:b/>
      <w:spacing w:val="0"/>
    </w:rPr>
  </w:style>
  <w:style w:type="paragraph" w:customStyle="1" w:styleId="SuperTitle">
    <w:name w:val="SuperTitle"/>
    <w:basedOn w:val="Title"/>
    <w:rsid w:val="00145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1E9"/>
    <w:rPr>
      <w:i/>
    </w:rPr>
  </w:style>
  <w:style w:type="paragraph" w:styleId="Caption">
    <w:name w:val="caption"/>
    <w:basedOn w:val="BodyText"/>
    <w:next w:val="Normal"/>
    <w:qFormat/>
    <w:rsid w:val="00145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1E9"/>
  </w:style>
  <w:style w:type="paragraph" w:styleId="TableofFigures">
    <w:name w:val="table of figures"/>
    <w:basedOn w:val="Normal"/>
    <w:next w:val="Normal"/>
    <w:semiHidden/>
    <w:rsid w:val="00145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1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51E9"/>
    <w:rPr>
      <w:rFonts w:ascii="Wingdings" w:hAnsi="Wingdings"/>
    </w:rPr>
  </w:style>
  <w:style w:type="paragraph" w:customStyle="1" w:styleId="TableHeading">
    <w:name w:val="Table Heading"/>
    <w:basedOn w:val="HeadingBase"/>
    <w:rsid w:val="00145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1E9"/>
    <w:rPr>
      <w:color w:val="0033CC"/>
      <w:u w:val="none"/>
    </w:rPr>
  </w:style>
  <w:style w:type="paragraph" w:customStyle="1" w:styleId="BodyTextRight">
    <w:name w:val="Body Text Right"/>
    <w:basedOn w:val="BodyText"/>
    <w:rsid w:val="00145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1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1E9"/>
    <w:rPr>
      <w:sz w:val="32"/>
    </w:rPr>
  </w:style>
  <w:style w:type="paragraph" w:customStyle="1" w:styleId="HeadingProcedure">
    <w:name w:val="Heading Procedure"/>
    <w:basedOn w:val="HeadingBase"/>
    <w:next w:val="Normal"/>
    <w:rsid w:val="00145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1E9"/>
    <w:pPr>
      <w:spacing w:before="60" w:after="60"/>
    </w:pPr>
  </w:style>
  <w:style w:type="paragraph" w:styleId="ListContinue">
    <w:name w:val="List Continue"/>
    <w:basedOn w:val="List"/>
    <w:rsid w:val="001451E9"/>
    <w:pPr>
      <w:ind w:firstLine="0"/>
    </w:pPr>
  </w:style>
  <w:style w:type="paragraph" w:customStyle="1" w:styleId="ListNote">
    <w:name w:val="List Note"/>
    <w:basedOn w:val="List"/>
    <w:rsid w:val="00145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1E9"/>
    <w:rPr>
      <w:rFonts w:ascii="Courier New" w:hAnsi="Courier New"/>
    </w:rPr>
  </w:style>
  <w:style w:type="paragraph" w:customStyle="1" w:styleId="NoteBullet">
    <w:name w:val="Note Bullet"/>
    <w:basedOn w:val="Note"/>
    <w:rsid w:val="00145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1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5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1E9"/>
    <w:rPr>
      <w:b/>
      <w:smallCaps/>
    </w:rPr>
  </w:style>
  <w:style w:type="paragraph" w:customStyle="1" w:styleId="TableListNumber">
    <w:name w:val="Table List Number"/>
    <w:basedOn w:val="ListNumber"/>
    <w:rsid w:val="00145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1E9"/>
    <w:pPr>
      <w:numPr>
        <w:numId w:val="10"/>
      </w:numPr>
    </w:pPr>
  </w:style>
  <w:style w:type="paragraph" w:customStyle="1" w:styleId="ListAlpha2">
    <w:name w:val="List Alpha 2"/>
    <w:basedOn w:val="List2"/>
    <w:rsid w:val="001451E9"/>
    <w:pPr>
      <w:numPr>
        <w:numId w:val="9"/>
      </w:numPr>
    </w:pPr>
  </w:style>
  <w:style w:type="paragraph" w:styleId="List2">
    <w:name w:val="List 2"/>
    <w:basedOn w:val="BodyText"/>
    <w:rsid w:val="00145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1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51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51E9"/>
    <w:pPr>
      <w:numPr>
        <w:numId w:val="5"/>
      </w:numPr>
    </w:pPr>
  </w:style>
  <w:style w:type="paragraph" w:styleId="ListContinue2">
    <w:name w:val="List Continue 2"/>
    <w:basedOn w:val="List2"/>
    <w:rsid w:val="001451E9"/>
    <w:pPr>
      <w:ind w:firstLine="0"/>
    </w:pPr>
  </w:style>
  <w:style w:type="paragraph" w:styleId="ListContinue3">
    <w:name w:val="List Continue 3"/>
    <w:basedOn w:val="List3"/>
    <w:rsid w:val="001451E9"/>
    <w:pPr>
      <w:ind w:left="1021" w:firstLine="0"/>
    </w:pPr>
  </w:style>
  <w:style w:type="paragraph" w:styleId="ListContinue4">
    <w:name w:val="List Continue 4"/>
    <w:basedOn w:val="List4"/>
    <w:rsid w:val="001451E9"/>
    <w:pPr>
      <w:ind w:firstLine="0"/>
    </w:pPr>
  </w:style>
  <w:style w:type="paragraph" w:styleId="ListContinue5">
    <w:name w:val="List Continue 5"/>
    <w:basedOn w:val="List5"/>
    <w:rsid w:val="001451E9"/>
    <w:pPr>
      <w:ind w:firstLine="0"/>
    </w:pPr>
  </w:style>
  <w:style w:type="paragraph" w:styleId="ListNumber3">
    <w:name w:val="List Number 3"/>
    <w:basedOn w:val="List3"/>
    <w:rsid w:val="001451E9"/>
    <w:pPr>
      <w:numPr>
        <w:numId w:val="6"/>
      </w:numPr>
    </w:pPr>
  </w:style>
  <w:style w:type="paragraph" w:styleId="ListNumber4">
    <w:name w:val="List Number 4"/>
    <w:basedOn w:val="List4"/>
    <w:rsid w:val="001451E9"/>
    <w:pPr>
      <w:numPr>
        <w:numId w:val="7"/>
      </w:numPr>
    </w:pPr>
  </w:style>
  <w:style w:type="paragraph" w:styleId="ListNumber5">
    <w:name w:val="List Number 5"/>
    <w:basedOn w:val="List5"/>
    <w:rsid w:val="001451E9"/>
    <w:pPr>
      <w:numPr>
        <w:numId w:val="8"/>
      </w:numPr>
    </w:pPr>
  </w:style>
  <w:style w:type="paragraph" w:styleId="BlockText">
    <w:name w:val="Block Text"/>
    <w:basedOn w:val="Normal"/>
    <w:rsid w:val="00145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1E9"/>
    <w:rPr>
      <w:sz w:val="16"/>
      <w:vertAlign w:val="superscript"/>
    </w:rPr>
  </w:style>
  <w:style w:type="character" w:customStyle="1" w:styleId="Symbols">
    <w:name w:val="Symbols"/>
    <w:basedOn w:val="DefaultParagraphFont"/>
    <w:rsid w:val="001451E9"/>
    <w:rPr>
      <w:rFonts w:ascii="Symbol" w:hAnsi="Symbol"/>
    </w:rPr>
  </w:style>
  <w:style w:type="character" w:customStyle="1" w:styleId="MenuOptions">
    <w:name w:val="Menu Options"/>
    <w:basedOn w:val="DefaultParagraphFont"/>
    <w:rsid w:val="00145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1E9"/>
    <w:rPr>
      <w:b/>
    </w:rPr>
  </w:style>
  <w:style w:type="character" w:customStyle="1" w:styleId="Underlined">
    <w:name w:val="Underlined"/>
    <w:basedOn w:val="DefaultParagraphFont"/>
    <w:rsid w:val="001451E9"/>
    <w:rPr>
      <w:u w:val="single"/>
    </w:rPr>
  </w:style>
  <w:style w:type="paragraph" w:customStyle="1" w:styleId="TableBodyTextRight">
    <w:name w:val="Table Body Text Right"/>
    <w:basedOn w:val="TableBodyText"/>
    <w:rsid w:val="00145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1E9"/>
    <w:rPr>
      <w:sz w:val="18"/>
    </w:rPr>
  </w:style>
  <w:style w:type="paragraph" w:customStyle="1" w:styleId="BodySmallRight">
    <w:name w:val="Body Small Right"/>
    <w:basedOn w:val="BodyTextRight"/>
    <w:rsid w:val="001451E9"/>
    <w:rPr>
      <w:sz w:val="18"/>
      <w:szCs w:val="18"/>
    </w:rPr>
  </w:style>
  <w:style w:type="paragraph" w:customStyle="1" w:styleId="MarginEdition">
    <w:name w:val="Margin Edition"/>
    <w:basedOn w:val="MarginNote"/>
    <w:rsid w:val="00145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1E9"/>
    <w:rPr>
      <w:sz w:val="2"/>
      <w:szCs w:val="2"/>
    </w:rPr>
  </w:style>
  <w:style w:type="character" w:customStyle="1" w:styleId="Small">
    <w:name w:val="Small"/>
    <w:basedOn w:val="DefaultParagraphFont"/>
    <w:rsid w:val="001451E9"/>
    <w:rPr>
      <w:sz w:val="16"/>
    </w:rPr>
  </w:style>
  <w:style w:type="paragraph" w:customStyle="1" w:styleId="WideTable">
    <w:name w:val="Wide Table"/>
    <w:basedOn w:val="Normal"/>
    <w:rsid w:val="00145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1E9"/>
  </w:style>
  <w:style w:type="paragraph" w:styleId="Quote">
    <w:name w:val="Quote"/>
    <w:basedOn w:val="Heading1"/>
    <w:link w:val="QuoteChar"/>
    <w:qFormat/>
    <w:rsid w:val="00145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1E9"/>
    <w:pPr>
      <w:pageBreakBefore/>
    </w:pPr>
  </w:style>
  <w:style w:type="paragraph" w:customStyle="1" w:styleId="Border">
    <w:name w:val="Border"/>
    <w:basedOn w:val="Normal"/>
    <w:qFormat/>
    <w:rsid w:val="00145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1E9"/>
    <w:rPr>
      <w:u w:val="single"/>
    </w:rPr>
  </w:style>
  <w:style w:type="character" w:customStyle="1" w:styleId="BoldandItalics">
    <w:name w:val="Bold and Italics"/>
    <w:qFormat/>
    <w:rsid w:val="001451E9"/>
    <w:rPr>
      <w:b/>
      <w:i/>
      <w:u w:val="none"/>
    </w:rPr>
  </w:style>
  <w:style w:type="paragraph" w:styleId="BalloonText">
    <w:name w:val="Balloon Text"/>
    <w:basedOn w:val="Normal"/>
    <w:link w:val="BalloonTextChar"/>
    <w:rsid w:val="00145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1E9"/>
    <w:pPr>
      <w:spacing w:before="0" w:after="0"/>
    </w:pPr>
  </w:style>
  <w:style w:type="paragraph" w:customStyle="1" w:styleId="BodyTextBold">
    <w:name w:val="Body Text Bold"/>
    <w:basedOn w:val="BodyText"/>
    <w:qFormat/>
    <w:rsid w:val="001451E9"/>
    <w:rPr>
      <w:b/>
    </w:rPr>
  </w:style>
  <w:style w:type="character" w:styleId="Hyperlink">
    <w:name w:val="Hyperlink"/>
    <w:basedOn w:val="DefaultParagraphFont"/>
    <w:uiPriority w:val="99"/>
    <w:unhideWhenUsed/>
    <w:rsid w:val="00304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3489</Characters>
  <Application>Microsoft Office Word</Application>
  <DocSecurity>0</DocSecurity>
  <Lines>109</Lines>
  <Paragraphs>94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CPCPRE2004 Caulk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