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770C" w:rsidP="0019770C">
      <w:pPr>
        <w:pStyle w:val="Title"/>
      </w:pPr>
      <w:r>
        <w:fldChar w:fldCharType="begin"/>
      </w:r>
      <w:r>
        <w:instrText xml:space="preserve"> TITLE   \* MERGEFORMAT </w:instrText>
      </w:r>
      <w:r>
        <w:fldChar w:fldCharType="separate"/>
      </w:r>
      <w:r>
        <w:t>CPCPRE2003 Grout prefabricated concrete elements</w:t>
      </w:r>
      <w:r>
        <w:fldChar w:fldCharType="end"/>
      </w:r>
    </w:p>
    <w:p w:rsidR="0019770C" w:rsidP="0019770C">
      <w:pPr>
        <w:pStyle w:val="Version"/>
        <w:sectPr w:rsidSect="006D4B1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D4B18" w:rsidP="006D4B18">
      <w:pPr>
        <w:pStyle w:val="SuperHeading"/>
      </w:pPr>
      <w:r w:rsidRPr="006D4B18">
        <w:t>CPCPRE2003 Grout prefabricated concrete elements</w:t>
      </w:r>
    </w:p>
    <w:p w:rsidR="00000000" w:rsidRPr="006D4B18" w:rsidP="006D4B18">
      <w:pPr>
        <w:pStyle w:val="Heading1"/>
      </w:pPr>
      <w:bookmarkStart w:id="1" w:name="O_1260680"/>
      <w:bookmarkEnd w:id="1"/>
      <w:r w:rsidRPr="006D4B18">
        <w:t>Modification History</w:t>
      </w:r>
    </w:p>
    <w:tbl>
      <w:tblPr>
        <w:tblW w:w="0" w:type="auto"/>
        <w:tblLayout w:type="fixed"/>
        <w:tblCellMar>
          <w:left w:w="62" w:type="dxa"/>
          <w:right w:w="62" w:type="dxa"/>
        </w:tblCellMar>
        <w:tblLook w:val="0000"/>
      </w:tblPr>
      <w:tblGrid>
        <w:gridCol w:w="1066"/>
        <w:gridCol w:w="7944"/>
      </w:tblGrid>
      <w:tr w:rsidTr="006D4B18">
        <w:tblPrEx>
          <w:tblW w:w="0" w:type="auto"/>
          <w:tblLayout w:type="fixed"/>
          <w:tblCellMar>
            <w:left w:w="62" w:type="dxa"/>
            <w:right w:w="62" w:type="dxa"/>
          </w:tblCellMar>
          <w:tblLook w:val="0000"/>
        </w:tblPrEx>
        <w:tc>
          <w:tcPr>
            <w:tcW w:w="1066"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Release 1</w:t>
            </w:r>
          </w:p>
        </w:tc>
        <w:tc>
          <w:tcPr>
            <w:tcW w:w="7944" w:type="dxa"/>
            <w:tcBorders>
              <w:top w:val="nil"/>
              <w:left w:val="nil"/>
              <w:bottom w:val="nil"/>
              <w:right w:val="nil"/>
            </w:tcBorders>
            <w:tcMar>
              <w:top w:w="0" w:type="dxa"/>
              <w:left w:w="62" w:type="dxa"/>
              <w:bottom w:w="0" w:type="dxa"/>
              <w:right w:w="62" w:type="dxa"/>
            </w:tcMar>
          </w:tcPr>
          <w:p w:rsidR="00000000" w:rsidRPr="006D4B18" w:rsidP="006D4B18">
            <w:pPr>
              <w:pStyle w:val="BodyText"/>
            </w:pPr>
            <w:r w:rsidRPr="006D4B18">
              <w:t>This version first released with CPC Construction, Plumbing and Services Training Package Release 9.0.</w:t>
            </w:r>
          </w:p>
          <w:p w:rsidR="00000000" w:rsidRPr="006D4B18" w:rsidP="006D4B18">
            <w:pPr>
              <w:pStyle w:val="BodyText"/>
            </w:pPr>
            <w:r w:rsidRPr="006D4B18">
              <w:t>Newly created unit.</w:t>
            </w:r>
          </w:p>
        </w:tc>
      </w:tr>
    </w:tbl>
    <w:p w:rsidR="00000000" w:rsidRPr="006D4B18" w:rsidP="006D4B18">
      <w:pPr>
        <w:pStyle w:val="BodyText"/>
      </w:pPr>
    </w:p>
    <w:p w:rsidR="00000000" w:rsidRPr="006D4B18" w:rsidP="006D4B18">
      <w:pPr>
        <w:pStyle w:val="AllowPageBreak"/>
      </w:pPr>
    </w:p>
    <w:p w:rsidR="00000000" w:rsidRPr="006D4B18" w:rsidP="006D4B18">
      <w:pPr>
        <w:pStyle w:val="Heading1"/>
      </w:pPr>
      <w:bookmarkStart w:id="2" w:name="O_1260686"/>
      <w:bookmarkEnd w:id="2"/>
      <w:r w:rsidRPr="006D4B18">
        <w:t>Application</w:t>
      </w:r>
    </w:p>
    <w:p w:rsidR="00000000" w:rsidRPr="006D4B18" w:rsidP="0019770C">
      <w:pPr>
        <w:pStyle w:val="BodyText"/>
      </w:pPr>
      <w:r w:rsidRPr="006D4B18">
        <w:t xml:space="preserve">This unit of competency specifies the skills and knowledge </w:t>
      </w:r>
      <w:r w:rsidRPr="006D4B18">
        <w:t>required to grout load bearing and non-load bearing prefabricated concrete elements according to specified requirements.</w:t>
      </w:r>
    </w:p>
    <w:p w:rsidR="00000000" w:rsidRPr="006D4B18" w:rsidP="0019770C">
      <w:pPr>
        <w:pStyle w:val="BodyText"/>
      </w:pPr>
      <w:r w:rsidRPr="006D4B18">
        <w:t>It requires using tools and equipment appropriate for grouting.</w:t>
      </w:r>
    </w:p>
    <w:p w:rsidR="00000000" w:rsidRPr="006D4B18" w:rsidP="0019770C">
      <w:pPr>
        <w:pStyle w:val="BodyText"/>
      </w:pPr>
      <w:r w:rsidRPr="006D4B18">
        <w:t xml:space="preserve">A person who has achieved this unit of competency would be expected to </w:t>
      </w:r>
      <w:r w:rsidRPr="006D4B18">
        <w:t xml:space="preserve">apply grouting techniques to load bearing and non-load bearing vertical and horizontal joints between prefabricated concrete elements. </w:t>
      </w:r>
    </w:p>
    <w:p w:rsidR="00000000" w:rsidRPr="006D4B18" w:rsidP="0019770C">
      <w:pPr>
        <w:pStyle w:val="BodyText"/>
      </w:pPr>
      <w:r w:rsidRPr="006D4B18">
        <w:t>Completion of the general construction induction training program, specified in the Safe Work Australia model Code of Pr</w:t>
      </w:r>
      <w:r w:rsidRPr="006D4B18">
        <w:t>actice: Construction Work, is required by anyone carrying out construction work. Achievement of CPCWHS1001 Prepare to work safely in the construction industry meets this requirement.</w:t>
      </w:r>
    </w:p>
    <w:p w:rsidR="00000000" w:rsidRPr="006D4B18" w:rsidP="0019770C">
      <w:pPr>
        <w:pStyle w:val="BodyText"/>
      </w:pPr>
      <w:r w:rsidRPr="006D4B18">
        <w:t>Licensing, legislative, regulatory or certification requirements apply to</w:t>
      </w:r>
      <w:r w:rsidRPr="006D4B18">
        <w:t xml:space="preserve"> this unit of competency in some states and territories. For further information, check with the relevant regulatory authority.</w:t>
      </w:r>
    </w:p>
    <w:p w:rsidR="00000000" w:rsidRPr="006D4B18" w:rsidP="006D4B18">
      <w:pPr>
        <w:pStyle w:val="Heading1"/>
      </w:pPr>
      <w:bookmarkStart w:id="3" w:name="O_1260685"/>
      <w:bookmarkEnd w:id="3"/>
      <w:r w:rsidRPr="006D4B18">
        <w:t>Pre-requisite Unit</w:t>
      </w:r>
    </w:p>
    <w:p w:rsidR="00000000" w:rsidRPr="006D4B18" w:rsidP="006D4B18">
      <w:pPr>
        <w:pStyle w:val="ListBullet"/>
      </w:pPr>
      <w:r w:rsidRPr="006D4B18">
        <w:t xml:space="preserve">CPCCWHS2001 Apply WHS requirements policies and procedures in the construction industry </w:t>
      </w:r>
    </w:p>
    <w:p w:rsidR="00000000" w:rsidRPr="006D4B18" w:rsidP="006D4B18">
      <w:pPr>
        <w:pStyle w:val="ListBullet"/>
      </w:pPr>
      <w:r w:rsidRPr="006D4B18">
        <w:t>CPCCCM2012 Work safely at heights</w:t>
      </w:r>
    </w:p>
    <w:p w:rsidR="00000000" w:rsidRPr="006D4B18" w:rsidP="006D4B18">
      <w:pPr>
        <w:pStyle w:val="AllowPageBreak"/>
      </w:pPr>
    </w:p>
    <w:p w:rsidR="00000000" w:rsidRPr="006D4B18" w:rsidP="006D4B18">
      <w:pPr>
        <w:pStyle w:val="Heading1"/>
      </w:pPr>
      <w:bookmarkStart w:id="4" w:name="O_1260684"/>
      <w:bookmarkEnd w:id="4"/>
      <w:r w:rsidRPr="006D4B18">
        <w:t>Unit Sector</w:t>
      </w:r>
    </w:p>
    <w:p w:rsidR="00000000" w:rsidRPr="006D4B18" w:rsidP="0019770C">
      <w:pPr>
        <w:pStyle w:val="BodyText"/>
      </w:pPr>
      <w:r w:rsidRPr="006D4B18">
        <w:t>Prefabricated Concrete</w:t>
      </w:r>
    </w:p>
    <w:p w:rsidR="00000000" w:rsidRPr="006D4B18" w:rsidP="006D4B18">
      <w:pPr>
        <w:pStyle w:val="Heading1"/>
      </w:pPr>
      <w:bookmarkStart w:id="5" w:name="O_1260683"/>
      <w:bookmarkEnd w:id="5"/>
      <w:r w:rsidRPr="006D4B18">
        <w:t>Elements and Performance Criteria</w:t>
      </w:r>
    </w:p>
    <w:tbl>
      <w:tblPr>
        <w:tblW w:w="0" w:type="auto"/>
        <w:tblLayout w:type="fixed"/>
        <w:tblCellMar>
          <w:left w:w="62" w:type="dxa"/>
          <w:right w:w="62" w:type="dxa"/>
        </w:tblCellMar>
        <w:tblLook w:val="0000"/>
      </w:tblPr>
      <w:tblGrid>
        <w:gridCol w:w="460"/>
        <w:gridCol w:w="2210"/>
        <w:gridCol w:w="804"/>
        <w:gridCol w:w="5659"/>
      </w:tblGrid>
      <w:tr w:rsidTr="006D4B18">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 xml:space="preserve">Elements describe the </w:t>
            </w:r>
            <w:r w:rsidRPr="006D4B18">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 xml:space="preserve">Performance criteria describe what needs to be done to </w:t>
            </w:r>
            <w:r w:rsidRPr="006D4B18">
              <w:t>demonstrate achi</w:t>
            </w:r>
            <w:r w:rsidRPr="006D4B18">
              <w:t>evement of the element.</w:t>
            </w:r>
          </w:p>
        </w:tc>
      </w:tr>
      <w:tr w:rsidTr="006D4B18">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1.</w:t>
            </w:r>
          </w:p>
        </w:tc>
        <w:tc>
          <w:tcPr>
            <w:tcW w:w="2210" w:type="dxa"/>
            <w:vMerge w:val="restart"/>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Access requirements to grout prefabricated concrete elements.</w:t>
            </w: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1.1</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 xml:space="preserve">Review and clarify grouting task and accessibility to enable the grouting to be placed in accordance with the erection prefabricated design documentation and </w:t>
            </w:r>
            <w:r w:rsidRPr="006D4B18">
              <w:t xml:space="preserve">material data sheets. </w:t>
            </w:r>
          </w:p>
        </w:tc>
      </w:tr>
      <w:tr w:rsidTr="006D4B1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1.2</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Review erection design documentation for task specifications and check to make sure they are in accordance with regulations, standards and codes of practice.</w:t>
            </w:r>
          </w:p>
        </w:tc>
      </w:tr>
      <w:tr w:rsidTr="006D4B1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1.3</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Review work health and safety (WHS) requirements for the task in accordance with safety plans and policies.</w:t>
            </w:r>
          </w:p>
        </w:tc>
      </w:tr>
      <w:tr w:rsidTr="006D4B1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1.4</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Identify safety signage and barricade requirements.</w:t>
            </w:r>
          </w:p>
        </w:tc>
      </w:tr>
      <w:tr w:rsidTr="006D4B1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1.5</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Review environmental requirements for the task in accordance with environmental pl</w:t>
            </w:r>
            <w:r w:rsidRPr="006D4B18">
              <w:t>ans and legislative requirements.</w:t>
            </w:r>
          </w:p>
        </w:tc>
      </w:tr>
      <w:tr w:rsidTr="006D4B1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1.6</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Access plant, tools, equipment and materials required to carry out task.</w:t>
            </w:r>
          </w:p>
        </w:tc>
      </w:tr>
      <w:tr w:rsidTr="006D4B1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1.7</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Locate the joints and confirm safety requirements, including working aloft, fall protection</w:t>
            </w:r>
          </w:p>
        </w:tc>
      </w:tr>
      <w:tr w:rsidTr="006D4B1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D4B18">
            <w:pPr>
              <w:pStyle w:val="BodyText"/>
              <w:rPr>
                <w:lang w:val="en-NZ"/>
              </w:rPr>
            </w:pPr>
          </w:p>
        </w:tc>
      </w:tr>
      <w:tr w:rsidTr="006D4B18">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2.</w:t>
            </w:r>
          </w:p>
        </w:tc>
        <w:tc>
          <w:tcPr>
            <w:tcW w:w="2210" w:type="dxa"/>
            <w:vMerge w:val="restart"/>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Prepare to grout prefabricated concrete elements.</w:t>
            </w: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2.1</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Erect identified safety signage and barricade requirements, and fit personal protective equipment (PPE).</w:t>
            </w:r>
          </w:p>
        </w:tc>
      </w:tr>
      <w:tr w:rsidTr="006D4B1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2.2</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Obtain plant, tools, equipment, check for serviceability and rectify or report any faults.</w:t>
            </w:r>
          </w:p>
        </w:tc>
      </w:tr>
      <w:tr w:rsidTr="006D4B1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2.3</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Identify materials and associated quantities/measurements required for grouting according to specifications and material data sheets.</w:t>
            </w:r>
          </w:p>
        </w:tc>
      </w:tr>
      <w:tr w:rsidTr="006D4B1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2.4</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Review the erection design documentation and the material data sheets and check if removal of shims or leve</w:t>
            </w:r>
            <w:r w:rsidRPr="006D4B18">
              <w:t>lling packers are required after initial grouting has cured.</w:t>
            </w:r>
          </w:p>
        </w:tc>
      </w:tr>
      <w:tr w:rsidTr="006D4B1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2.5</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 xml:space="preserve">Review the erection design documentation and the material data sheets to verify which gaps are to be grouted. </w:t>
            </w:r>
          </w:p>
        </w:tc>
      </w:tr>
      <w:tr w:rsidTr="006D4B1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D4B18">
            <w:pPr>
              <w:pStyle w:val="BodyText"/>
              <w:rPr>
                <w:lang w:val="en-NZ"/>
              </w:rPr>
            </w:pPr>
          </w:p>
        </w:tc>
      </w:tr>
      <w:tr w:rsidTr="006D4B18">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3.</w:t>
            </w:r>
          </w:p>
        </w:tc>
        <w:tc>
          <w:tcPr>
            <w:tcW w:w="2210" w:type="dxa"/>
            <w:vMerge w:val="restart"/>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Mix dry pack or trowelable grout.</w:t>
            </w: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3.1</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Check the erection design documentation and the material data sheets to confirm compliance with compressive and tensile strength grout requirements.</w:t>
            </w:r>
          </w:p>
        </w:tc>
      </w:tr>
      <w:tr w:rsidTr="006D4B1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3.2</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Establish the volume of dry pack grout required and mix in accordance with specifications and material data sheet to ensure it is the desired consistency.</w:t>
            </w:r>
          </w:p>
        </w:tc>
      </w:tr>
      <w:tr w:rsidTr="006D4B1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D4B18">
            <w:pPr>
              <w:pStyle w:val="BodyText"/>
              <w:rPr>
                <w:lang w:val="en-NZ"/>
              </w:rPr>
            </w:pPr>
          </w:p>
        </w:tc>
      </w:tr>
      <w:tr w:rsidTr="006D4B18">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4.</w:t>
            </w:r>
          </w:p>
        </w:tc>
        <w:tc>
          <w:tcPr>
            <w:tcW w:w="2210" w:type="dxa"/>
            <w:vMerge w:val="restart"/>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Mix flowable grout.</w:t>
            </w: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4.1</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Estab</w:t>
            </w:r>
            <w:r w:rsidRPr="006D4B18">
              <w:t xml:space="preserve">lish the volume of flowable grout required and mix in accordance with specifications and material data sheet to ensure it is the desired consistency so as to be free flowing and bleed from grout breathers and/or flow tubes. </w:t>
            </w:r>
          </w:p>
        </w:tc>
      </w:tr>
      <w:tr w:rsidTr="006D4B1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4.2</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Check that all grout tub</w:t>
            </w:r>
            <w:r w:rsidRPr="006D4B18">
              <w:t>es, breathers and areas to be grout filled are clear and free from debris, contaminants and/or loose materials.</w:t>
            </w:r>
          </w:p>
        </w:tc>
      </w:tr>
      <w:tr w:rsidTr="006D4B1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4.3</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 xml:space="preserve">Check the grout mixture for the desired consistency and flow property and adjust accordingly in accordance with the erection design documentation and the material data sheets. </w:t>
            </w:r>
          </w:p>
        </w:tc>
      </w:tr>
      <w:tr w:rsidTr="006D4B1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D4B18">
            <w:pPr>
              <w:pStyle w:val="BodyText"/>
              <w:rPr>
                <w:lang w:val="en-NZ"/>
              </w:rPr>
            </w:pPr>
          </w:p>
        </w:tc>
      </w:tr>
      <w:tr w:rsidTr="006D4B18">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5.</w:t>
            </w:r>
          </w:p>
        </w:tc>
        <w:tc>
          <w:tcPr>
            <w:tcW w:w="2210" w:type="dxa"/>
            <w:vMerge w:val="restart"/>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Prepare prefabricated concrete joint and apply grouting.</w:t>
            </w: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5.1</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Ensure th</w:t>
            </w:r>
            <w:r w:rsidRPr="006D4B18">
              <w:t xml:space="preserve">at all prefabricated concrete joint surfaces are prepared in accordance with the specifications and material data sheets. </w:t>
            </w:r>
          </w:p>
        </w:tc>
      </w:tr>
      <w:tr w:rsidTr="006D4B1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5.2</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 xml:space="preserve">Ensure all surfaces are clean, sound and free from dust, oils or other contaminants. </w:t>
            </w:r>
          </w:p>
        </w:tc>
      </w:tr>
      <w:tr w:rsidTr="006D4B1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5.3</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 xml:space="preserve">Prepare the grouting surface in accordance with the erection design documentation and the material data sheets.  </w:t>
            </w:r>
          </w:p>
        </w:tc>
      </w:tr>
      <w:tr w:rsidTr="006D4B1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5.4</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 xml:space="preserve">Seal perimeter of the area to be grouted in accordance with specifications. </w:t>
            </w:r>
          </w:p>
        </w:tc>
      </w:tr>
      <w:tr w:rsidTr="006D4B1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5.5</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Apply grout in accordance with the project specifications.</w:t>
            </w:r>
          </w:p>
        </w:tc>
      </w:tr>
      <w:tr w:rsidTr="006D4B1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5.6</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Ensure that dry pack or trowelable grout is placed in a manner that ensures consolidation by tamping/rodding to eliminate any air voids.</w:t>
            </w:r>
          </w:p>
        </w:tc>
      </w:tr>
      <w:tr w:rsidTr="006D4B1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5.7</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Once complete, compare the actual volume of gr</w:t>
            </w:r>
            <w:r w:rsidRPr="006D4B18">
              <w:t>out to the calculated volume of grout required to ensure no blockage and/or air voids have formed.</w:t>
            </w:r>
          </w:p>
        </w:tc>
      </w:tr>
      <w:tr w:rsidTr="006D4B18">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6D4B18">
            <w:pPr>
              <w:pStyle w:val="BodyText"/>
              <w:rPr>
                <w:lang w:val="en-NZ"/>
              </w:rPr>
            </w:pPr>
          </w:p>
        </w:tc>
      </w:tr>
      <w:tr w:rsidTr="006D4B18">
        <w:tblPrEx>
          <w:tblW w:w="0" w:type="auto"/>
          <w:tblLayout w:type="fixed"/>
          <w:tblCellMar>
            <w:left w:w="62" w:type="dxa"/>
            <w:right w:w="62" w:type="dxa"/>
          </w:tblCellMar>
          <w:tblLook w:val="0000"/>
        </w:tblPrEx>
        <w:tc>
          <w:tcPr>
            <w:tcW w:w="460" w:type="dxa"/>
            <w:vMerge w:val="restart"/>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6.</w:t>
            </w:r>
          </w:p>
        </w:tc>
        <w:tc>
          <w:tcPr>
            <w:tcW w:w="2210" w:type="dxa"/>
            <w:vMerge w:val="restart"/>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Clean up.</w:t>
            </w: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6.1</w:t>
            </w:r>
          </w:p>
        </w:tc>
        <w:tc>
          <w:tcPr>
            <w:tcW w:w="5659"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Clear work area and dispose of, reuse or recycle materials in accordance with regulatory and workplace requirements.</w:t>
            </w:r>
          </w:p>
        </w:tc>
      </w:tr>
      <w:tr w:rsidTr="006D4B18">
        <w:tblPrEx>
          <w:tblW w:w="0" w:type="auto"/>
          <w:tblLayout w:type="fixed"/>
          <w:tblCellMar>
            <w:left w:w="62" w:type="dxa"/>
            <w:right w:w="62" w:type="dxa"/>
          </w:tblCellMar>
          <w:tblLook w:val="0000"/>
        </w:tblPrEx>
        <w:tc>
          <w:tcPr>
            <w:tcW w:w="46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0"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6D4B18">
            <w:pPr>
              <w:pStyle w:val="BodyText"/>
              <w:rPr>
                <w:lang w:val="en-NZ"/>
              </w:rPr>
            </w:pPr>
            <w:r w:rsidRPr="006D4B18">
              <w:t>6.2</w:t>
            </w:r>
          </w:p>
        </w:tc>
        <w:tc>
          <w:tcPr>
            <w:tcW w:w="5659" w:type="dxa"/>
            <w:tcBorders>
              <w:top w:val="nil"/>
              <w:left w:val="nil"/>
              <w:bottom w:val="nil"/>
              <w:right w:val="nil"/>
            </w:tcBorders>
            <w:tcMar>
              <w:top w:w="0" w:type="dxa"/>
              <w:left w:w="62" w:type="dxa"/>
              <w:bottom w:w="0" w:type="dxa"/>
              <w:right w:w="62" w:type="dxa"/>
            </w:tcMar>
          </w:tcPr>
          <w:p w:rsidR="00000000" w:rsidRPr="006D4B18" w:rsidP="006D4B18">
            <w:pPr>
              <w:pStyle w:val="BodyText"/>
            </w:pPr>
            <w:r w:rsidRPr="006D4B18">
              <w:t>Clean, check, maintain and store tools and equipment in accordance with manufacturer and workplace requirements.</w:t>
            </w:r>
          </w:p>
        </w:tc>
      </w:tr>
    </w:tbl>
    <w:p w:rsidR="00000000" w:rsidRPr="006D4B18" w:rsidP="006D4B18">
      <w:pPr>
        <w:pStyle w:val="BodyText"/>
      </w:pPr>
    </w:p>
    <w:p w:rsidR="00000000" w:rsidRPr="006D4B18" w:rsidP="006D4B18">
      <w:pPr>
        <w:pStyle w:val="AllowPageBreak"/>
      </w:pPr>
    </w:p>
    <w:p w:rsidR="00000000" w:rsidRPr="006D4B18" w:rsidP="006D4B18">
      <w:pPr>
        <w:pStyle w:val="Heading1"/>
      </w:pPr>
      <w:bookmarkStart w:id="6" w:name="O_1260682"/>
      <w:bookmarkEnd w:id="6"/>
      <w:r w:rsidRPr="006D4B18">
        <w:t>Foundation Skills</w:t>
      </w:r>
    </w:p>
    <w:p w:rsidR="00000000" w:rsidRPr="006D4B18" w:rsidP="0019770C">
      <w:pPr>
        <w:pStyle w:val="BodyText"/>
      </w:pPr>
      <w:r w:rsidRPr="006D4B18">
        <w:t>Foundation skills essential to performance are explicit in the performance criteria of this unit of competency.</w:t>
      </w:r>
    </w:p>
    <w:p w:rsidR="00000000" w:rsidRPr="006D4B18" w:rsidP="006D4B18">
      <w:pPr>
        <w:pStyle w:val="Heading1"/>
      </w:pPr>
      <w:bookmarkStart w:id="7" w:name="O_1260681"/>
      <w:bookmarkEnd w:id="7"/>
      <w:r w:rsidRPr="006D4B18">
        <w:t>Unit Mapping Information</w:t>
      </w:r>
    </w:p>
    <w:p w:rsidR="00000000" w:rsidRPr="006D4B18" w:rsidP="0019770C">
      <w:pPr>
        <w:pStyle w:val="BodyText"/>
      </w:pPr>
      <w:r w:rsidRPr="006D4B18">
        <w:t>No equivalent unit.</w:t>
      </w:r>
    </w:p>
    <w:p w:rsidR="00000000" w:rsidRPr="006D4B18" w:rsidP="006D4B18">
      <w:pPr>
        <w:pStyle w:val="Heading1"/>
      </w:pPr>
      <w:bookmarkStart w:id="8" w:name="O_1260674"/>
      <w:bookmarkEnd w:id="8"/>
      <w:r w:rsidRPr="006D4B18">
        <w:t>Links</w:t>
      </w:r>
    </w:p>
    <w:p w:rsidR="00000000" w:rsidRPr="006D4B18" w:rsidP="0019770C">
      <w:pPr>
        <w:pStyle w:val="BodyText"/>
      </w:pPr>
      <w:r w:rsidRPr="006D4B18">
        <w:t>Companion volumes to this training package are availabl</w:t>
      </w:r>
      <w:r w:rsidRPr="006D4B18">
        <w:t xml:space="preserve">e at the VETNet website - </w:t>
      </w:r>
      <w:r>
        <w:fldChar w:fldCharType="begin"/>
      </w:r>
      <w:r>
        <w:instrText xml:space="preserve"> HYPERLINK "https://vetnet.gov.au/Pages/TrainingDocs.aspx?q=6f3f9672-30e8-4835-b348-205dfcf13d9b" </w:instrText>
      </w:r>
      <w:r>
        <w:fldChar w:fldCharType="separate"/>
      </w:r>
      <w:r w:rsidRPr="0031185F">
        <w:rPr>
          <w:rStyle w:val="Hyperlink"/>
        </w:rPr>
        <w:t>https://vetnet.gov.au/Pages/TrainingDocs.aspx?q=6f3f9672-30e8-4835-b348-205dfcf13d9b</w:t>
      </w:r>
      <w:r>
        <w:fldChar w:fldCharType="end"/>
      </w:r>
    </w:p>
    <w:p w:rsidR="00000000" w:rsidRPr="006D4B18" w:rsidP="006D4B18"/>
    <w:sectPr w:rsidSect="006D4B1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B1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B18" w:rsidRPr="0019770C" w:rsidP="001977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B1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0C" w:rsidP="006D4B1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770C" w:rsidP="006D4B1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19770C" w:rsidP="006D4B1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B1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D4B18" w:rsidRPr="0019770C" w:rsidP="001977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4B1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770C" w:rsidRPr="002D2AF8" w:rsidP="006D4B18">
    <w:pPr>
      <w:pStyle w:val="Header"/>
      <w:framePr w:wrap="around"/>
    </w:pPr>
    <w:r>
      <w:fldChar w:fldCharType="begin"/>
    </w:r>
    <w:r>
      <w:instrText xml:space="preserve"> TITLE   \* MERGEFORMAT </w:instrText>
    </w:r>
    <w:r>
      <w:fldChar w:fldCharType="separate"/>
    </w:r>
    <w:r>
      <w:t>CPCPRE2003 Grout prefabricated concrete elements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19770C" w:rsidP="006D4B1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06A1D6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EC27D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D4B1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D4B18"/>
    <w:pPr>
      <w:spacing w:before="360" w:after="60"/>
      <w:outlineLvl w:val="0"/>
    </w:pPr>
    <w:rPr>
      <w:sz w:val="32"/>
    </w:rPr>
  </w:style>
  <w:style w:type="paragraph" w:styleId="Heading2">
    <w:name w:val="heading 2"/>
    <w:basedOn w:val="HeadingBase"/>
    <w:next w:val="BodyText"/>
    <w:link w:val="Heading2Char"/>
    <w:qFormat/>
    <w:rsid w:val="006D4B18"/>
    <w:pPr>
      <w:keepLines/>
      <w:spacing w:before="240" w:after="120"/>
      <w:outlineLvl w:val="1"/>
    </w:pPr>
    <w:rPr>
      <w:sz w:val="28"/>
      <w:szCs w:val="40"/>
    </w:rPr>
  </w:style>
  <w:style w:type="paragraph" w:styleId="Heading3">
    <w:name w:val="heading 3"/>
    <w:basedOn w:val="HeadingBase"/>
    <w:next w:val="BodyText"/>
    <w:link w:val="Heading3Char"/>
    <w:qFormat/>
    <w:rsid w:val="006D4B18"/>
    <w:pPr>
      <w:spacing w:before="180" w:after="120"/>
      <w:outlineLvl w:val="2"/>
    </w:pPr>
    <w:rPr>
      <w:spacing w:val="-10"/>
      <w:kern w:val="32"/>
    </w:rPr>
  </w:style>
  <w:style w:type="paragraph" w:styleId="Heading4">
    <w:name w:val="heading 4"/>
    <w:basedOn w:val="HeadingBase"/>
    <w:next w:val="BodyText"/>
    <w:link w:val="Heading4Char"/>
    <w:qFormat/>
    <w:rsid w:val="006D4B18"/>
    <w:pPr>
      <w:spacing w:before="160" w:after="120"/>
      <w:outlineLvl w:val="3"/>
    </w:pPr>
    <w:rPr>
      <w:sz w:val="22"/>
    </w:rPr>
  </w:style>
  <w:style w:type="paragraph" w:styleId="Heading5">
    <w:name w:val="heading 5"/>
    <w:basedOn w:val="HeadingBase"/>
    <w:next w:val="Normal"/>
    <w:link w:val="Heading5Char"/>
    <w:qFormat/>
    <w:rsid w:val="006D4B18"/>
    <w:pPr>
      <w:spacing w:before="80"/>
      <w:outlineLvl w:val="4"/>
    </w:pPr>
    <w:rPr>
      <w:color w:val="918585"/>
      <w:sz w:val="20"/>
    </w:rPr>
  </w:style>
  <w:style w:type="paragraph" w:styleId="Heading6">
    <w:name w:val="heading 6"/>
    <w:basedOn w:val="HeadingBase"/>
    <w:next w:val="Normal"/>
    <w:link w:val="Heading6Char"/>
    <w:qFormat/>
    <w:rsid w:val="006D4B18"/>
    <w:pPr>
      <w:spacing w:before="60"/>
      <w:outlineLvl w:val="5"/>
    </w:pPr>
    <w:rPr>
      <w:color w:val="918585"/>
      <w:sz w:val="20"/>
    </w:rPr>
  </w:style>
  <w:style w:type="paragraph" w:styleId="Heading7">
    <w:name w:val="heading 7"/>
    <w:basedOn w:val="Normal"/>
    <w:next w:val="Normal"/>
    <w:link w:val="Heading7Char"/>
    <w:qFormat/>
    <w:rsid w:val="006D4B18"/>
    <w:pPr>
      <w:ind w:left="720"/>
      <w:outlineLvl w:val="6"/>
    </w:pPr>
    <w:rPr>
      <w:i/>
    </w:rPr>
  </w:style>
  <w:style w:type="paragraph" w:styleId="Heading8">
    <w:name w:val="heading 8"/>
    <w:basedOn w:val="Normal"/>
    <w:next w:val="Normal"/>
    <w:link w:val="Heading8Char"/>
    <w:qFormat/>
    <w:rsid w:val="006D4B18"/>
    <w:pPr>
      <w:ind w:left="720"/>
      <w:outlineLvl w:val="7"/>
    </w:pPr>
    <w:rPr>
      <w:i/>
    </w:rPr>
  </w:style>
  <w:style w:type="paragraph" w:styleId="Heading9">
    <w:name w:val="heading 9"/>
    <w:basedOn w:val="Normal"/>
    <w:next w:val="Normal"/>
    <w:link w:val="Heading9Char"/>
    <w:qFormat/>
    <w:rsid w:val="006D4B18"/>
    <w:pPr>
      <w:ind w:left="720"/>
      <w:outlineLvl w:val="8"/>
    </w:pPr>
    <w:rPr>
      <w:i/>
    </w:rPr>
  </w:style>
  <w:style w:type="character" w:default="1" w:styleId="DefaultParagraphFont">
    <w:name w:val="Default Paragraph Font"/>
    <w:uiPriority w:val="1"/>
    <w:unhideWhenUsed/>
    <w:rsid w:val="006D4B1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D4B18"/>
  </w:style>
  <w:style w:type="character" w:customStyle="1" w:styleId="Heading1Char">
    <w:name w:val="Heading 1 Char"/>
    <w:basedOn w:val="DefaultParagraphFont"/>
    <w:link w:val="Heading1"/>
    <w:rsid w:val="006D4B18"/>
    <w:rPr>
      <w:rFonts w:ascii="Times New Roman" w:eastAsia="Times New Roman" w:hAnsi="Times New Roman" w:cs="Times New Roman"/>
      <w:b/>
      <w:sz w:val="32"/>
      <w:szCs w:val="20"/>
      <w:lang w:eastAsia="en-US"/>
    </w:rPr>
  </w:style>
  <w:style w:type="paragraph" w:styleId="BodyText">
    <w:name w:val="Body Text"/>
    <w:basedOn w:val="Normal"/>
    <w:link w:val="BodyTextChar"/>
    <w:rsid w:val="006D4B1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D4B18"/>
    <w:rPr>
      <w:rFonts w:ascii="Times New Roman" w:eastAsia="Times New Roman" w:hAnsi="Times New Roman" w:cs="Times New Roman"/>
      <w:sz w:val="24"/>
      <w:lang w:eastAsia="en-US"/>
    </w:rPr>
  </w:style>
  <w:style w:type="paragraph" w:styleId="ListBullet">
    <w:name w:val="List Bullet"/>
    <w:basedOn w:val="List"/>
    <w:rsid w:val="006D4B18"/>
    <w:pPr>
      <w:numPr>
        <w:numId w:val="11"/>
      </w:numPr>
      <w:tabs>
        <w:tab w:val="clear" w:pos="340"/>
      </w:tabs>
      <w:spacing w:before="40" w:after="40"/>
    </w:pPr>
  </w:style>
  <w:style w:type="paragraph" w:customStyle="1" w:styleId="SuperHeading">
    <w:name w:val="SuperHeading"/>
    <w:basedOn w:val="Normal"/>
    <w:rsid w:val="006D4B18"/>
    <w:pPr>
      <w:spacing w:before="240" w:after="120"/>
      <w:outlineLvl w:val="0"/>
    </w:pPr>
    <w:rPr>
      <w:rFonts w:ascii="Times New Roman" w:hAnsi="Times New Roman"/>
      <w:b/>
      <w:sz w:val="32"/>
    </w:rPr>
  </w:style>
  <w:style w:type="paragraph" w:customStyle="1" w:styleId="AllowPageBreak">
    <w:name w:val="AllowPageBreak"/>
    <w:rsid w:val="006D4B1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D4B1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D4B1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D4B1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D4B1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D4B1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D4B1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D4B1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D4B18"/>
    <w:rPr>
      <w:rFonts w:ascii="Courier New" w:eastAsia="Times New Roman" w:hAnsi="Courier New" w:cs="Times New Roman"/>
      <w:i/>
      <w:szCs w:val="20"/>
      <w:lang w:eastAsia="en-US"/>
    </w:rPr>
  </w:style>
  <w:style w:type="paragraph" w:customStyle="1" w:styleId="HeadingBase">
    <w:name w:val="Heading Base"/>
    <w:rsid w:val="006D4B1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D4B18"/>
    <w:pPr>
      <w:tabs>
        <w:tab w:val="right" w:leader="dot" w:pos="9072"/>
      </w:tabs>
      <w:ind w:left="567"/>
    </w:pPr>
    <w:rPr>
      <w:szCs w:val="22"/>
    </w:rPr>
  </w:style>
  <w:style w:type="paragraph" w:customStyle="1" w:styleId="TOCBase">
    <w:name w:val="TOC Base"/>
    <w:rsid w:val="006D4B1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D4B18"/>
    <w:pPr>
      <w:tabs>
        <w:tab w:val="right" w:leader="dot" w:pos="9072"/>
      </w:tabs>
      <w:spacing w:before="40" w:after="40"/>
      <w:ind w:left="284"/>
    </w:pPr>
    <w:rPr>
      <w:rFonts w:ascii="Times New Roman" w:hAnsi="Times New Roman"/>
    </w:rPr>
  </w:style>
  <w:style w:type="paragraph" w:styleId="TOC1">
    <w:name w:val="toc 1"/>
    <w:basedOn w:val="TOCBase"/>
    <w:next w:val="Normal"/>
    <w:rsid w:val="006D4B1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D4B1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D4B18"/>
    <w:rPr>
      <w:rFonts w:ascii="Times New Roman" w:eastAsia="Times New Roman" w:hAnsi="Times New Roman" w:cs="Times New Roman"/>
      <w:sz w:val="16"/>
      <w:lang w:eastAsia="en-US"/>
    </w:rPr>
  </w:style>
  <w:style w:type="paragraph" w:styleId="Title">
    <w:name w:val="Title"/>
    <w:basedOn w:val="HeadingBase"/>
    <w:link w:val="TitleChar"/>
    <w:qFormat/>
    <w:rsid w:val="006D4B18"/>
    <w:pPr>
      <w:spacing w:before="5040"/>
      <w:jc w:val="center"/>
    </w:pPr>
    <w:rPr>
      <w:sz w:val="48"/>
      <w:szCs w:val="72"/>
      <w:lang w:val="en-US"/>
    </w:rPr>
  </w:style>
  <w:style w:type="character" w:customStyle="1" w:styleId="TitleChar">
    <w:name w:val="Title Char"/>
    <w:basedOn w:val="DefaultParagraphFont"/>
    <w:link w:val="Title"/>
    <w:rsid w:val="006D4B1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D4B18"/>
    <w:pPr>
      <w:tabs>
        <w:tab w:val="left" w:pos="3600"/>
        <w:tab w:val="left" w:pos="3958"/>
      </w:tabs>
    </w:pPr>
  </w:style>
  <w:style w:type="paragraph" w:styleId="List">
    <w:name w:val="List"/>
    <w:basedOn w:val="BodyText"/>
    <w:next w:val="BodyText"/>
    <w:rsid w:val="006D4B18"/>
    <w:pPr>
      <w:tabs>
        <w:tab w:val="left" w:pos="340"/>
      </w:tabs>
      <w:spacing w:before="60" w:after="60"/>
      <w:ind w:left="340" w:hanging="340"/>
    </w:pPr>
  </w:style>
  <w:style w:type="paragraph" w:customStyle="1" w:styleId="Note">
    <w:name w:val="Note"/>
    <w:basedOn w:val="BodyText"/>
    <w:rsid w:val="006D4B1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D4B18"/>
    <w:rPr>
      <w:b/>
      <w:spacing w:val="0"/>
    </w:rPr>
  </w:style>
  <w:style w:type="paragraph" w:customStyle="1" w:styleId="SuperTitle">
    <w:name w:val="SuperTitle"/>
    <w:basedOn w:val="Title"/>
    <w:rsid w:val="006D4B18"/>
    <w:pPr>
      <w:framePr w:wrap="auto" w:hAnchor="text" w:y="6049"/>
    </w:pPr>
    <w:rPr>
      <w:color w:val="000000"/>
      <w:sz w:val="40"/>
    </w:rPr>
  </w:style>
  <w:style w:type="paragraph" w:customStyle="1" w:styleId="TOCTitle">
    <w:name w:val="TOCTitle"/>
    <w:basedOn w:val="Heading1"/>
    <w:rsid w:val="006D4B18"/>
    <w:pPr>
      <w:spacing w:after="240"/>
      <w:jc w:val="center"/>
      <w:outlineLvl w:val="9"/>
    </w:pPr>
    <w:rPr>
      <w:caps/>
    </w:rPr>
  </w:style>
  <w:style w:type="paragraph" w:customStyle="1" w:styleId="Version">
    <w:name w:val="Version"/>
    <w:rsid w:val="006D4B1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D4B18"/>
    <w:pPr>
      <w:numPr>
        <w:numId w:val="12"/>
      </w:numPr>
      <w:tabs>
        <w:tab w:val="clear" w:pos="680"/>
      </w:tabs>
    </w:pPr>
  </w:style>
  <w:style w:type="paragraph" w:styleId="Index1">
    <w:name w:val="index 1"/>
    <w:basedOn w:val="Normal"/>
    <w:next w:val="Normal"/>
    <w:semiHidden/>
    <w:rsid w:val="006D4B18"/>
    <w:pPr>
      <w:keepNext w:val="0"/>
      <w:tabs>
        <w:tab w:val="right" w:pos="4176"/>
      </w:tabs>
      <w:ind w:left="198" w:hanging="198"/>
    </w:pPr>
    <w:rPr>
      <w:rFonts w:ascii="Garamond" w:hAnsi="Garamond"/>
    </w:rPr>
  </w:style>
  <w:style w:type="paragraph" w:styleId="IndexHeading">
    <w:name w:val="index heading"/>
    <w:basedOn w:val="Normal"/>
    <w:next w:val="Index1"/>
    <w:semiHidden/>
    <w:rsid w:val="006D4B18"/>
    <w:pPr>
      <w:spacing w:before="120" w:after="120"/>
    </w:pPr>
    <w:rPr>
      <w:rFonts w:ascii="Arial" w:hAnsi="Arial"/>
      <w:b/>
      <w:color w:val="918585"/>
      <w:sz w:val="24"/>
    </w:rPr>
  </w:style>
  <w:style w:type="paragraph" w:styleId="Header">
    <w:name w:val="header"/>
    <w:basedOn w:val="Normal"/>
    <w:link w:val="HeaderChar"/>
    <w:rsid w:val="006D4B1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D4B18"/>
    <w:rPr>
      <w:rFonts w:ascii="Times New Roman" w:eastAsia="Times New Roman" w:hAnsi="Times New Roman" w:cs="Times New Roman"/>
      <w:sz w:val="16"/>
      <w:szCs w:val="20"/>
      <w:lang w:val="en-GB" w:eastAsia="en-US"/>
    </w:rPr>
  </w:style>
  <w:style w:type="paragraph" w:customStyle="1" w:styleId="Chapter">
    <w:name w:val="Chapter"/>
    <w:basedOn w:val="Normal"/>
    <w:rsid w:val="006D4B18"/>
    <w:pPr>
      <w:spacing w:before="240"/>
    </w:pPr>
    <w:rPr>
      <w:rFonts w:ascii="Times New Roman" w:hAnsi="Times New Roman"/>
      <w:smallCaps/>
      <w:spacing w:val="80"/>
      <w:sz w:val="28"/>
    </w:rPr>
  </w:style>
  <w:style w:type="paragraph" w:customStyle="1" w:styleId="InChapter">
    <w:name w:val="InChapter"/>
    <w:basedOn w:val="Heading3"/>
    <w:rsid w:val="006D4B18"/>
    <w:pPr>
      <w:spacing w:after="240"/>
      <w:outlineLvl w:val="9"/>
    </w:pPr>
    <w:rPr>
      <w:noProof/>
    </w:rPr>
  </w:style>
  <w:style w:type="paragraph" w:styleId="Index2">
    <w:name w:val="index 2"/>
    <w:basedOn w:val="Normal"/>
    <w:next w:val="Normal"/>
    <w:semiHidden/>
    <w:rsid w:val="006D4B18"/>
    <w:pPr>
      <w:tabs>
        <w:tab w:val="right" w:pos="4176"/>
      </w:tabs>
      <w:ind w:left="568" w:hanging="284"/>
    </w:pPr>
    <w:rPr>
      <w:rFonts w:ascii="Garamond" w:hAnsi="Garamond"/>
    </w:rPr>
  </w:style>
  <w:style w:type="paragraph" w:customStyle="1" w:styleId="Byline">
    <w:name w:val="Byline"/>
    <w:rsid w:val="006D4B1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D4B18"/>
    <w:pPr>
      <w:tabs>
        <w:tab w:val="clear" w:pos="3600"/>
        <w:tab w:val="clear" w:pos="3958"/>
      </w:tabs>
      <w:jc w:val="right"/>
    </w:pPr>
  </w:style>
  <w:style w:type="character" w:styleId="Emphasis">
    <w:name w:val="Emphasis"/>
    <w:basedOn w:val="DefaultParagraphFont"/>
    <w:qFormat/>
    <w:rsid w:val="006D4B18"/>
    <w:rPr>
      <w:i/>
    </w:rPr>
  </w:style>
  <w:style w:type="paragraph" w:styleId="Caption">
    <w:name w:val="caption"/>
    <w:basedOn w:val="BodyText"/>
    <w:next w:val="Normal"/>
    <w:qFormat/>
    <w:rsid w:val="006D4B18"/>
    <w:pPr>
      <w:framePr w:w="2268" w:hSpace="181" w:vSpace="181" w:wrap="around" w:vAnchor="text" w:hAnchor="page" w:x="1135" w:y="285" w:anchorLock="1"/>
    </w:pPr>
    <w:rPr>
      <w:i/>
    </w:rPr>
  </w:style>
  <w:style w:type="paragraph" w:customStyle="1" w:styleId="MiniTOCTitle">
    <w:name w:val="MiniTOCTitle"/>
    <w:basedOn w:val="Heading4"/>
    <w:rsid w:val="006D4B18"/>
    <w:pPr>
      <w:spacing w:before="240"/>
      <w:outlineLvl w:val="9"/>
    </w:pPr>
    <w:rPr>
      <w:noProof/>
      <w:sz w:val="24"/>
    </w:rPr>
  </w:style>
  <w:style w:type="paragraph" w:customStyle="1" w:styleId="MiniTOCItem">
    <w:name w:val="MiniTOCItem"/>
    <w:basedOn w:val="ListBullet"/>
    <w:rsid w:val="006D4B18"/>
    <w:pPr>
      <w:numPr>
        <w:numId w:val="0"/>
      </w:numPr>
      <w:tabs>
        <w:tab w:val="right" w:leader="dot" w:pos="6521"/>
      </w:tabs>
      <w:spacing w:before="0" w:after="0"/>
    </w:pPr>
  </w:style>
  <w:style w:type="paragraph" w:customStyle="1" w:styleId="TOFTitle">
    <w:name w:val="TOFTitle"/>
    <w:basedOn w:val="TOCTitle"/>
    <w:rsid w:val="006D4B18"/>
  </w:style>
  <w:style w:type="paragraph" w:styleId="TableofFigures">
    <w:name w:val="table of figures"/>
    <w:basedOn w:val="Normal"/>
    <w:next w:val="Normal"/>
    <w:semiHidden/>
    <w:rsid w:val="006D4B18"/>
    <w:pPr>
      <w:tabs>
        <w:tab w:val="right" w:leader="dot" w:pos="9072"/>
      </w:tabs>
      <w:ind w:left="970" w:hanging="403"/>
    </w:pPr>
    <w:rPr>
      <w:rFonts w:ascii="Times New Roman" w:hAnsi="Times New Roman"/>
      <w:b/>
    </w:rPr>
  </w:style>
  <w:style w:type="paragraph" w:styleId="ListNumber">
    <w:name w:val="List Number"/>
    <w:basedOn w:val="List"/>
    <w:rsid w:val="006D4B18"/>
    <w:pPr>
      <w:numPr>
        <w:numId w:val="14"/>
      </w:numPr>
      <w:tabs>
        <w:tab w:val="clear" w:pos="340"/>
      </w:tabs>
    </w:pPr>
  </w:style>
  <w:style w:type="character" w:customStyle="1" w:styleId="WingdingSymbols">
    <w:name w:val="Wingding Symbols"/>
    <w:rsid w:val="006D4B18"/>
    <w:rPr>
      <w:rFonts w:ascii="Wingdings" w:hAnsi="Wingdings"/>
    </w:rPr>
  </w:style>
  <w:style w:type="paragraph" w:customStyle="1" w:styleId="TableHeading">
    <w:name w:val="Table Heading"/>
    <w:basedOn w:val="HeadingBase"/>
    <w:rsid w:val="006D4B18"/>
    <w:pPr>
      <w:keepLines/>
      <w:pBdr>
        <w:bottom w:val="single" w:sz="6" w:space="1" w:color="918585"/>
      </w:pBdr>
      <w:spacing w:before="240"/>
    </w:pPr>
  </w:style>
  <w:style w:type="character" w:customStyle="1" w:styleId="HotSpot">
    <w:name w:val="HotSpot"/>
    <w:rsid w:val="006D4B18"/>
    <w:rPr>
      <w:color w:val="0033CC"/>
      <w:u w:val="none"/>
    </w:rPr>
  </w:style>
  <w:style w:type="paragraph" w:customStyle="1" w:styleId="BodyTextRight">
    <w:name w:val="Body Text Right"/>
    <w:basedOn w:val="BodyText"/>
    <w:rsid w:val="006D4B18"/>
    <w:pPr>
      <w:spacing w:before="0" w:after="0"/>
      <w:jc w:val="right"/>
    </w:pPr>
  </w:style>
  <w:style w:type="paragraph" w:styleId="Index3">
    <w:name w:val="index 3"/>
    <w:basedOn w:val="ListNumber2"/>
    <w:next w:val="Normal"/>
    <w:semiHidden/>
    <w:rsid w:val="006D4B18"/>
    <w:pPr>
      <w:numPr>
        <w:numId w:val="0"/>
      </w:numPr>
      <w:tabs>
        <w:tab w:val="right" w:leader="dot" w:pos="4176"/>
      </w:tabs>
    </w:pPr>
  </w:style>
  <w:style w:type="paragraph" w:styleId="ListNumber2">
    <w:name w:val="List Number 2"/>
    <w:basedOn w:val="List2"/>
    <w:rsid w:val="006D4B18"/>
    <w:pPr>
      <w:numPr>
        <w:numId w:val="9"/>
      </w:numPr>
      <w:tabs>
        <w:tab w:val="clear" w:pos="1060"/>
      </w:tabs>
    </w:pPr>
  </w:style>
  <w:style w:type="paragraph" w:customStyle="1" w:styleId="MarginNote">
    <w:name w:val="Margin Note"/>
    <w:basedOn w:val="BodyText"/>
    <w:rsid w:val="006D4B1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D4B1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D4B1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D4B18"/>
    <w:rPr>
      <w:sz w:val="32"/>
    </w:rPr>
  </w:style>
  <w:style w:type="paragraph" w:customStyle="1" w:styleId="HeadingProcedure">
    <w:name w:val="Heading Procedure"/>
    <w:basedOn w:val="HeadingBase"/>
    <w:next w:val="Normal"/>
    <w:rsid w:val="006D4B18"/>
    <w:pPr>
      <w:tabs>
        <w:tab w:val="left" w:pos="0"/>
      </w:tabs>
      <w:spacing w:before="120" w:after="60"/>
    </w:pPr>
    <w:rPr>
      <w:i/>
      <w:color w:val="918585"/>
      <w:sz w:val="22"/>
    </w:rPr>
  </w:style>
  <w:style w:type="paragraph" w:customStyle="1" w:styleId="TableBodyText">
    <w:name w:val="Table Body Text"/>
    <w:basedOn w:val="BodyText"/>
    <w:rsid w:val="006D4B18"/>
    <w:pPr>
      <w:spacing w:before="60" w:after="60"/>
    </w:pPr>
  </w:style>
  <w:style w:type="paragraph" w:styleId="ListContinue">
    <w:name w:val="List Continue"/>
    <w:basedOn w:val="List"/>
    <w:rsid w:val="006D4B18"/>
    <w:pPr>
      <w:ind w:firstLine="0"/>
    </w:pPr>
  </w:style>
  <w:style w:type="paragraph" w:customStyle="1" w:styleId="ListNote">
    <w:name w:val="List Note"/>
    <w:basedOn w:val="List"/>
    <w:rsid w:val="006D4B18"/>
    <w:pPr>
      <w:pBdr>
        <w:top w:val="single" w:sz="6" w:space="2" w:color="918585"/>
        <w:bottom w:val="single" w:sz="6" w:space="2" w:color="918585"/>
      </w:pBdr>
      <w:tabs>
        <w:tab w:val="left" w:pos="1021"/>
      </w:tabs>
      <w:ind w:firstLine="0"/>
    </w:pPr>
  </w:style>
  <w:style w:type="paragraph" w:customStyle="1" w:styleId="Warning">
    <w:name w:val="Warning"/>
    <w:basedOn w:val="BodyText"/>
    <w:rsid w:val="006D4B18"/>
    <w:pPr>
      <w:shd w:val="clear" w:color="auto" w:fill="D9D9D9"/>
      <w:tabs>
        <w:tab w:val="left" w:pos="992"/>
      </w:tabs>
      <w:ind w:left="119" w:right="119"/>
    </w:pPr>
    <w:rPr>
      <w:sz w:val="20"/>
    </w:rPr>
  </w:style>
  <w:style w:type="paragraph" w:customStyle="1" w:styleId="MarginIcons">
    <w:name w:val="Margin Icons"/>
    <w:basedOn w:val="BodyText"/>
    <w:rsid w:val="006D4B1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D4B18"/>
    <w:rPr>
      <w:rFonts w:ascii="Courier New" w:hAnsi="Courier New"/>
    </w:rPr>
  </w:style>
  <w:style w:type="paragraph" w:customStyle="1" w:styleId="NoteBullet">
    <w:name w:val="Note Bullet"/>
    <w:basedOn w:val="Note"/>
    <w:rsid w:val="006D4B18"/>
    <w:pPr>
      <w:tabs>
        <w:tab w:val="clear" w:pos="680"/>
      </w:tabs>
      <w:spacing w:before="60" w:after="60"/>
    </w:pPr>
  </w:style>
  <w:style w:type="paragraph" w:customStyle="1" w:styleId="SubHeading2">
    <w:name w:val="SubHeading2"/>
    <w:basedOn w:val="HeadingBase"/>
    <w:rsid w:val="006D4B18"/>
    <w:pPr>
      <w:spacing w:before="240" w:after="60"/>
    </w:pPr>
    <w:rPr>
      <w:sz w:val="20"/>
    </w:rPr>
  </w:style>
  <w:style w:type="paragraph" w:customStyle="1" w:styleId="SubHeading1">
    <w:name w:val="SubHeading1"/>
    <w:basedOn w:val="HeadingBase"/>
    <w:rsid w:val="006D4B18"/>
    <w:pPr>
      <w:spacing w:before="240" w:after="60"/>
    </w:pPr>
    <w:rPr>
      <w:color w:val="918585"/>
      <w:sz w:val="22"/>
    </w:rPr>
  </w:style>
  <w:style w:type="paragraph" w:customStyle="1" w:styleId="SideHeading">
    <w:name w:val="Side Heading"/>
    <w:basedOn w:val="HeadingBase"/>
    <w:rsid w:val="006D4B1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D4B18"/>
    <w:pPr>
      <w:numPr>
        <w:numId w:val="10"/>
      </w:numPr>
    </w:pPr>
  </w:style>
  <w:style w:type="paragraph" w:styleId="PlainText">
    <w:name w:val="Plain Text"/>
    <w:basedOn w:val="Normal"/>
    <w:link w:val="PlainTextChar"/>
    <w:rsid w:val="006D4B18"/>
    <w:rPr>
      <w:sz w:val="20"/>
    </w:rPr>
  </w:style>
  <w:style w:type="character" w:customStyle="1" w:styleId="PlainTextChar">
    <w:name w:val="Plain Text Char"/>
    <w:basedOn w:val="DefaultParagraphFont"/>
    <w:link w:val="PlainText"/>
    <w:rsid w:val="006D4B18"/>
    <w:rPr>
      <w:rFonts w:ascii="Courier New" w:eastAsia="Times New Roman" w:hAnsi="Courier New" w:cs="Times New Roman"/>
      <w:sz w:val="20"/>
      <w:szCs w:val="20"/>
      <w:lang w:eastAsia="en-US"/>
    </w:rPr>
  </w:style>
  <w:style w:type="character" w:customStyle="1" w:styleId="MenuOption">
    <w:name w:val="Menu Option"/>
    <w:basedOn w:val="DefaultParagraphFont"/>
    <w:rsid w:val="006D4B18"/>
    <w:rPr>
      <w:b/>
      <w:smallCaps/>
    </w:rPr>
  </w:style>
  <w:style w:type="paragraph" w:customStyle="1" w:styleId="TableListNumber">
    <w:name w:val="Table List Number"/>
    <w:basedOn w:val="ListNumber"/>
    <w:rsid w:val="006D4B18"/>
    <w:pPr>
      <w:numPr>
        <w:numId w:val="0"/>
      </w:numPr>
    </w:pPr>
  </w:style>
  <w:style w:type="paragraph" w:styleId="TOC4">
    <w:name w:val="toc 4"/>
    <w:basedOn w:val="TOCBase"/>
    <w:next w:val="Normal"/>
    <w:semiHidden/>
    <w:rsid w:val="006D4B18"/>
    <w:pPr>
      <w:tabs>
        <w:tab w:val="right" w:leader="dot" w:pos="9071"/>
      </w:tabs>
      <w:ind w:left="1701"/>
    </w:pPr>
  </w:style>
  <w:style w:type="paragraph" w:customStyle="1" w:styleId="ListAlpha">
    <w:name w:val="List Alpha"/>
    <w:basedOn w:val="List"/>
    <w:rsid w:val="006D4B18"/>
    <w:pPr>
      <w:numPr>
        <w:numId w:val="8"/>
      </w:numPr>
    </w:pPr>
  </w:style>
  <w:style w:type="paragraph" w:customStyle="1" w:styleId="ListAlpha2">
    <w:name w:val="List Alpha 2"/>
    <w:basedOn w:val="List2"/>
    <w:rsid w:val="006D4B18"/>
    <w:pPr>
      <w:numPr>
        <w:numId w:val="7"/>
      </w:numPr>
    </w:pPr>
  </w:style>
  <w:style w:type="paragraph" w:styleId="List2">
    <w:name w:val="List 2"/>
    <w:basedOn w:val="BodyText"/>
    <w:rsid w:val="006D4B18"/>
    <w:pPr>
      <w:tabs>
        <w:tab w:val="left" w:pos="680"/>
      </w:tabs>
      <w:spacing w:before="60" w:after="60"/>
      <w:ind w:left="680" w:hanging="340"/>
    </w:pPr>
  </w:style>
  <w:style w:type="paragraph" w:styleId="List3">
    <w:name w:val="List 3"/>
    <w:basedOn w:val="BodyText"/>
    <w:rsid w:val="006D4B18"/>
    <w:pPr>
      <w:tabs>
        <w:tab w:val="left" w:pos="1021"/>
      </w:tabs>
      <w:spacing w:before="60" w:after="60"/>
      <w:ind w:left="1020" w:hanging="340"/>
    </w:pPr>
  </w:style>
  <w:style w:type="paragraph" w:styleId="List4">
    <w:name w:val="List 4"/>
    <w:basedOn w:val="BodyText"/>
    <w:rsid w:val="006D4B18"/>
    <w:pPr>
      <w:tabs>
        <w:tab w:val="left" w:pos="1361"/>
      </w:tabs>
      <w:spacing w:before="60" w:after="60"/>
      <w:ind w:left="1361" w:hanging="340"/>
    </w:pPr>
  </w:style>
  <w:style w:type="paragraph" w:styleId="List5">
    <w:name w:val="List 5"/>
    <w:basedOn w:val="BodyText"/>
    <w:rsid w:val="006D4B18"/>
    <w:pPr>
      <w:tabs>
        <w:tab w:val="left" w:pos="1701"/>
      </w:tabs>
      <w:spacing w:before="60" w:after="60"/>
      <w:ind w:left="1701" w:hanging="340"/>
    </w:pPr>
  </w:style>
  <w:style w:type="paragraph" w:styleId="ListBullet3">
    <w:name w:val="List Bullet 3"/>
    <w:basedOn w:val="List3"/>
    <w:rsid w:val="006D4B18"/>
    <w:pPr>
      <w:numPr>
        <w:numId w:val="13"/>
      </w:numPr>
      <w:tabs>
        <w:tab w:val="clear" w:pos="1021"/>
      </w:tabs>
      <w:ind w:left="1037" w:hanging="357"/>
    </w:pPr>
  </w:style>
  <w:style w:type="paragraph" w:styleId="ListBullet4">
    <w:name w:val="List Bullet 4"/>
    <w:basedOn w:val="List4"/>
    <w:rsid w:val="006D4B18"/>
    <w:pPr>
      <w:numPr>
        <w:numId w:val="2"/>
      </w:numPr>
      <w:tabs>
        <w:tab w:val="clear" w:pos="1361"/>
      </w:tabs>
    </w:pPr>
  </w:style>
  <w:style w:type="paragraph" w:styleId="ListBullet5">
    <w:name w:val="List Bullet 5"/>
    <w:basedOn w:val="List5"/>
    <w:rsid w:val="006D4B18"/>
    <w:pPr>
      <w:numPr>
        <w:numId w:val="3"/>
      </w:numPr>
    </w:pPr>
  </w:style>
  <w:style w:type="paragraph" w:styleId="ListContinue2">
    <w:name w:val="List Continue 2"/>
    <w:basedOn w:val="List2"/>
    <w:rsid w:val="006D4B18"/>
    <w:pPr>
      <w:ind w:firstLine="0"/>
    </w:pPr>
  </w:style>
  <w:style w:type="paragraph" w:styleId="ListContinue3">
    <w:name w:val="List Continue 3"/>
    <w:basedOn w:val="List3"/>
    <w:rsid w:val="006D4B18"/>
    <w:pPr>
      <w:ind w:left="1021" w:firstLine="0"/>
    </w:pPr>
  </w:style>
  <w:style w:type="paragraph" w:styleId="ListContinue4">
    <w:name w:val="List Continue 4"/>
    <w:basedOn w:val="List4"/>
    <w:rsid w:val="006D4B18"/>
    <w:pPr>
      <w:ind w:firstLine="0"/>
    </w:pPr>
  </w:style>
  <w:style w:type="paragraph" w:styleId="ListContinue5">
    <w:name w:val="List Continue 5"/>
    <w:basedOn w:val="List5"/>
    <w:rsid w:val="006D4B18"/>
    <w:pPr>
      <w:ind w:firstLine="0"/>
    </w:pPr>
  </w:style>
  <w:style w:type="paragraph" w:styleId="ListNumber3">
    <w:name w:val="List Number 3"/>
    <w:basedOn w:val="List3"/>
    <w:rsid w:val="006D4B18"/>
    <w:pPr>
      <w:numPr>
        <w:numId w:val="4"/>
      </w:numPr>
    </w:pPr>
  </w:style>
  <w:style w:type="paragraph" w:styleId="ListNumber4">
    <w:name w:val="List Number 4"/>
    <w:basedOn w:val="List4"/>
    <w:rsid w:val="006D4B18"/>
    <w:pPr>
      <w:numPr>
        <w:numId w:val="5"/>
      </w:numPr>
    </w:pPr>
  </w:style>
  <w:style w:type="paragraph" w:styleId="ListNumber5">
    <w:name w:val="List Number 5"/>
    <w:basedOn w:val="List5"/>
    <w:rsid w:val="006D4B18"/>
    <w:pPr>
      <w:numPr>
        <w:numId w:val="6"/>
      </w:numPr>
    </w:pPr>
  </w:style>
  <w:style w:type="paragraph" w:styleId="BlockText">
    <w:name w:val="Block Text"/>
    <w:basedOn w:val="Normal"/>
    <w:rsid w:val="006D4B18"/>
    <w:pPr>
      <w:spacing w:after="120"/>
      <w:ind w:left="1440" w:right="1440"/>
    </w:pPr>
  </w:style>
  <w:style w:type="character" w:customStyle="1" w:styleId="Subscript">
    <w:name w:val="Subscript"/>
    <w:basedOn w:val="DefaultParagraphFont"/>
    <w:rsid w:val="006D4B18"/>
    <w:rPr>
      <w:sz w:val="16"/>
      <w:vertAlign w:val="subscript"/>
    </w:rPr>
  </w:style>
  <w:style w:type="character" w:customStyle="1" w:styleId="Superscript">
    <w:name w:val="Superscript"/>
    <w:basedOn w:val="DefaultParagraphFont"/>
    <w:rsid w:val="006D4B18"/>
    <w:rPr>
      <w:sz w:val="16"/>
      <w:vertAlign w:val="superscript"/>
    </w:rPr>
  </w:style>
  <w:style w:type="character" w:customStyle="1" w:styleId="Symbols">
    <w:name w:val="Symbols"/>
    <w:basedOn w:val="DefaultParagraphFont"/>
    <w:rsid w:val="006D4B18"/>
    <w:rPr>
      <w:rFonts w:ascii="Symbol" w:hAnsi="Symbol"/>
    </w:rPr>
  </w:style>
  <w:style w:type="character" w:customStyle="1" w:styleId="MenuOptions">
    <w:name w:val="Menu Options"/>
    <w:basedOn w:val="DefaultParagraphFont"/>
    <w:rsid w:val="006D4B18"/>
    <w:rPr>
      <w:rFonts w:ascii="Arial Narrow" w:hAnsi="Arial Narrow"/>
      <w:smallCaps/>
    </w:rPr>
  </w:style>
  <w:style w:type="character" w:customStyle="1" w:styleId="Buttons">
    <w:name w:val="Buttons"/>
    <w:basedOn w:val="DefaultParagraphFont"/>
    <w:rsid w:val="006D4B18"/>
    <w:rPr>
      <w:b/>
    </w:rPr>
  </w:style>
  <w:style w:type="character" w:customStyle="1" w:styleId="Underlined">
    <w:name w:val="Underlined"/>
    <w:basedOn w:val="DefaultParagraphFont"/>
    <w:rsid w:val="006D4B18"/>
    <w:rPr>
      <w:u w:val="single"/>
    </w:rPr>
  </w:style>
  <w:style w:type="paragraph" w:customStyle="1" w:styleId="TableBodyTextRight">
    <w:name w:val="Table Body Text Right"/>
    <w:basedOn w:val="TableBodyText"/>
    <w:rsid w:val="006D4B18"/>
    <w:pPr>
      <w:widowControl w:val="0"/>
      <w:autoSpaceDE w:val="0"/>
      <w:autoSpaceDN w:val="0"/>
      <w:adjustRightInd w:val="0"/>
      <w:jc w:val="right"/>
    </w:pPr>
    <w:rPr>
      <w:rFonts w:cs="Arial"/>
      <w:szCs w:val="18"/>
    </w:rPr>
  </w:style>
  <w:style w:type="paragraph" w:customStyle="1" w:styleId="CopyrightText">
    <w:name w:val="Copyright Text"/>
    <w:basedOn w:val="BodyText"/>
    <w:rsid w:val="006D4B18"/>
    <w:rPr>
      <w:sz w:val="18"/>
    </w:rPr>
  </w:style>
  <w:style w:type="paragraph" w:customStyle="1" w:styleId="BodySmallRight">
    <w:name w:val="Body Small Right"/>
    <w:basedOn w:val="BodyTextRight"/>
    <w:rsid w:val="006D4B18"/>
    <w:rPr>
      <w:sz w:val="18"/>
      <w:szCs w:val="18"/>
    </w:rPr>
  </w:style>
  <w:style w:type="paragraph" w:customStyle="1" w:styleId="MarginEdition">
    <w:name w:val="Margin Edition"/>
    <w:basedOn w:val="MarginNote"/>
    <w:rsid w:val="006D4B18"/>
    <w:pPr>
      <w:spacing w:before="0" w:after="0"/>
    </w:pPr>
    <w:rPr>
      <w:rFonts w:ascii="Times New Roman" w:hAnsi="Times New Roman"/>
      <w:color w:val="999999"/>
    </w:rPr>
  </w:style>
  <w:style w:type="paragraph" w:customStyle="1" w:styleId="Spacer">
    <w:name w:val="Spacer"/>
    <w:basedOn w:val="Normal"/>
    <w:rsid w:val="006D4B18"/>
    <w:rPr>
      <w:sz w:val="2"/>
      <w:szCs w:val="2"/>
    </w:rPr>
  </w:style>
  <w:style w:type="character" w:customStyle="1" w:styleId="Small">
    <w:name w:val="Small"/>
    <w:basedOn w:val="DefaultParagraphFont"/>
    <w:rsid w:val="006D4B18"/>
    <w:rPr>
      <w:sz w:val="16"/>
    </w:rPr>
  </w:style>
  <w:style w:type="paragraph" w:customStyle="1" w:styleId="WideTable">
    <w:name w:val="Wide Table"/>
    <w:basedOn w:val="Normal"/>
    <w:rsid w:val="006D4B18"/>
    <w:pPr>
      <w:ind w:left="-1418"/>
    </w:pPr>
    <w:rPr>
      <w:sz w:val="2"/>
      <w:szCs w:val="2"/>
    </w:rPr>
  </w:style>
  <w:style w:type="character" w:styleId="PageNumber">
    <w:name w:val="page number"/>
    <w:basedOn w:val="DefaultParagraphFont"/>
    <w:rsid w:val="006D4B18"/>
  </w:style>
  <w:style w:type="paragraph" w:styleId="Quote">
    <w:name w:val="Quote"/>
    <w:basedOn w:val="Heading1"/>
    <w:link w:val="QuoteChar"/>
    <w:qFormat/>
    <w:rsid w:val="006D4B18"/>
    <w:rPr>
      <w:b w:val="0"/>
      <w:sz w:val="72"/>
      <w:szCs w:val="72"/>
      <w:lang w:val="en-NZ"/>
    </w:rPr>
  </w:style>
  <w:style w:type="character" w:customStyle="1" w:styleId="QuoteChar">
    <w:name w:val="Quote Char"/>
    <w:basedOn w:val="DefaultParagraphFont"/>
    <w:link w:val="Quote"/>
    <w:rsid w:val="006D4B1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D4B18"/>
    <w:pPr>
      <w:pageBreakBefore/>
    </w:pPr>
  </w:style>
  <w:style w:type="paragraph" w:customStyle="1" w:styleId="Border">
    <w:name w:val="Border"/>
    <w:basedOn w:val="Normal"/>
    <w:qFormat/>
    <w:rsid w:val="006D4B1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D4B18"/>
    <w:rPr>
      <w:b/>
      <w:bCs/>
      <w:i/>
      <w:iCs/>
      <w:color w:val="auto"/>
    </w:rPr>
  </w:style>
  <w:style w:type="paragraph" w:styleId="IntenseQuote">
    <w:name w:val="Intense Quote"/>
    <w:basedOn w:val="Normal"/>
    <w:next w:val="Normal"/>
    <w:link w:val="IntenseQuoteChar"/>
    <w:uiPriority w:val="30"/>
    <w:qFormat/>
    <w:rsid w:val="006D4B1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D4B1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D4B18"/>
    <w:rPr>
      <w:smallCaps/>
      <w:color w:val="auto"/>
      <w:u w:val="single"/>
    </w:rPr>
  </w:style>
  <w:style w:type="character" w:styleId="IntenseReference">
    <w:name w:val="Intense Reference"/>
    <w:basedOn w:val="DefaultParagraphFont"/>
    <w:uiPriority w:val="32"/>
    <w:qFormat/>
    <w:rsid w:val="006D4B18"/>
    <w:rPr>
      <w:b/>
      <w:bCs/>
      <w:smallCaps/>
      <w:color w:val="auto"/>
      <w:spacing w:val="5"/>
      <w:u w:val="single"/>
    </w:rPr>
  </w:style>
  <w:style w:type="paragraph" w:customStyle="1" w:styleId="2ColumnHeading">
    <w:name w:val="2Column Heading"/>
    <w:basedOn w:val="BodyText"/>
    <w:qFormat/>
    <w:rsid w:val="006D4B18"/>
    <w:pPr>
      <w:spacing w:after="60"/>
      <w:ind w:left="-2268"/>
    </w:pPr>
    <w:rPr>
      <w:b/>
    </w:rPr>
  </w:style>
  <w:style w:type="paragraph" w:customStyle="1" w:styleId="Heading1TOC">
    <w:name w:val="Heading1 TOC"/>
    <w:basedOn w:val="Normal"/>
    <w:qFormat/>
    <w:rsid w:val="006D4B18"/>
    <w:pPr>
      <w:spacing w:before="240" w:after="120"/>
    </w:pPr>
    <w:rPr>
      <w:rFonts w:ascii="Times New Roman" w:hAnsi="Times New Roman"/>
      <w:b/>
      <w:sz w:val="32"/>
    </w:rPr>
  </w:style>
  <w:style w:type="paragraph" w:customStyle="1" w:styleId="Heading2TOC">
    <w:name w:val="Heading2 TOC"/>
    <w:basedOn w:val="Normal"/>
    <w:qFormat/>
    <w:rsid w:val="006D4B18"/>
    <w:pPr>
      <w:spacing w:before="240" w:after="60"/>
    </w:pPr>
    <w:rPr>
      <w:rFonts w:ascii="Times New Roman" w:hAnsi="Times New Roman"/>
      <w:b/>
      <w:sz w:val="28"/>
    </w:rPr>
  </w:style>
  <w:style w:type="character" w:customStyle="1" w:styleId="Underline">
    <w:name w:val="Underline"/>
    <w:basedOn w:val="DefaultParagraphFont"/>
    <w:qFormat/>
    <w:rsid w:val="006D4B18"/>
    <w:rPr>
      <w:u w:val="single"/>
    </w:rPr>
  </w:style>
  <w:style w:type="character" w:customStyle="1" w:styleId="BoldandItalics">
    <w:name w:val="Bold and Italics"/>
    <w:qFormat/>
    <w:rsid w:val="006D4B18"/>
    <w:rPr>
      <w:b/>
      <w:i/>
      <w:u w:val="none"/>
    </w:rPr>
  </w:style>
  <w:style w:type="paragraph" w:styleId="BalloonText">
    <w:name w:val="Balloon Text"/>
    <w:basedOn w:val="Normal"/>
    <w:link w:val="BalloonTextChar"/>
    <w:rsid w:val="006D4B18"/>
    <w:rPr>
      <w:rFonts w:ascii="Tahoma" w:hAnsi="Tahoma" w:cs="Tahoma"/>
      <w:sz w:val="16"/>
      <w:szCs w:val="16"/>
    </w:rPr>
  </w:style>
  <w:style w:type="character" w:customStyle="1" w:styleId="BalloonTextChar">
    <w:name w:val="Balloon Text Char"/>
    <w:basedOn w:val="DefaultParagraphFont"/>
    <w:link w:val="BalloonText"/>
    <w:rsid w:val="006D4B1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D4B1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D4B1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D4B18"/>
    <w:rPr>
      <w:b/>
      <w:color w:val="660033"/>
      <w:spacing w:val="0"/>
    </w:rPr>
  </w:style>
  <w:style w:type="paragraph" w:customStyle="1" w:styleId="Nameditemlist">
    <w:name w:val="Named item list"/>
    <w:basedOn w:val="BodyText"/>
    <w:qFormat/>
    <w:rsid w:val="006D4B18"/>
    <w:pPr>
      <w:tabs>
        <w:tab w:val="left" w:pos="2835"/>
      </w:tabs>
      <w:ind w:left="2835" w:hanging="2835"/>
    </w:pPr>
  </w:style>
  <w:style w:type="paragraph" w:customStyle="1" w:styleId="BodyTextnopadding">
    <w:name w:val="Body Text no padding"/>
    <w:basedOn w:val="BodyText"/>
    <w:qFormat/>
    <w:rsid w:val="006D4B18"/>
    <w:pPr>
      <w:spacing w:before="0" w:after="0"/>
    </w:pPr>
  </w:style>
  <w:style w:type="paragraph" w:customStyle="1" w:styleId="BodyTextBold">
    <w:name w:val="Body Text Bold"/>
    <w:basedOn w:val="BodyText"/>
    <w:qFormat/>
    <w:rsid w:val="006D4B18"/>
    <w:rPr>
      <w:b/>
    </w:rPr>
  </w:style>
  <w:style w:type="character" w:styleId="Hyperlink">
    <w:name w:val="Hyperlink"/>
    <w:basedOn w:val="DefaultParagraphFont"/>
    <w:uiPriority w:val="99"/>
    <w:unhideWhenUsed/>
    <w:rsid w:val="001977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821</Words>
  <Characters>4929</Characters>
  <Application>Microsoft Office Word</Application>
  <DocSecurity>0</DocSecurity>
  <Lines>234</Lines>
  <Paragraphs>110</Paragraphs>
  <ScaleCrop>false</ScaleCrop>
  <Company>Author-it Software Corporation Ltd.</Company>
  <LinksUpToDate>false</LinksUpToDate>
  <CharactersWithSpaces>5640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CPCPRE2003 Grout prefabricated concrete elements</dc:title>
  <dc:subject>Approved</dc:subject>
  <dc:creator>BuildSkills Australia</dc:creator>
  <cp:keywords>Release: 1</cp:keywords>
  <dc:description>Review Date: 12 April 2008</dc:description>
  <cp:lastModifiedBy>HSD_TPCMSd.prod</cp:lastModifiedBy>
  <cp:revision>3</cp:revision>
  <dcterms:created xsi:type="dcterms:W3CDTF">2024-12-24T01:17:00Z</dcterms:created>
  <dcterms:modified xsi:type="dcterms:W3CDTF">2024-12-24T01:17:00Z</dcterms:modified>
</cp:coreProperties>
</file>