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257" w:rsidP="00FE1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CPCPRE2003 Grout prefabricated concrete elements</w:t>
      </w:r>
      <w:r>
        <w:fldChar w:fldCharType="end"/>
      </w:r>
    </w:p>
    <w:p w:rsidR="00FE1257" w:rsidP="00FE1257">
      <w:pPr>
        <w:pStyle w:val="Version"/>
        <w:sectPr w:rsidSect="002F5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4C8" w:rsidP="002F54C8">
      <w:pPr>
        <w:pStyle w:val="SuperHeading"/>
      </w:pPr>
      <w:r w:rsidRPr="002F54C8">
        <w:t>Assessment Requirements for CPCPRE2003 Grout prefabricated concrete elements</w:t>
      </w:r>
    </w:p>
    <w:p w:rsidR="00000000" w:rsidRPr="002F54C8" w:rsidP="002F54C8">
      <w:pPr>
        <w:pStyle w:val="Heading1"/>
      </w:pPr>
      <w:bookmarkStart w:id="1" w:name="O_1260676"/>
      <w:bookmarkEnd w:id="1"/>
      <w:r w:rsidRPr="002F54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2F5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4C8">
            <w:pPr>
              <w:pStyle w:val="BodyText"/>
              <w:rPr>
                <w:lang w:val="en-NZ"/>
              </w:rPr>
            </w:pPr>
            <w:r w:rsidRPr="002F54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4C8" w:rsidP="002F54C8">
            <w:pPr>
              <w:pStyle w:val="BodyText"/>
            </w:pPr>
            <w:r w:rsidRPr="002F54C8">
              <w:t>This version first released with CPC Construction, Plumbing and Services Training Package Release 9.0.</w:t>
            </w:r>
          </w:p>
          <w:p w:rsidR="00000000" w:rsidRPr="002F54C8" w:rsidP="002F54C8">
            <w:pPr>
              <w:pStyle w:val="BodyText"/>
            </w:pPr>
            <w:r w:rsidRPr="002F54C8">
              <w:t>Newly created unit.</w:t>
            </w:r>
          </w:p>
        </w:tc>
      </w:tr>
    </w:tbl>
    <w:p w:rsidR="00000000" w:rsidRPr="002F54C8" w:rsidP="002F54C8">
      <w:pPr>
        <w:pStyle w:val="BodyText"/>
      </w:pPr>
    </w:p>
    <w:p w:rsidR="00000000" w:rsidRPr="002F54C8" w:rsidP="002F54C8">
      <w:pPr>
        <w:pStyle w:val="AllowPageBreak"/>
      </w:pPr>
    </w:p>
    <w:p w:rsidR="00000000" w:rsidRPr="002F54C8" w:rsidP="002F54C8">
      <w:pPr>
        <w:pStyle w:val="Heading1"/>
      </w:pPr>
      <w:bookmarkStart w:id="2" w:name="O_1260679"/>
      <w:bookmarkEnd w:id="2"/>
      <w:r w:rsidRPr="002F54C8">
        <w:t>Performance Evidence</w:t>
      </w:r>
    </w:p>
    <w:p w:rsidR="00000000" w:rsidRPr="002F54C8" w:rsidP="00FE1257">
      <w:pPr>
        <w:pStyle w:val="BodyText"/>
      </w:pPr>
      <w:r w:rsidRPr="002F54C8">
        <w:t>To demonstrate competency, a candidate must meet the elements and performance criteria of this unit by:</w:t>
      </w:r>
    </w:p>
    <w:p w:rsidR="00000000" w:rsidRPr="002F54C8" w:rsidP="002F54C8">
      <w:pPr>
        <w:pStyle w:val="ListBullet"/>
      </w:pPr>
      <w:r w:rsidRPr="002F54C8">
        <w:t>grouting two prefabricated concrete elements, either horizontal or vertical including:</w:t>
      </w:r>
    </w:p>
    <w:p w:rsidR="00000000" w:rsidRPr="002F54C8" w:rsidP="002F54C8">
      <w:pPr>
        <w:pStyle w:val="ListBullet2"/>
      </w:pPr>
      <w:r w:rsidRPr="002F54C8">
        <w:t>grouting a 25 mm gap bel</w:t>
      </w:r>
      <w:r w:rsidRPr="002F54C8">
        <w:t>ow a 150 mm thick prefabricated concrete element for a length of 3 m, using dry-pack or trowelable grout, and</w:t>
      </w:r>
    </w:p>
    <w:p w:rsidR="00000000" w:rsidRPr="002F54C8" w:rsidP="002F54C8">
      <w:pPr>
        <w:pStyle w:val="ListBullet2"/>
      </w:pPr>
      <w:r w:rsidRPr="002F54C8">
        <w:t xml:space="preserve">grout filling 3 grout tubes within a prefabricated concrete element, each being at least 50 mm diameter x 500 mm high, using flowable grout. </w:t>
      </w:r>
    </w:p>
    <w:p w:rsidR="00000000" w:rsidRPr="002F54C8" w:rsidP="002F54C8">
      <w:pPr>
        <w:pStyle w:val="AllowPageBreak"/>
      </w:pPr>
    </w:p>
    <w:p w:rsidR="00000000" w:rsidRPr="002F54C8" w:rsidP="002F54C8">
      <w:pPr>
        <w:pStyle w:val="Heading1"/>
      </w:pPr>
      <w:bookmarkStart w:id="3" w:name="O_1260678"/>
      <w:bookmarkEnd w:id="3"/>
      <w:r w:rsidRPr="002F54C8">
        <w:t>Knowledge Evidence</w:t>
      </w:r>
    </w:p>
    <w:p w:rsidR="00000000" w:rsidRPr="002F54C8" w:rsidP="00FE1257">
      <w:pPr>
        <w:pStyle w:val="BodyText"/>
      </w:pPr>
      <w:r w:rsidRPr="002F54C8">
        <w:t>To be competent in this unit, a candidate must demonstrate knowledge of:</w:t>
      </w:r>
    </w:p>
    <w:p w:rsidR="00000000" w:rsidRPr="002F54C8" w:rsidP="002F54C8">
      <w:pPr>
        <w:pStyle w:val="ListBullet"/>
      </w:pPr>
      <w:r w:rsidRPr="002F54C8">
        <w:t>compliance requirements of legislation, regulations, codes and Australian Standards relevant to grouting of prefabricated concrete elements, incl</w:t>
      </w:r>
      <w:r w:rsidRPr="002F54C8">
        <w:t>uding:</w:t>
      </w:r>
    </w:p>
    <w:p w:rsidR="00000000" w:rsidRPr="002F54C8" w:rsidP="002F54C8">
      <w:pPr>
        <w:pStyle w:val="ListBullet2"/>
      </w:pPr>
      <w:r w:rsidRPr="002F54C8">
        <w:t>environmental protection and waste disposal</w:t>
      </w:r>
    </w:p>
    <w:p w:rsidR="00000000" w:rsidRPr="002F54C8" w:rsidP="002F54C8">
      <w:pPr>
        <w:pStyle w:val="ListBullet2"/>
      </w:pPr>
      <w:r w:rsidRPr="002F54C8">
        <w:t>work health and safety (WHS) regulations, including:</w:t>
      </w:r>
    </w:p>
    <w:p w:rsidR="00000000" w:rsidRPr="002F54C8" w:rsidP="002F54C8">
      <w:pPr>
        <w:pStyle w:val="ListBullet3"/>
      </w:pPr>
      <w:r w:rsidRPr="002F54C8">
        <w:t>use of personal protective equipment (PPE)</w:t>
      </w:r>
    </w:p>
    <w:p w:rsidR="00000000" w:rsidRPr="002F54C8" w:rsidP="002F54C8">
      <w:pPr>
        <w:pStyle w:val="ListBullet3"/>
      </w:pPr>
      <w:r w:rsidRPr="002F54C8">
        <w:t>fall protection</w:t>
      </w:r>
    </w:p>
    <w:p w:rsidR="00000000" w:rsidRPr="002F54C8" w:rsidP="002F54C8">
      <w:pPr>
        <w:pStyle w:val="ListBullet3"/>
      </w:pPr>
      <w:r w:rsidRPr="002F54C8">
        <w:t>drop zones</w:t>
      </w:r>
    </w:p>
    <w:p w:rsidR="00000000" w:rsidRPr="002F54C8" w:rsidP="002F54C8">
      <w:pPr>
        <w:pStyle w:val="ListBullet3"/>
      </w:pPr>
      <w:r w:rsidRPr="002F54C8">
        <w:t>hazardous substances</w:t>
      </w:r>
    </w:p>
    <w:p w:rsidR="00000000" w:rsidRPr="002F54C8" w:rsidP="002F54C8">
      <w:pPr>
        <w:pStyle w:val="ListBullet3"/>
      </w:pPr>
      <w:r w:rsidRPr="002F54C8">
        <w:t xml:space="preserve">safe manual handling techniques </w:t>
      </w:r>
    </w:p>
    <w:p w:rsidR="00000000" w:rsidRPr="002F54C8" w:rsidP="002F54C8">
      <w:pPr>
        <w:pStyle w:val="ListBullet3"/>
      </w:pPr>
      <w:r w:rsidRPr="002F54C8">
        <w:t>respirable crystalline silica</w:t>
      </w:r>
    </w:p>
    <w:p w:rsidR="00000000" w:rsidRPr="002F54C8" w:rsidP="002F54C8">
      <w:pPr>
        <w:pStyle w:val="ListBullet"/>
      </w:pPr>
      <w:r w:rsidRPr="002F54C8">
        <w:t>erection design documentation</w:t>
      </w:r>
    </w:p>
    <w:p w:rsidR="00000000" w:rsidRPr="002F54C8" w:rsidP="002F54C8">
      <w:pPr>
        <w:pStyle w:val="ListBullet"/>
      </w:pPr>
      <w:r w:rsidRPr="002F54C8">
        <w:t>material data sheets</w:t>
      </w:r>
    </w:p>
    <w:p w:rsidR="00000000" w:rsidRPr="002F54C8" w:rsidP="002F54C8">
      <w:pPr>
        <w:pStyle w:val="ListBullet"/>
      </w:pPr>
      <w:r w:rsidRPr="002F54C8">
        <w:t>effects of temperature, wind and low humidity on the properties of prefabricated concrete:</w:t>
      </w:r>
    </w:p>
    <w:p w:rsidR="00000000" w:rsidRPr="002F54C8" w:rsidP="002F54C8">
      <w:pPr>
        <w:pStyle w:val="ListBullet2"/>
      </w:pPr>
      <w:r w:rsidRPr="002F54C8">
        <w:t>detrimental effect of water addition to concrete properties</w:t>
      </w:r>
    </w:p>
    <w:p w:rsidR="00000000" w:rsidRPr="002F54C8" w:rsidP="002F54C8">
      <w:pPr>
        <w:pStyle w:val="ListBullet2"/>
      </w:pPr>
      <w:r w:rsidRPr="002F54C8">
        <w:t>precautions that should be taken to minimise any potential adverse effects when finishing concrete</w:t>
      </w:r>
    </w:p>
    <w:p w:rsidR="00000000" w:rsidRPr="002F54C8" w:rsidP="002F54C8">
      <w:pPr>
        <w:pStyle w:val="ListBullet"/>
      </w:pPr>
      <w:r w:rsidRPr="002F54C8">
        <w:t>health risks associated with silica dust exposure</w:t>
      </w:r>
    </w:p>
    <w:p w:rsidR="00000000" w:rsidRPr="002F54C8" w:rsidP="002F54C8">
      <w:pPr>
        <w:pStyle w:val="ListBullet"/>
      </w:pPr>
      <w:r w:rsidRPr="002F54C8">
        <w:t>types of drawings and specifications used to interpret concrete installation requirements</w:t>
      </w:r>
    </w:p>
    <w:p w:rsidR="00000000" w:rsidRPr="002F54C8" w:rsidP="002F54C8">
      <w:pPr>
        <w:pStyle w:val="ListBullet"/>
      </w:pPr>
      <w:r w:rsidRPr="002F54C8">
        <w:t xml:space="preserve">characteristics </w:t>
      </w:r>
      <w:r w:rsidRPr="002F54C8">
        <w:t>of grouting materials and the difference between grouting materials properties, including:</w:t>
      </w:r>
    </w:p>
    <w:p w:rsidR="00000000" w:rsidRPr="002F54C8" w:rsidP="002F54C8">
      <w:pPr>
        <w:pStyle w:val="ListBullet2"/>
      </w:pPr>
      <w:r w:rsidRPr="002F54C8">
        <w:t>dry pack</w:t>
      </w:r>
    </w:p>
    <w:p w:rsidR="00000000" w:rsidRPr="002F54C8" w:rsidP="002F54C8">
      <w:pPr>
        <w:pStyle w:val="ListBullet2"/>
      </w:pPr>
      <w:r w:rsidRPr="002F54C8">
        <w:t>plastic</w:t>
      </w:r>
    </w:p>
    <w:p w:rsidR="00000000" w:rsidRPr="002F54C8" w:rsidP="002F54C8">
      <w:pPr>
        <w:pStyle w:val="ListBullet2"/>
      </w:pPr>
      <w:r w:rsidRPr="002F54C8">
        <w:t>trowelable</w:t>
      </w:r>
    </w:p>
    <w:p w:rsidR="00000000" w:rsidRPr="002F54C8" w:rsidP="002F54C8">
      <w:pPr>
        <w:pStyle w:val="ListBullet2"/>
      </w:pPr>
      <w:r w:rsidRPr="002F54C8">
        <w:t>flowable</w:t>
      </w:r>
    </w:p>
    <w:p w:rsidR="00000000" w:rsidRPr="002F54C8" w:rsidP="002F54C8">
      <w:pPr>
        <w:pStyle w:val="ListBullet"/>
      </w:pPr>
      <w:r w:rsidRPr="002F54C8">
        <w:t>grouting process, including:</w:t>
      </w:r>
    </w:p>
    <w:p w:rsidR="00000000" w:rsidRPr="002F54C8" w:rsidP="002F54C8">
      <w:pPr>
        <w:pStyle w:val="ListBullet2"/>
      </w:pPr>
      <w:r w:rsidRPr="002F54C8">
        <w:t>use of anchor bolts in preformed pockets</w:t>
      </w:r>
    </w:p>
    <w:p w:rsidR="00000000" w:rsidRPr="002F54C8" w:rsidP="002F54C8">
      <w:pPr>
        <w:pStyle w:val="ListBullet2"/>
      </w:pPr>
      <w:r w:rsidRPr="002F54C8">
        <w:t>formwork installation</w:t>
      </w:r>
    </w:p>
    <w:p w:rsidR="00000000" w:rsidRPr="002F54C8" w:rsidP="002F54C8">
      <w:pPr>
        <w:pStyle w:val="ListBullet2"/>
      </w:pPr>
      <w:r w:rsidRPr="002F54C8">
        <w:t>pre-soaking the substrate when us</w:t>
      </w:r>
      <w:r w:rsidRPr="002F54C8">
        <w:t>ing cement-based grout</w:t>
      </w:r>
    </w:p>
    <w:p w:rsidR="00000000" w:rsidRPr="002F54C8" w:rsidP="002F54C8">
      <w:pPr>
        <w:pStyle w:val="ListBullet2"/>
      </w:pPr>
      <w:r w:rsidRPr="002F54C8">
        <w:t xml:space="preserve">use of suitable equipment to mix the grout to dry pack or trowelable consistency </w:t>
      </w:r>
    </w:p>
    <w:p w:rsidR="00000000" w:rsidRPr="002F54C8" w:rsidP="002F54C8">
      <w:pPr>
        <w:pStyle w:val="ListBullet2"/>
      </w:pPr>
      <w:r w:rsidRPr="002F54C8">
        <w:t>shrinkage</w:t>
      </w:r>
    </w:p>
    <w:p w:rsidR="00000000" w:rsidRPr="002F54C8" w:rsidP="002F54C8">
      <w:pPr>
        <w:pStyle w:val="ListBullet2"/>
      </w:pPr>
      <w:r w:rsidRPr="002F54C8">
        <w:t>placement of grout</w:t>
      </w:r>
    </w:p>
    <w:p w:rsidR="00000000" w:rsidRPr="002F54C8" w:rsidP="002F54C8">
      <w:pPr>
        <w:pStyle w:val="ListBullet2"/>
      </w:pPr>
      <w:r w:rsidRPr="002F54C8">
        <w:t xml:space="preserve">curing and protecting the grout to prevent loss of moisture which could lead to shrinkage and loss of strength </w:t>
      </w:r>
    </w:p>
    <w:p w:rsidR="00000000" w:rsidRPr="002F54C8" w:rsidP="002F54C8">
      <w:pPr>
        <w:pStyle w:val="ListBullet"/>
      </w:pPr>
      <w:r w:rsidRPr="002F54C8">
        <w:t>grouting requirements, including:</w:t>
      </w:r>
    </w:p>
    <w:p w:rsidR="00000000" w:rsidRPr="002F54C8" w:rsidP="002F54C8">
      <w:pPr>
        <w:pStyle w:val="ListBullet2"/>
      </w:pPr>
      <w:r w:rsidRPr="002F54C8">
        <w:t xml:space="preserve">use of pre-packaged, dry powder blend of cements, graded fillers and chemical additives of proprietary grout  </w:t>
      </w:r>
    </w:p>
    <w:p w:rsidR="00000000" w:rsidRPr="002F54C8" w:rsidP="002F54C8">
      <w:pPr>
        <w:pStyle w:val="ListBullet2"/>
      </w:pPr>
      <w:r w:rsidRPr="002F54C8">
        <w:t>mixing with clean water to required consistency according to manufacturer specifications</w:t>
      </w:r>
    </w:p>
    <w:p w:rsidR="00000000" w:rsidRPr="002F54C8" w:rsidP="002F54C8">
      <w:pPr>
        <w:pStyle w:val="ListBullet2"/>
      </w:pPr>
      <w:r w:rsidRPr="002F54C8">
        <w:t>fluid consistency for</w:t>
      </w:r>
      <w:r w:rsidRPr="002F54C8">
        <w:t xml:space="preserve"> application</w:t>
      </w:r>
    </w:p>
    <w:p w:rsidR="00000000" w:rsidRPr="002F54C8" w:rsidP="002F54C8">
      <w:pPr>
        <w:pStyle w:val="ListBullet"/>
      </w:pPr>
      <w:r w:rsidRPr="002F54C8">
        <w:t>grouting tool types and their purpose, including:</w:t>
      </w:r>
    </w:p>
    <w:p w:rsidR="00000000" w:rsidRPr="002F54C8" w:rsidP="002F54C8">
      <w:pPr>
        <w:pStyle w:val="ListBullet2"/>
      </w:pPr>
      <w:r w:rsidRPr="002F54C8">
        <w:t>wire brush</w:t>
      </w:r>
    </w:p>
    <w:p w:rsidR="00000000" w:rsidRPr="002F54C8" w:rsidP="002F54C8">
      <w:pPr>
        <w:pStyle w:val="ListBullet2"/>
      </w:pPr>
      <w:r w:rsidRPr="002F54C8">
        <w:t>soft brush</w:t>
      </w:r>
    </w:p>
    <w:p w:rsidR="00000000" w:rsidRPr="002F54C8" w:rsidP="002F54C8">
      <w:pPr>
        <w:pStyle w:val="ListBullet2"/>
      </w:pPr>
      <w:r w:rsidRPr="002F54C8">
        <w:t>scraper</w:t>
      </w:r>
    </w:p>
    <w:p w:rsidR="00000000" w:rsidRPr="002F54C8" w:rsidP="002F54C8">
      <w:pPr>
        <w:pStyle w:val="ListBullet2"/>
      </w:pPr>
      <w:r w:rsidRPr="002F54C8">
        <w:t>sander/grinder</w:t>
      </w:r>
    </w:p>
    <w:p w:rsidR="00000000" w:rsidRPr="002F54C8" w:rsidP="002F54C8">
      <w:pPr>
        <w:pStyle w:val="ListBullet2"/>
      </w:pPr>
      <w:r w:rsidRPr="002F54C8">
        <w:t>spatula</w:t>
      </w:r>
    </w:p>
    <w:p w:rsidR="00000000" w:rsidRPr="002F54C8" w:rsidP="002F54C8">
      <w:pPr>
        <w:pStyle w:val="ListBullet2"/>
      </w:pPr>
      <w:r w:rsidRPr="002F54C8">
        <w:t>roller</w:t>
      </w:r>
    </w:p>
    <w:p w:rsidR="00000000" w:rsidRPr="002F54C8" w:rsidP="002F54C8">
      <w:pPr>
        <w:pStyle w:val="ListBullet2"/>
      </w:pPr>
      <w:r w:rsidRPr="002F54C8">
        <w:t>putty knife</w:t>
      </w:r>
    </w:p>
    <w:p w:rsidR="00000000" w:rsidRPr="002F54C8" w:rsidP="002F54C8">
      <w:pPr>
        <w:pStyle w:val="ListBullet2"/>
      </w:pPr>
      <w:r w:rsidRPr="002F54C8">
        <w:t>grouting gun</w:t>
      </w:r>
    </w:p>
    <w:p w:rsidR="00000000" w:rsidRPr="002F54C8" w:rsidP="002F54C8">
      <w:pPr>
        <w:pStyle w:val="ListBullet2"/>
      </w:pPr>
      <w:r w:rsidRPr="002F54C8">
        <w:t>power leads</w:t>
      </w:r>
    </w:p>
    <w:p w:rsidR="00000000" w:rsidRPr="002F54C8" w:rsidP="002F54C8">
      <w:pPr>
        <w:pStyle w:val="ListBullet2"/>
      </w:pPr>
      <w:r w:rsidRPr="002F54C8">
        <w:t xml:space="preserve">testing equipment (moisture meter) </w:t>
      </w:r>
    </w:p>
    <w:p w:rsidR="00000000" w:rsidRPr="002F54C8" w:rsidP="002F54C8">
      <w:pPr>
        <w:pStyle w:val="ListBullet"/>
      </w:pPr>
      <w:r w:rsidRPr="002F54C8">
        <w:t>workplace requi</w:t>
      </w:r>
      <w:r w:rsidRPr="002F54C8">
        <w:t>rements for grouting prefabricated concrete elements:</w:t>
      </w:r>
    </w:p>
    <w:p w:rsidR="00000000" w:rsidRPr="002F54C8" w:rsidP="002F54C8">
      <w:pPr>
        <w:pStyle w:val="ListBullet2"/>
      </w:pPr>
      <w:r w:rsidRPr="002F54C8">
        <w:t>cleaning up the work area</w:t>
      </w:r>
    </w:p>
    <w:p w:rsidR="00000000" w:rsidRPr="002F54C8" w:rsidP="002F54C8">
      <w:pPr>
        <w:pStyle w:val="ListBullet2"/>
      </w:pPr>
      <w:r w:rsidRPr="002F54C8">
        <w:t>maintaining and storing plant, labelling, tools and equipment</w:t>
      </w:r>
    </w:p>
    <w:p w:rsidR="00000000" w:rsidRPr="002F54C8" w:rsidP="002F54C8">
      <w:pPr>
        <w:pStyle w:val="ListBullet2"/>
      </w:pPr>
      <w:r w:rsidRPr="002F54C8">
        <w:t>reporting problems</w:t>
      </w:r>
    </w:p>
    <w:p w:rsidR="00000000" w:rsidRPr="002F54C8" w:rsidP="002F54C8">
      <w:pPr>
        <w:pStyle w:val="ListBullet2"/>
      </w:pPr>
      <w:r w:rsidRPr="002F54C8">
        <w:t>quality</w:t>
      </w:r>
    </w:p>
    <w:p w:rsidR="00000000" w:rsidRPr="002F54C8" w:rsidP="002F54C8">
      <w:pPr>
        <w:pStyle w:val="ListBullet"/>
      </w:pPr>
      <w:r w:rsidRPr="002F54C8">
        <w:t>terminology used for grouting</w:t>
      </w:r>
    </w:p>
    <w:p w:rsidR="00000000" w:rsidRPr="002F54C8" w:rsidP="002F54C8">
      <w:pPr>
        <w:pStyle w:val="ListBullet"/>
      </w:pPr>
      <w:r w:rsidRPr="002F54C8">
        <w:t xml:space="preserve">specifications used for grouting </w:t>
      </w:r>
    </w:p>
    <w:p w:rsidR="00000000" w:rsidRPr="002F54C8" w:rsidP="002F54C8">
      <w:pPr>
        <w:pStyle w:val="ListBullet"/>
      </w:pPr>
      <w:r w:rsidRPr="002F54C8">
        <w:t>fire rating requireme</w:t>
      </w:r>
      <w:r w:rsidRPr="002F54C8">
        <w:t xml:space="preserve">nts relevant to prefabricated concrete element rectification </w:t>
      </w:r>
    </w:p>
    <w:p w:rsidR="00000000" w:rsidRPr="002F54C8" w:rsidP="002F54C8">
      <w:pPr>
        <w:pStyle w:val="ListBullet"/>
      </w:pPr>
      <w:r w:rsidRPr="002F54C8">
        <w:t xml:space="preserve">workplace procedures related to communication protocols </w:t>
      </w:r>
    </w:p>
    <w:p w:rsidR="00000000" w:rsidRPr="002F54C8" w:rsidP="002F54C8">
      <w:pPr>
        <w:pStyle w:val="ListBullet"/>
      </w:pPr>
      <w:r w:rsidRPr="002F54C8">
        <w:t>problems associated with the use of donuts</w:t>
      </w:r>
    </w:p>
    <w:p w:rsidR="00000000" w:rsidRPr="002F54C8" w:rsidP="002F54C8">
      <w:pPr>
        <w:pStyle w:val="ListBullet"/>
      </w:pPr>
      <w:r w:rsidRPr="002F54C8">
        <w:t xml:space="preserve">principles of sustainability relevant to material reuse </w:t>
      </w:r>
    </w:p>
    <w:p w:rsidR="00000000" w:rsidRPr="002F54C8" w:rsidP="002F54C8">
      <w:pPr>
        <w:pStyle w:val="ListBullet"/>
      </w:pPr>
      <w:r w:rsidRPr="002F54C8">
        <w:t xml:space="preserve">work planning and logical task sequencing </w:t>
      </w:r>
    </w:p>
    <w:p w:rsidR="00000000" w:rsidRPr="002F54C8" w:rsidP="002F54C8">
      <w:pPr>
        <w:pStyle w:val="ListBullet"/>
      </w:pPr>
      <w:r w:rsidRPr="002F54C8">
        <w:t xml:space="preserve">types of concrete surface variables that reduce optimal sealant adhesion </w:t>
      </w:r>
    </w:p>
    <w:p w:rsidR="00000000" w:rsidRPr="002F54C8" w:rsidP="002F54C8">
      <w:pPr>
        <w:pStyle w:val="ListBullet"/>
      </w:pPr>
      <w:r w:rsidRPr="002F54C8">
        <w:t>prefabricated concrete release agent residue</w:t>
      </w:r>
    </w:p>
    <w:p w:rsidR="00000000" w:rsidRPr="002F54C8" w:rsidP="002F54C8">
      <w:pPr>
        <w:pStyle w:val="ListBullet"/>
      </w:pPr>
      <w:r w:rsidRPr="002F54C8">
        <w:t>laitance</w:t>
      </w:r>
    </w:p>
    <w:p w:rsidR="00000000" w:rsidRPr="002F54C8" w:rsidP="002F54C8">
      <w:pPr>
        <w:pStyle w:val="ListBullet"/>
      </w:pPr>
      <w:r w:rsidRPr="002F54C8">
        <w:t xml:space="preserve">dirt and dust </w:t>
      </w:r>
    </w:p>
    <w:p w:rsidR="00000000" w:rsidRPr="002F54C8" w:rsidP="002F54C8">
      <w:pPr>
        <w:pStyle w:val="ListBullet"/>
      </w:pPr>
      <w:r w:rsidRPr="002F54C8">
        <w:t xml:space="preserve">processes for calculating material measurements and quantities. </w:t>
      </w:r>
    </w:p>
    <w:p w:rsidR="00000000" w:rsidRPr="002F54C8" w:rsidP="002F54C8">
      <w:pPr>
        <w:pStyle w:val="AllowPageBreak"/>
      </w:pPr>
    </w:p>
    <w:p w:rsidR="00000000" w:rsidRPr="002F54C8" w:rsidP="002F54C8">
      <w:pPr>
        <w:pStyle w:val="Heading1"/>
      </w:pPr>
      <w:bookmarkStart w:id="4" w:name="O_1260677"/>
      <w:bookmarkEnd w:id="4"/>
      <w:r w:rsidRPr="002F54C8">
        <w:t>Assessment Conditions</w:t>
      </w:r>
    </w:p>
    <w:p w:rsidR="00000000" w:rsidRPr="002F54C8" w:rsidP="00FE1257">
      <w:pPr>
        <w:pStyle w:val="BodyText"/>
      </w:pPr>
      <w:r w:rsidRPr="002F54C8">
        <w:t>Assessors must meet the requirements for assessors contained in the Standards for Registered Training Organisations.</w:t>
      </w:r>
    </w:p>
    <w:p w:rsidR="00000000" w:rsidRPr="002F54C8" w:rsidP="00FE1257">
      <w:pPr>
        <w:pStyle w:val="BodyText"/>
      </w:pPr>
      <w:r w:rsidRPr="002F54C8">
        <w:t>Assessment must be conducted in the workplace or a simulated workplace using realistic conditions, mate</w:t>
      </w:r>
      <w:r w:rsidRPr="002F54C8">
        <w:t>rials, activities, responsibilities, procedures, safety requirements and environmental considerations.</w:t>
      </w:r>
    </w:p>
    <w:p w:rsidR="00000000" w:rsidRPr="002F54C8" w:rsidP="00FE1257">
      <w:pPr>
        <w:pStyle w:val="BodyText"/>
      </w:pPr>
      <w:r w:rsidRPr="002F54C8">
        <w:t>Candidates must have access to erection design documentation, material data sheets, materials, manufacturer specifications, plant, tools and equipment re</w:t>
      </w:r>
      <w:r w:rsidRPr="002F54C8">
        <w:t>quired to achieve the performance evidence.</w:t>
      </w:r>
    </w:p>
    <w:p w:rsidR="00000000" w:rsidRPr="002F54C8" w:rsidP="002F54C8">
      <w:pPr>
        <w:pStyle w:val="Heading1"/>
      </w:pPr>
      <w:bookmarkStart w:id="5" w:name="O_1260675"/>
      <w:bookmarkEnd w:id="5"/>
      <w:r w:rsidRPr="002F54C8">
        <w:t>Links</w:t>
      </w:r>
    </w:p>
    <w:p w:rsidR="00000000" w:rsidRPr="002F54C8" w:rsidP="00FE1257">
      <w:pPr>
        <w:pStyle w:val="BodyText"/>
      </w:pPr>
      <w:r w:rsidRPr="002F54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A354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F54C8" w:rsidP="002F54C8"/>
    <w:sectPr w:rsidSect="002F5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4C8" w:rsidRPr="00FE1257" w:rsidP="00FE1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57" w:rsidP="002F5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257" w:rsidP="002F5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E1257" w:rsidP="002F5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4C8" w:rsidRPr="00FE1257" w:rsidP="00FE1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57" w:rsidRPr="002D2AF8" w:rsidP="002F5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CPCPRE2003 Grout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E1257" w:rsidP="002F5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CA6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96C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90E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4C8"/>
  </w:style>
  <w:style w:type="character" w:customStyle="1" w:styleId="Heading1Char">
    <w:name w:val="Heading 1 Char"/>
    <w:basedOn w:val="DefaultParagraphFont"/>
    <w:link w:val="Heading1"/>
    <w:rsid w:val="002F5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4C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54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54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5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54C8"/>
    <w:rPr>
      <w:b/>
      <w:spacing w:val="0"/>
    </w:rPr>
  </w:style>
  <w:style w:type="paragraph" w:customStyle="1" w:styleId="SuperTitle">
    <w:name w:val="SuperTitle"/>
    <w:basedOn w:val="Title"/>
    <w:rsid w:val="002F5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4C8"/>
    <w:rPr>
      <w:i/>
    </w:rPr>
  </w:style>
  <w:style w:type="paragraph" w:styleId="Caption">
    <w:name w:val="caption"/>
    <w:basedOn w:val="BodyText"/>
    <w:next w:val="Normal"/>
    <w:qFormat/>
    <w:rsid w:val="002F5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4C8"/>
  </w:style>
  <w:style w:type="paragraph" w:styleId="TableofFigures">
    <w:name w:val="table of figures"/>
    <w:basedOn w:val="Normal"/>
    <w:next w:val="Normal"/>
    <w:semiHidden/>
    <w:rsid w:val="002F5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4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54C8"/>
    <w:rPr>
      <w:rFonts w:ascii="Wingdings" w:hAnsi="Wingdings"/>
    </w:rPr>
  </w:style>
  <w:style w:type="paragraph" w:customStyle="1" w:styleId="TableHeading">
    <w:name w:val="Table Heading"/>
    <w:basedOn w:val="HeadingBase"/>
    <w:rsid w:val="002F5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4C8"/>
    <w:rPr>
      <w:color w:val="0033CC"/>
      <w:u w:val="none"/>
    </w:rPr>
  </w:style>
  <w:style w:type="paragraph" w:customStyle="1" w:styleId="BodyTextRight">
    <w:name w:val="Body Text Right"/>
    <w:basedOn w:val="BodyText"/>
    <w:rsid w:val="002F5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4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4C8"/>
    <w:rPr>
      <w:sz w:val="32"/>
    </w:rPr>
  </w:style>
  <w:style w:type="paragraph" w:customStyle="1" w:styleId="HeadingProcedure">
    <w:name w:val="Heading Procedure"/>
    <w:basedOn w:val="HeadingBase"/>
    <w:next w:val="Normal"/>
    <w:rsid w:val="002F5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4C8"/>
    <w:pPr>
      <w:spacing w:before="60" w:after="60"/>
    </w:pPr>
  </w:style>
  <w:style w:type="paragraph" w:styleId="ListContinue">
    <w:name w:val="List Continue"/>
    <w:basedOn w:val="List"/>
    <w:rsid w:val="002F54C8"/>
    <w:pPr>
      <w:ind w:firstLine="0"/>
    </w:pPr>
  </w:style>
  <w:style w:type="paragraph" w:customStyle="1" w:styleId="ListNote">
    <w:name w:val="List Note"/>
    <w:basedOn w:val="List"/>
    <w:rsid w:val="002F5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4C8"/>
    <w:rPr>
      <w:rFonts w:ascii="Courier New" w:hAnsi="Courier New"/>
    </w:rPr>
  </w:style>
  <w:style w:type="paragraph" w:customStyle="1" w:styleId="NoteBullet">
    <w:name w:val="Note Bullet"/>
    <w:basedOn w:val="Note"/>
    <w:rsid w:val="002F5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4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5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4C8"/>
    <w:rPr>
      <w:b/>
      <w:smallCaps/>
    </w:rPr>
  </w:style>
  <w:style w:type="paragraph" w:customStyle="1" w:styleId="TableListNumber">
    <w:name w:val="Table List Number"/>
    <w:basedOn w:val="ListNumber"/>
    <w:rsid w:val="002F5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4C8"/>
    <w:pPr>
      <w:numPr>
        <w:numId w:val="10"/>
      </w:numPr>
    </w:pPr>
  </w:style>
  <w:style w:type="paragraph" w:customStyle="1" w:styleId="ListAlpha2">
    <w:name w:val="List Alpha 2"/>
    <w:basedOn w:val="List2"/>
    <w:rsid w:val="002F54C8"/>
    <w:pPr>
      <w:numPr>
        <w:numId w:val="9"/>
      </w:numPr>
    </w:pPr>
  </w:style>
  <w:style w:type="paragraph" w:styleId="List2">
    <w:name w:val="List 2"/>
    <w:basedOn w:val="BodyText"/>
    <w:rsid w:val="002F5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4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54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54C8"/>
    <w:pPr>
      <w:numPr>
        <w:numId w:val="5"/>
      </w:numPr>
    </w:pPr>
  </w:style>
  <w:style w:type="paragraph" w:styleId="ListContinue2">
    <w:name w:val="List Continue 2"/>
    <w:basedOn w:val="List2"/>
    <w:rsid w:val="002F54C8"/>
    <w:pPr>
      <w:ind w:firstLine="0"/>
    </w:pPr>
  </w:style>
  <w:style w:type="paragraph" w:styleId="ListContinue3">
    <w:name w:val="List Continue 3"/>
    <w:basedOn w:val="List3"/>
    <w:rsid w:val="002F54C8"/>
    <w:pPr>
      <w:ind w:left="1021" w:firstLine="0"/>
    </w:pPr>
  </w:style>
  <w:style w:type="paragraph" w:styleId="ListContinue4">
    <w:name w:val="List Continue 4"/>
    <w:basedOn w:val="List4"/>
    <w:rsid w:val="002F54C8"/>
    <w:pPr>
      <w:ind w:firstLine="0"/>
    </w:pPr>
  </w:style>
  <w:style w:type="paragraph" w:styleId="ListContinue5">
    <w:name w:val="List Continue 5"/>
    <w:basedOn w:val="List5"/>
    <w:rsid w:val="002F54C8"/>
    <w:pPr>
      <w:ind w:firstLine="0"/>
    </w:pPr>
  </w:style>
  <w:style w:type="paragraph" w:styleId="ListNumber3">
    <w:name w:val="List Number 3"/>
    <w:basedOn w:val="List3"/>
    <w:rsid w:val="002F54C8"/>
    <w:pPr>
      <w:numPr>
        <w:numId w:val="6"/>
      </w:numPr>
    </w:pPr>
  </w:style>
  <w:style w:type="paragraph" w:styleId="ListNumber4">
    <w:name w:val="List Number 4"/>
    <w:basedOn w:val="List4"/>
    <w:rsid w:val="002F54C8"/>
    <w:pPr>
      <w:numPr>
        <w:numId w:val="7"/>
      </w:numPr>
    </w:pPr>
  </w:style>
  <w:style w:type="paragraph" w:styleId="ListNumber5">
    <w:name w:val="List Number 5"/>
    <w:basedOn w:val="List5"/>
    <w:rsid w:val="002F54C8"/>
    <w:pPr>
      <w:numPr>
        <w:numId w:val="8"/>
      </w:numPr>
    </w:pPr>
  </w:style>
  <w:style w:type="paragraph" w:styleId="BlockText">
    <w:name w:val="Block Text"/>
    <w:basedOn w:val="Normal"/>
    <w:rsid w:val="002F5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4C8"/>
    <w:rPr>
      <w:sz w:val="16"/>
      <w:vertAlign w:val="superscript"/>
    </w:rPr>
  </w:style>
  <w:style w:type="character" w:customStyle="1" w:styleId="Symbols">
    <w:name w:val="Symbols"/>
    <w:basedOn w:val="DefaultParagraphFont"/>
    <w:rsid w:val="002F54C8"/>
    <w:rPr>
      <w:rFonts w:ascii="Symbol" w:hAnsi="Symbol"/>
    </w:rPr>
  </w:style>
  <w:style w:type="character" w:customStyle="1" w:styleId="MenuOptions">
    <w:name w:val="Menu Options"/>
    <w:basedOn w:val="DefaultParagraphFont"/>
    <w:rsid w:val="002F5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4C8"/>
    <w:rPr>
      <w:b/>
    </w:rPr>
  </w:style>
  <w:style w:type="character" w:customStyle="1" w:styleId="Underlined">
    <w:name w:val="Underlined"/>
    <w:basedOn w:val="DefaultParagraphFont"/>
    <w:rsid w:val="002F54C8"/>
    <w:rPr>
      <w:u w:val="single"/>
    </w:rPr>
  </w:style>
  <w:style w:type="paragraph" w:customStyle="1" w:styleId="TableBodyTextRight">
    <w:name w:val="Table Body Text Right"/>
    <w:basedOn w:val="TableBodyText"/>
    <w:rsid w:val="002F5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4C8"/>
    <w:rPr>
      <w:sz w:val="18"/>
    </w:rPr>
  </w:style>
  <w:style w:type="paragraph" w:customStyle="1" w:styleId="BodySmallRight">
    <w:name w:val="Body Small Right"/>
    <w:basedOn w:val="BodyTextRight"/>
    <w:rsid w:val="002F54C8"/>
    <w:rPr>
      <w:sz w:val="18"/>
      <w:szCs w:val="18"/>
    </w:rPr>
  </w:style>
  <w:style w:type="paragraph" w:customStyle="1" w:styleId="MarginEdition">
    <w:name w:val="Margin Edition"/>
    <w:basedOn w:val="MarginNote"/>
    <w:rsid w:val="002F5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4C8"/>
    <w:rPr>
      <w:sz w:val="2"/>
      <w:szCs w:val="2"/>
    </w:rPr>
  </w:style>
  <w:style w:type="character" w:customStyle="1" w:styleId="Small">
    <w:name w:val="Small"/>
    <w:basedOn w:val="DefaultParagraphFont"/>
    <w:rsid w:val="002F54C8"/>
    <w:rPr>
      <w:sz w:val="16"/>
    </w:rPr>
  </w:style>
  <w:style w:type="paragraph" w:customStyle="1" w:styleId="WideTable">
    <w:name w:val="Wide Table"/>
    <w:basedOn w:val="Normal"/>
    <w:rsid w:val="002F5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4C8"/>
  </w:style>
  <w:style w:type="paragraph" w:styleId="Quote">
    <w:name w:val="Quote"/>
    <w:basedOn w:val="Heading1"/>
    <w:link w:val="QuoteChar"/>
    <w:qFormat/>
    <w:rsid w:val="002F5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4C8"/>
    <w:pPr>
      <w:pageBreakBefore/>
    </w:pPr>
  </w:style>
  <w:style w:type="paragraph" w:customStyle="1" w:styleId="Border">
    <w:name w:val="Border"/>
    <w:basedOn w:val="Normal"/>
    <w:qFormat/>
    <w:rsid w:val="002F5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4C8"/>
    <w:rPr>
      <w:u w:val="single"/>
    </w:rPr>
  </w:style>
  <w:style w:type="character" w:customStyle="1" w:styleId="BoldandItalics">
    <w:name w:val="Bold and Italics"/>
    <w:qFormat/>
    <w:rsid w:val="002F54C8"/>
    <w:rPr>
      <w:b/>
      <w:i/>
      <w:u w:val="none"/>
    </w:rPr>
  </w:style>
  <w:style w:type="paragraph" w:styleId="BalloonText">
    <w:name w:val="Balloon Text"/>
    <w:basedOn w:val="Normal"/>
    <w:link w:val="BalloonTextChar"/>
    <w:rsid w:val="002F5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4C8"/>
    <w:pPr>
      <w:spacing w:before="0" w:after="0"/>
    </w:pPr>
  </w:style>
  <w:style w:type="paragraph" w:customStyle="1" w:styleId="BodyTextBold">
    <w:name w:val="Body Text Bold"/>
    <w:basedOn w:val="BodyText"/>
    <w:qFormat/>
    <w:rsid w:val="002F54C8"/>
    <w:rPr>
      <w:b/>
    </w:rPr>
  </w:style>
  <w:style w:type="character" w:styleId="Hyperlink">
    <w:name w:val="Hyperlink"/>
    <w:basedOn w:val="DefaultParagraphFont"/>
    <w:uiPriority w:val="99"/>
    <w:unhideWhenUsed/>
    <w:rsid w:val="00FE1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3782</Characters>
  <Application>Microsoft Office Word</Application>
  <DocSecurity>0</DocSecurity>
  <Lines>111</Lines>
  <Paragraphs>94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CPCPRE2003 Grout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