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D5D" w:rsidP="00452D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CPCPRE2002 Remove temporary supports from prefabricated concrete elements</w:t>
      </w:r>
      <w:r>
        <w:fldChar w:fldCharType="end"/>
      </w:r>
    </w:p>
    <w:p w:rsidR="00452D5D" w:rsidP="00452D5D">
      <w:pPr>
        <w:pStyle w:val="Version"/>
        <w:sectPr w:rsidSect="004B7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C0B" w:rsidP="004B7C0B">
      <w:pPr>
        <w:pStyle w:val="SuperHeading"/>
      </w:pPr>
      <w:r w:rsidRPr="004B7C0B">
        <w:t>CPCPRE2002 Remove temporary supports from prefabricated concrete elements</w:t>
      </w:r>
    </w:p>
    <w:p w:rsidR="00000000" w:rsidRPr="004B7C0B" w:rsidP="004B7C0B">
      <w:pPr>
        <w:pStyle w:val="Heading1"/>
      </w:pPr>
      <w:bookmarkStart w:id="1" w:name="O_1260663"/>
      <w:bookmarkEnd w:id="1"/>
      <w:r w:rsidRPr="004B7C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0B" w:rsidP="004B7C0B">
            <w:pPr>
              <w:pStyle w:val="BodyText"/>
            </w:pPr>
            <w:r w:rsidRPr="004B7C0B">
              <w:t>This version first released with CPC Construction, Plumbing and Services Training Package Release 9.0.</w:t>
            </w:r>
          </w:p>
          <w:p w:rsidR="00000000" w:rsidRPr="004B7C0B" w:rsidP="004B7C0B">
            <w:pPr>
              <w:pStyle w:val="BodyText"/>
            </w:pPr>
            <w:r w:rsidRPr="004B7C0B">
              <w:t>Newly created unit.</w:t>
            </w:r>
          </w:p>
        </w:tc>
      </w:tr>
    </w:tbl>
    <w:p w:rsidR="00000000" w:rsidRPr="004B7C0B" w:rsidP="004B7C0B">
      <w:pPr>
        <w:pStyle w:val="BodyText"/>
      </w:pPr>
    </w:p>
    <w:p w:rsidR="00000000" w:rsidRPr="004B7C0B" w:rsidP="004B7C0B">
      <w:pPr>
        <w:pStyle w:val="AllowPageBreak"/>
      </w:pPr>
    </w:p>
    <w:p w:rsidR="00000000" w:rsidRPr="004B7C0B" w:rsidP="004B7C0B">
      <w:pPr>
        <w:pStyle w:val="Heading1"/>
      </w:pPr>
      <w:bookmarkStart w:id="2" w:name="O_1260669"/>
      <w:bookmarkEnd w:id="2"/>
      <w:r w:rsidRPr="004B7C0B">
        <w:t>Application</w:t>
      </w:r>
    </w:p>
    <w:p w:rsidR="00000000" w:rsidRPr="004B7C0B" w:rsidP="00452D5D">
      <w:pPr>
        <w:pStyle w:val="BodyText"/>
      </w:pPr>
      <w:r w:rsidRPr="004B7C0B">
        <w:t xml:space="preserve">This unit of competency specifies the skills and knowledge required to remove temporary bracing and propping supports from prefabricated concrete elements. It requires using appropriate tools, equipment, materials and working </w:t>
      </w:r>
      <w:r w:rsidRPr="004B7C0B">
        <w:t>in a team environment to remove temporary supports.</w:t>
      </w:r>
    </w:p>
    <w:p w:rsidR="00000000" w:rsidRPr="004B7C0B" w:rsidP="00452D5D">
      <w:pPr>
        <w:pStyle w:val="BodyText"/>
      </w:pPr>
      <w:r w:rsidRPr="004B7C0B">
        <w:t>A person who has achieved this unit of competency would be expected to follow safety regulations and relevant specifications.</w:t>
      </w:r>
    </w:p>
    <w:p w:rsidR="00000000" w:rsidRPr="004B7C0B" w:rsidP="00452D5D">
      <w:pPr>
        <w:pStyle w:val="BodyText"/>
      </w:pPr>
      <w:r w:rsidRPr="004B7C0B">
        <w:t>Completion of the general construction induction training program, specified i</w:t>
      </w:r>
      <w:r w:rsidRPr="004B7C0B">
        <w:t>n the Safe Work Australia model Code of Practice: Construction Work, is required by anyone carrying out construction work. Achievement of CPCWHS1001 Prepare to work safely in the construction industry meets this requirement.</w:t>
      </w:r>
    </w:p>
    <w:p w:rsidR="00000000" w:rsidRPr="004B7C0B" w:rsidP="00452D5D">
      <w:pPr>
        <w:pStyle w:val="BodyText"/>
      </w:pPr>
      <w:r w:rsidRPr="004B7C0B">
        <w:t>Licensing, legislative, regulat</w:t>
      </w:r>
      <w:r w:rsidRPr="004B7C0B">
        <w:t>ory or certification requirements apply to this unit of competency in some states and territories. For further information, check with the relevant regulatory authority.</w:t>
      </w:r>
    </w:p>
    <w:p w:rsidR="00000000" w:rsidRPr="004B7C0B" w:rsidP="004B7C0B">
      <w:pPr>
        <w:pStyle w:val="Heading1"/>
      </w:pPr>
      <w:bookmarkStart w:id="3" w:name="O_1260668"/>
      <w:bookmarkEnd w:id="3"/>
      <w:r w:rsidRPr="004B7C0B">
        <w:t>Pre-requisite Unit</w:t>
      </w:r>
    </w:p>
    <w:p w:rsidR="00000000" w:rsidRPr="004B7C0B" w:rsidP="00452D5D">
      <w:pPr>
        <w:pStyle w:val="BodyText"/>
      </w:pPr>
      <w:r w:rsidRPr="004B7C0B">
        <w:t xml:space="preserve">CPCCWHS2001 Apply WHS requirements policies and </w:t>
      </w:r>
      <w:r w:rsidRPr="004B7C0B">
        <w:t>procedures in the construction industry</w:t>
      </w:r>
    </w:p>
    <w:p w:rsidR="00000000" w:rsidRPr="004B7C0B" w:rsidP="004B7C0B">
      <w:pPr>
        <w:pStyle w:val="Heading1"/>
      </w:pPr>
      <w:bookmarkStart w:id="4" w:name="O_1260667"/>
      <w:bookmarkEnd w:id="4"/>
      <w:r w:rsidRPr="004B7C0B">
        <w:t>Unit Sector</w:t>
      </w:r>
    </w:p>
    <w:p w:rsidR="00000000" w:rsidRPr="004B7C0B" w:rsidP="00452D5D">
      <w:pPr>
        <w:pStyle w:val="BodyText"/>
      </w:pPr>
      <w:r w:rsidRPr="004B7C0B">
        <w:t>Prefabricated concrete</w:t>
      </w:r>
    </w:p>
    <w:p w:rsidR="00000000" w:rsidRPr="004B7C0B" w:rsidP="004B7C0B">
      <w:pPr>
        <w:pStyle w:val="Heading1"/>
      </w:pPr>
      <w:bookmarkStart w:id="5" w:name="O_1260666"/>
      <w:bookmarkEnd w:id="5"/>
      <w:r w:rsidRPr="004B7C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8"/>
        <w:gridCol w:w="2356"/>
        <w:gridCol w:w="804"/>
        <w:gridCol w:w="5655"/>
      </w:tblGrid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Elements describe the essential outcomes.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Performance criteria describe what needs to be done to demonstrate achievement of the element.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1.</w:t>
            </w:r>
          </w:p>
        </w:tc>
        <w:tc>
          <w:tcPr>
            <w:tcW w:w="23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Access the requirements to remove temporary supports from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1.1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Check the erection design documentation, review task specific</w:t>
            </w:r>
            <w:r w:rsidRPr="004B7C0B">
              <w:t xml:space="preserve">ations and seek written approval of the project design engineer for the removal of temporary supports from relevant personnel. 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1.2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Review work health and safety (WHS) requirements for the task in accordance with safety plans and policies.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1.3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 xml:space="preserve">Conduct working at heights risk assessment and follow appropriate WHS processes. 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1.4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Identify safety signage and barricade requirements.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1.5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Review environmental requirements for the task in accordance with environmental plans and legislative requir</w:t>
            </w:r>
            <w:r w:rsidRPr="004B7C0B">
              <w:t>ements.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1.6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Access plant, tools and equipment required to carry out task.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1.7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Verify the location of prefabricated concrete elements in accordance with design documentation.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2.</w:t>
            </w:r>
          </w:p>
        </w:tc>
        <w:tc>
          <w:tcPr>
            <w:tcW w:w="23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Prepare to remove temporary supports from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2.1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Erect identified safety signage and barricade requirements, and fit personal protective equipment (PPE).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2.2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Obtain plant, tools, equipment, check for serviceability and rectify or report any faults.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2.3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Ensure the structural work is complete and that written approval from the in-service design engineer has been obtained so that removal of temporary supports c</w:t>
            </w:r>
            <w:r w:rsidRPr="004B7C0B">
              <w:t xml:space="preserve">an commence.  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3.</w:t>
            </w:r>
          </w:p>
        </w:tc>
        <w:tc>
          <w:tcPr>
            <w:tcW w:w="23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Conduct the removal of temporary supports from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3.1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Review the approved removal plan and access information on job sequencing and team roles.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3.2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Assemble and erect lifting/handling devices for movement of loads.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3.3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 xml:space="preserve">Follow load slinging and shifting requirements and conduct removal activity in accordance with erection design documentation, job safety and environmental </w:t>
            </w:r>
            <w:r w:rsidRPr="004B7C0B">
              <w:t xml:space="preserve">analysis (JSEA) and safe work method statement </w:t>
            </w:r>
            <w:r w:rsidRPr="004B7C0B">
              <w:t>(SWMS).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3.4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Maintain stability of the braces and props during lifting and transportation.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3.5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Systematically remove braces and associated parts from prefabricated concrete elements and footings in accord</w:t>
            </w:r>
            <w:r w:rsidRPr="004B7C0B">
              <w:t>ance with the erection design documentation, the JSEA and SWMS.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3.6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Systematically dismantle and remove props and associated parts from prefabricated concrete elements in accordance with the erection design documentation, the JSEA and SWMS.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4.</w:t>
            </w:r>
          </w:p>
        </w:tc>
        <w:tc>
          <w:tcPr>
            <w:tcW w:w="23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4.1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Clear work area and dispose of, reuse or recycle materials in accordance with regulatory and workplace requirements.</w:t>
            </w:r>
          </w:p>
        </w:tc>
      </w:tr>
      <w:tr w:rsidTr="004B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0B">
            <w:pPr>
              <w:pStyle w:val="BodyText"/>
              <w:rPr>
                <w:lang w:val="en-NZ"/>
              </w:rPr>
            </w:pPr>
            <w:r w:rsidRPr="004B7C0B">
              <w:t>4.2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0B" w:rsidP="004B7C0B">
            <w:pPr>
              <w:pStyle w:val="BodyText"/>
            </w:pPr>
            <w:r w:rsidRPr="004B7C0B">
              <w:t>Clean, check, maintain and store tools and equipment in accordance with manufacturer and workplace requirements.</w:t>
            </w:r>
          </w:p>
        </w:tc>
      </w:tr>
    </w:tbl>
    <w:p w:rsidR="00000000" w:rsidRPr="004B7C0B" w:rsidP="004B7C0B">
      <w:pPr>
        <w:pStyle w:val="BodyText"/>
      </w:pPr>
    </w:p>
    <w:p w:rsidR="00000000" w:rsidRPr="004B7C0B" w:rsidP="004B7C0B">
      <w:pPr>
        <w:pStyle w:val="AllowPageBreak"/>
      </w:pPr>
    </w:p>
    <w:p w:rsidR="00000000" w:rsidRPr="004B7C0B" w:rsidP="004B7C0B">
      <w:pPr>
        <w:pStyle w:val="Heading1"/>
      </w:pPr>
      <w:bookmarkStart w:id="6" w:name="O_1260665"/>
      <w:bookmarkEnd w:id="6"/>
      <w:r w:rsidRPr="004B7C0B">
        <w:t>Foundation Skills</w:t>
      </w:r>
    </w:p>
    <w:p w:rsidR="00000000" w:rsidRPr="004B7C0B" w:rsidP="00452D5D">
      <w:pPr>
        <w:pStyle w:val="BodyText"/>
      </w:pPr>
      <w:r w:rsidRPr="004B7C0B">
        <w:t xml:space="preserve">Foundation skills essential to performance are explicit in the performance criteria of this unit of competency. </w:t>
      </w:r>
    </w:p>
    <w:p w:rsidR="00000000" w:rsidRPr="004B7C0B" w:rsidP="004B7C0B">
      <w:pPr>
        <w:pStyle w:val="Heading1"/>
      </w:pPr>
      <w:bookmarkStart w:id="7" w:name="O_1260664"/>
      <w:bookmarkEnd w:id="7"/>
      <w:r w:rsidRPr="004B7C0B">
        <w:t>Unit Mapping Information</w:t>
      </w:r>
    </w:p>
    <w:p w:rsidR="00000000" w:rsidRPr="004B7C0B" w:rsidP="00452D5D">
      <w:pPr>
        <w:pStyle w:val="BodyText"/>
      </w:pPr>
      <w:r w:rsidRPr="004B7C0B">
        <w:t>No equivalent unit.</w:t>
      </w:r>
    </w:p>
    <w:p w:rsidR="00000000" w:rsidRPr="004B7C0B" w:rsidP="004B7C0B">
      <w:pPr>
        <w:pStyle w:val="Heading1"/>
      </w:pPr>
      <w:bookmarkStart w:id="8" w:name="O_1260657"/>
      <w:bookmarkEnd w:id="8"/>
      <w:r w:rsidRPr="004B7C0B">
        <w:t>Links</w:t>
      </w:r>
    </w:p>
    <w:p w:rsidR="00000000" w:rsidRPr="004B7C0B" w:rsidP="00452D5D">
      <w:pPr>
        <w:pStyle w:val="BodyText"/>
      </w:pPr>
      <w:r w:rsidRPr="004B7C0B">
        <w:t xml:space="preserve">Companion volumes </w:t>
      </w:r>
      <w:r w:rsidRPr="004B7C0B">
        <w:t xml:space="preserve">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C4D1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B7C0B" w:rsidP="004B7C0B"/>
    <w:sectPr w:rsidSect="004B7C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0B" w:rsidRPr="00452D5D" w:rsidP="00452D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5D" w:rsidP="004B7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D5D" w:rsidP="004B7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52D5D" w:rsidP="004B7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C0B" w:rsidRPr="00452D5D" w:rsidP="00452D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5D" w:rsidRPr="002D2AF8" w:rsidP="004B7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CPCPRE2002 Remove temporary supports from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52D5D" w:rsidP="004B7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C0B"/>
  </w:style>
  <w:style w:type="character" w:customStyle="1" w:styleId="Heading1Char">
    <w:name w:val="Heading 1 Char"/>
    <w:basedOn w:val="DefaultParagraphFont"/>
    <w:link w:val="Heading1"/>
    <w:rsid w:val="004B7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C0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B7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C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C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7C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7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C0B"/>
    <w:rPr>
      <w:b/>
      <w:spacing w:val="0"/>
    </w:rPr>
  </w:style>
  <w:style w:type="paragraph" w:customStyle="1" w:styleId="SuperTitle">
    <w:name w:val="SuperTitle"/>
    <w:basedOn w:val="Title"/>
    <w:rsid w:val="004B7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C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C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C0B"/>
    <w:rPr>
      <w:i/>
    </w:rPr>
  </w:style>
  <w:style w:type="paragraph" w:styleId="Caption">
    <w:name w:val="caption"/>
    <w:basedOn w:val="BodyText"/>
    <w:next w:val="Normal"/>
    <w:qFormat/>
    <w:rsid w:val="004B7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C0B"/>
  </w:style>
  <w:style w:type="paragraph" w:styleId="TableofFigures">
    <w:name w:val="table of figures"/>
    <w:basedOn w:val="Normal"/>
    <w:next w:val="Normal"/>
    <w:semiHidden/>
    <w:rsid w:val="004B7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C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7C0B"/>
    <w:rPr>
      <w:rFonts w:ascii="Wingdings" w:hAnsi="Wingdings"/>
    </w:rPr>
  </w:style>
  <w:style w:type="paragraph" w:customStyle="1" w:styleId="TableHeading">
    <w:name w:val="Table Heading"/>
    <w:basedOn w:val="HeadingBase"/>
    <w:rsid w:val="004B7C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C0B"/>
    <w:rPr>
      <w:color w:val="0033CC"/>
      <w:u w:val="none"/>
    </w:rPr>
  </w:style>
  <w:style w:type="paragraph" w:customStyle="1" w:styleId="BodyTextRight">
    <w:name w:val="Body Text Right"/>
    <w:basedOn w:val="BodyText"/>
    <w:rsid w:val="004B7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C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C0B"/>
    <w:rPr>
      <w:sz w:val="32"/>
    </w:rPr>
  </w:style>
  <w:style w:type="paragraph" w:customStyle="1" w:styleId="HeadingProcedure">
    <w:name w:val="Heading Procedure"/>
    <w:basedOn w:val="HeadingBase"/>
    <w:next w:val="Normal"/>
    <w:rsid w:val="004B7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C0B"/>
    <w:pPr>
      <w:spacing w:before="60" w:after="60"/>
    </w:pPr>
  </w:style>
  <w:style w:type="paragraph" w:styleId="ListContinue">
    <w:name w:val="List Continue"/>
    <w:basedOn w:val="List"/>
    <w:rsid w:val="004B7C0B"/>
    <w:pPr>
      <w:ind w:firstLine="0"/>
    </w:pPr>
  </w:style>
  <w:style w:type="paragraph" w:customStyle="1" w:styleId="ListNote">
    <w:name w:val="List Note"/>
    <w:basedOn w:val="List"/>
    <w:rsid w:val="004B7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C0B"/>
    <w:rPr>
      <w:rFonts w:ascii="Courier New" w:hAnsi="Courier New"/>
    </w:rPr>
  </w:style>
  <w:style w:type="paragraph" w:customStyle="1" w:styleId="NoteBullet">
    <w:name w:val="Note Bullet"/>
    <w:basedOn w:val="Note"/>
    <w:rsid w:val="004B7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C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7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C0B"/>
    <w:rPr>
      <w:b/>
      <w:smallCaps/>
    </w:rPr>
  </w:style>
  <w:style w:type="paragraph" w:customStyle="1" w:styleId="TableListNumber">
    <w:name w:val="Table List Number"/>
    <w:basedOn w:val="ListNumber"/>
    <w:rsid w:val="004B7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C0B"/>
    <w:pPr>
      <w:numPr>
        <w:numId w:val="7"/>
      </w:numPr>
    </w:pPr>
  </w:style>
  <w:style w:type="paragraph" w:customStyle="1" w:styleId="ListAlpha2">
    <w:name w:val="List Alpha 2"/>
    <w:basedOn w:val="List2"/>
    <w:rsid w:val="004B7C0B"/>
    <w:pPr>
      <w:numPr>
        <w:numId w:val="6"/>
      </w:numPr>
    </w:pPr>
  </w:style>
  <w:style w:type="paragraph" w:styleId="List2">
    <w:name w:val="List 2"/>
    <w:basedOn w:val="BodyText"/>
    <w:rsid w:val="004B7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C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C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7C0B"/>
    <w:pPr>
      <w:numPr>
        <w:numId w:val="2"/>
      </w:numPr>
    </w:pPr>
  </w:style>
  <w:style w:type="paragraph" w:styleId="ListContinue2">
    <w:name w:val="List Continue 2"/>
    <w:basedOn w:val="List2"/>
    <w:rsid w:val="004B7C0B"/>
    <w:pPr>
      <w:ind w:firstLine="0"/>
    </w:pPr>
  </w:style>
  <w:style w:type="paragraph" w:styleId="ListContinue3">
    <w:name w:val="List Continue 3"/>
    <w:basedOn w:val="List3"/>
    <w:rsid w:val="004B7C0B"/>
    <w:pPr>
      <w:ind w:left="1021" w:firstLine="0"/>
    </w:pPr>
  </w:style>
  <w:style w:type="paragraph" w:styleId="ListContinue4">
    <w:name w:val="List Continue 4"/>
    <w:basedOn w:val="List4"/>
    <w:rsid w:val="004B7C0B"/>
    <w:pPr>
      <w:ind w:firstLine="0"/>
    </w:pPr>
  </w:style>
  <w:style w:type="paragraph" w:styleId="ListContinue5">
    <w:name w:val="List Continue 5"/>
    <w:basedOn w:val="List5"/>
    <w:rsid w:val="004B7C0B"/>
    <w:pPr>
      <w:ind w:firstLine="0"/>
    </w:pPr>
  </w:style>
  <w:style w:type="paragraph" w:styleId="ListNumber3">
    <w:name w:val="List Number 3"/>
    <w:basedOn w:val="List3"/>
    <w:rsid w:val="004B7C0B"/>
    <w:pPr>
      <w:numPr>
        <w:numId w:val="3"/>
      </w:numPr>
    </w:pPr>
  </w:style>
  <w:style w:type="paragraph" w:styleId="ListNumber4">
    <w:name w:val="List Number 4"/>
    <w:basedOn w:val="List4"/>
    <w:rsid w:val="004B7C0B"/>
    <w:pPr>
      <w:numPr>
        <w:numId w:val="4"/>
      </w:numPr>
    </w:pPr>
  </w:style>
  <w:style w:type="paragraph" w:styleId="ListNumber5">
    <w:name w:val="List Number 5"/>
    <w:basedOn w:val="List5"/>
    <w:rsid w:val="004B7C0B"/>
    <w:pPr>
      <w:numPr>
        <w:numId w:val="5"/>
      </w:numPr>
    </w:pPr>
  </w:style>
  <w:style w:type="paragraph" w:styleId="BlockText">
    <w:name w:val="Block Text"/>
    <w:basedOn w:val="Normal"/>
    <w:rsid w:val="004B7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C0B"/>
    <w:rPr>
      <w:sz w:val="16"/>
      <w:vertAlign w:val="superscript"/>
    </w:rPr>
  </w:style>
  <w:style w:type="character" w:customStyle="1" w:styleId="Symbols">
    <w:name w:val="Symbols"/>
    <w:basedOn w:val="DefaultParagraphFont"/>
    <w:rsid w:val="004B7C0B"/>
    <w:rPr>
      <w:rFonts w:ascii="Symbol" w:hAnsi="Symbol"/>
    </w:rPr>
  </w:style>
  <w:style w:type="character" w:customStyle="1" w:styleId="MenuOptions">
    <w:name w:val="Menu Options"/>
    <w:basedOn w:val="DefaultParagraphFont"/>
    <w:rsid w:val="004B7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C0B"/>
    <w:rPr>
      <w:b/>
    </w:rPr>
  </w:style>
  <w:style w:type="character" w:customStyle="1" w:styleId="Underlined">
    <w:name w:val="Underlined"/>
    <w:basedOn w:val="DefaultParagraphFont"/>
    <w:rsid w:val="004B7C0B"/>
    <w:rPr>
      <w:u w:val="single"/>
    </w:rPr>
  </w:style>
  <w:style w:type="paragraph" w:customStyle="1" w:styleId="TableBodyTextRight">
    <w:name w:val="Table Body Text Right"/>
    <w:basedOn w:val="TableBodyText"/>
    <w:rsid w:val="004B7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C0B"/>
    <w:rPr>
      <w:sz w:val="18"/>
    </w:rPr>
  </w:style>
  <w:style w:type="paragraph" w:customStyle="1" w:styleId="BodySmallRight">
    <w:name w:val="Body Small Right"/>
    <w:basedOn w:val="BodyTextRight"/>
    <w:rsid w:val="004B7C0B"/>
    <w:rPr>
      <w:sz w:val="18"/>
      <w:szCs w:val="18"/>
    </w:rPr>
  </w:style>
  <w:style w:type="paragraph" w:customStyle="1" w:styleId="MarginEdition">
    <w:name w:val="Margin Edition"/>
    <w:basedOn w:val="MarginNote"/>
    <w:rsid w:val="004B7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C0B"/>
    <w:rPr>
      <w:sz w:val="2"/>
      <w:szCs w:val="2"/>
    </w:rPr>
  </w:style>
  <w:style w:type="character" w:customStyle="1" w:styleId="Small">
    <w:name w:val="Small"/>
    <w:basedOn w:val="DefaultParagraphFont"/>
    <w:rsid w:val="004B7C0B"/>
    <w:rPr>
      <w:sz w:val="16"/>
    </w:rPr>
  </w:style>
  <w:style w:type="paragraph" w:customStyle="1" w:styleId="WideTable">
    <w:name w:val="Wide Table"/>
    <w:basedOn w:val="Normal"/>
    <w:rsid w:val="004B7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C0B"/>
  </w:style>
  <w:style w:type="paragraph" w:styleId="Quote">
    <w:name w:val="Quote"/>
    <w:basedOn w:val="Heading1"/>
    <w:link w:val="QuoteChar"/>
    <w:qFormat/>
    <w:rsid w:val="004B7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C0B"/>
    <w:pPr>
      <w:pageBreakBefore/>
    </w:pPr>
  </w:style>
  <w:style w:type="paragraph" w:customStyle="1" w:styleId="Border">
    <w:name w:val="Border"/>
    <w:basedOn w:val="Normal"/>
    <w:qFormat/>
    <w:rsid w:val="004B7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C0B"/>
    <w:rPr>
      <w:u w:val="single"/>
    </w:rPr>
  </w:style>
  <w:style w:type="character" w:customStyle="1" w:styleId="BoldandItalics">
    <w:name w:val="Bold and Italics"/>
    <w:qFormat/>
    <w:rsid w:val="004B7C0B"/>
    <w:rPr>
      <w:b/>
      <w:i/>
      <w:u w:val="none"/>
    </w:rPr>
  </w:style>
  <w:style w:type="paragraph" w:styleId="BalloonText">
    <w:name w:val="Balloon Text"/>
    <w:basedOn w:val="Normal"/>
    <w:link w:val="BalloonTextChar"/>
    <w:rsid w:val="004B7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C0B"/>
    <w:pPr>
      <w:spacing w:before="0" w:after="0"/>
    </w:pPr>
  </w:style>
  <w:style w:type="paragraph" w:customStyle="1" w:styleId="BodyTextBold">
    <w:name w:val="Body Text Bold"/>
    <w:basedOn w:val="BodyText"/>
    <w:qFormat/>
    <w:rsid w:val="004B7C0B"/>
    <w:rPr>
      <w:b/>
    </w:rPr>
  </w:style>
  <w:style w:type="character" w:styleId="Hyperlink">
    <w:name w:val="Hyperlink"/>
    <w:basedOn w:val="DefaultParagraphFont"/>
    <w:uiPriority w:val="99"/>
    <w:unhideWhenUsed/>
    <w:rsid w:val="00452D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3940</Characters>
  <Application>Microsoft Office Word</Application>
  <DocSecurity>0</DocSecurity>
  <Lines>187</Lines>
  <Paragraphs>82</Paragraphs>
  <ScaleCrop>false</ScaleCrop>
  <Company>Author-it Software Corporation Ltd.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CPCPRE2002 Remove temporary supports from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