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E547D" w:rsidP="009E547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CPCPRE2002 Remove temporary supports from prefabricated concrete elements</w:t>
      </w:r>
      <w:r>
        <w:fldChar w:fldCharType="end"/>
      </w:r>
    </w:p>
    <w:p w:rsidR="009E547D" w:rsidP="009E547D">
      <w:pPr>
        <w:pStyle w:val="Version"/>
        <w:sectPr w:rsidSect="00B24D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24D5F" w:rsidP="00B24D5F">
      <w:pPr>
        <w:pStyle w:val="SuperHeading"/>
      </w:pPr>
      <w:r w:rsidRPr="00B24D5F">
        <w:t>CPCPRE2002 Remove temporary supports from prefabricated concrete elements</w:t>
      </w:r>
    </w:p>
    <w:p w:rsidR="00000000" w:rsidRPr="00B24D5F" w:rsidP="00B24D5F">
      <w:pPr>
        <w:pStyle w:val="Heading1"/>
      </w:pPr>
      <w:bookmarkStart w:id="1" w:name="O_1260663"/>
      <w:bookmarkEnd w:id="1"/>
      <w:r w:rsidRPr="00B24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5F" w:rsidP="00B24D5F">
            <w:pPr>
              <w:pStyle w:val="BodyText"/>
            </w:pPr>
            <w:r w:rsidRPr="00B24D5F">
              <w:t>This version first released with CPC Construction, Plumbing and Services Training Package Release 9.0.</w:t>
            </w:r>
          </w:p>
          <w:p w:rsidR="00000000" w:rsidRPr="00B24D5F" w:rsidP="00B24D5F">
            <w:pPr>
              <w:pStyle w:val="BodyText"/>
            </w:pPr>
            <w:r w:rsidRPr="00B24D5F">
              <w:t>Newly created unit.</w:t>
            </w:r>
          </w:p>
        </w:tc>
      </w:tr>
    </w:tbl>
    <w:p w:rsidR="00000000" w:rsidRPr="00B24D5F" w:rsidP="00B24D5F">
      <w:pPr>
        <w:pStyle w:val="BodyText"/>
      </w:pPr>
    </w:p>
    <w:p w:rsidR="00000000" w:rsidRPr="00B24D5F" w:rsidP="00B24D5F">
      <w:pPr>
        <w:pStyle w:val="AllowPageBreak"/>
      </w:pPr>
    </w:p>
    <w:p w:rsidR="00000000" w:rsidRPr="00B24D5F" w:rsidP="00B24D5F">
      <w:pPr>
        <w:pStyle w:val="Heading1"/>
      </w:pPr>
      <w:bookmarkStart w:id="2" w:name="O_1260669"/>
      <w:bookmarkEnd w:id="2"/>
      <w:r w:rsidRPr="00B24D5F">
        <w:t>Application</w:t>
      </w:r>
    </w:p>
    <w:p w:rsidR="00000000" w:rsidRPr="00B24D5F" w:rsidP="009E547D">
      <w:pPr>
        <w:pStyle w:val="BodyText"/>
      </w:pPr>
      <w:r w:rsidRPr="00B24D5F">
        <w:t xml:space="preserve">This unit of competency specifies the skills and knowledge required to remove temporary bracing and propping supports from prefabricated concrete elements. It requires using appropriate tools, equipment, materials and working </w:t>
      </w:r>
      <w:r w:rsidRPr="00B24D5F">
        <w:t>in a team environment to remove temporary supports.</w:t>
      </w:r>
    </w:p>
    <w:p w:rsidR="00000000" w:rsidRPr="00B24D5F" w:rsidP="009E547D">
      <w:pPr>
        <w:pStyle w:val="BodyText"/>
      </w:pPr>
      <w:r w:rsidRPr="00B24D5F">
        <w:t>A person who has achieved this unit of competency would be expected to follow safety regulations and relevant specifications.</w:t>
      </w:r>
    </w:p>
    <w:p w:rsidR="00000000" w:rsidRPr="00B24D5F" w:rsidP="009E547D">
      <w:pPr>
        <w:pStyle w:val="BodyText"/>
      </w:pPr>
      <w:r w:rsidRPr="00B24D5F">
        <w:t>Completion of the general construction induction training program, specified i</w:t>
      </w:r>
      <w:r w:rsidRPr="00B24D5F">
        <w:t>n the Safe Work Australia model Code of Practice: Construction Work, is required by anyone carrying out construction work. Achievement of CPCWHS1001 Prepare to work safely in the construction industry meets this requirement.</w:t>
      </w:r>
    </w:p>
    <w:p w:rsidR="00000000" w:rsidRPr="00B24D5F" w:rsidP="009E547D">
      <w:pPr>
        <w:pStyle w:val="BodyText"/>
      </w:pPr>
      <w:r w:rsidRPr="00B24D5F">
        <w:t>Licensing, legislative, regulat</w:t>
      </w:r>
      <w:r w:rsidRPr="00B24D5F">
        <w:t>ory or certification requirements apply to this unit of competency in some states and territories. For further information, check with the relevant regulatory authority.</w:t>
      </w:r>
    </w:p>
    <w:p w:rsidR="00000000" w:rsidRPr="00B24D5F" w:rsidP="00B24D5F">
      <w:pPr>
        <w:pStyle w:val="Heading1"/>
      </w:pPr>
      <w:bookmarkStart w:id="3" w:name="O_1260668"/>
      <w:bookmarkEnd w:id="3"/>
      <w:r w:rsidRPr="00B24D5F">
        <w:t>Pre-requisite Unit</w:t>
      </w:r>
    </w:p>
    <w:p w:rsidR="00000000" w:rsidRPr="00B24D5F" w:rsidP="009E547D">
      <w:pPr>
        <w:pStyle w:val="BodyText"/>
      </w:pPr>
      <w:r w:rsidRPr="00B24D5F">
        <w:t xml:space="preserve">CPCCWHS2001 Apply WHS requirements policies and </w:t>
      </w:r>
      <w:r w:rsidRPr="00B24D5F">
        <w:t>procedures in the construction industry</w:t>
      </w:r>
    </w:p>
    <w:p w:rsidR="00000000" w:rsidRPr="00B24D5F" w:rsidP="00B24D5F">
      <w:pPr>
        <w:pStyle w:val="Heading1"/>
      </w:pPr>
      <w:bookmarkStart w:id="4" w:name="O_1260667"/>
      <w:bookmarkEnd w:id="4"/>
      <w:r w:rsidRPr="00B24D5F">
        <w:t>Unit Sector</w:t>
      </w:r>
    </w:p>
    <w:p w:rsidR="00000000" w:rsidRPr="00B24D5F" w:rsidP="009E547D">
      <w:pPr>
        <w:pStyle w:val="BodyText"/>
      </w:pPr>
      <w:r w:rsidRPr="00B24D5F">
        <w:t>Prefabricated concrete</w:t>
      </w:r>
    </w:p>
    <w:p w:rsidR="00000000" w:rsidRPr="00B24D5F" w:rsidP="00B24D5F">
      <w:pPr>
        <w:pStyle w:val="Heading1"/>
      </w:pPr>
      <w:bookmarkStart w:id="5" w:name="O_1260666"/>
      <w:bookmarkEnd w:id="5"/>
      <w:r w:rsidRPr="00B24D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8"/>
        <w:gridCol w:w="2356"/>
        <w:gridCol w:w="804"/>
        <w:gridCol w:w="5655"/>
      </w:tblGrid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7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Elements describe the essential outcomes.</w:t>
            </w:r>
          </w:p>
        </w:tc>
        <w:tc>
          <w:tcPr>
            <w:tcW w:w="645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Performance criteria describe what needs to be done to demonstrate achievement of the element.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Access the requirements to remove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Check the erection design documentation, review task specific</w:t>
            </w:r>
            <w:r w:rsidRPr="00B24D5F">
              <w:t xml:space="preserve">ations and seek written approval of the project design engineer for the removal of temporary supports from relevant personnel. 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Review work health and safety (WHS) requirements for the task in accordance with safety plans and policies.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 xml:space="preserve">Conduct working at heights risk assessment and follow appropriate WHS processes. 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Identify safety signage and barricade requirements.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Review environmental requirements for the task in accordance with environmental plans and legislative requir</w:t>
            </w:r>
            <w:r w:rsidRPr="00B24D5F">
              <w:t>ements.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Access plant, tools and equipment required to carry out task.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1.7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Verify the location of prefabricated concrete elements in accordance with design documentation.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2.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Prepare to remove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2.1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Erect identified safety signage and barricade requirements, and fit personal protective equipment (PPE).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2.2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Obtain plant, tools, equipment, check for serviceability and rectify or report any faults.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2.3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Ensure the structural work is complete and that written approval from the in-service design engineer has been obtained so that removal of temporary supports c</w:t>
            </w:r>
            <w:r w:rsidRPr="00B24D5F">
              <w:t xml:space="preserve">an commence.  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Conduct the removal of temporary supports from prefabricated concrete elements.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Review the approved removal plan and access information on job sequencing and team roles.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Assemble and erect lifting/handling devices for movement of loads.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3.3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 xml:space="preserve">Follow load slinging and shifting requirements and conduct removal activity in accordance with erection design documentation, job safety and environmental </w:t>
            </w:r>
            <w:r w:rsidRPr="00B24D5F">
              <w:t xml:space="preserve">analysis (JSEA) and safe work method statement </w:t>
            </w:r>
            <w:r w:rsidRPr="00B24D5F">
              <w:t>(SWMS).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3.4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Maintain stability of the braces and props during lifting and transportation.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3.5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Systematically remove braces and associated parts from prefabricated concrete elements and footings in accord</w:t>
            </w:r>
            <w:r w:rsidRPr="00B24D5F">
              <w:t>ance with the erection design documentation, the JSEA and SWMS.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3.6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Systematically dismantle and remove props and associated parts from prefabricated concrete elements in accordance with the erection design documentation, the JSEA and SWMS.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133" w:type="dxa"/>
            <w:gridSpan w:val="4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4.</w:t>
            </w:r>
          </w:p>
        </w:tc>
        <w:tc>
          <w:tcPr>
            <w:tcW w:w="2356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Clean up.</w:t>
            </w: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4.1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Clear work area and dispose of, reuse or recycle materials in accordance with regulatory and workplace requirements.</w:t>
            </w:r>
          </w:p>
        </w:tc>
      </w:tr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8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356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4.2</w:t>
            </w:r>
          </w:p>
        </w:tc>
        <w:tc>
          <w:tcPr>
            <w:tcW w:w="565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5F" w:rsidP="00B24D5F">
            <w:pPr>
              <w:pStyle w:val="BodyText"/>
            </w:pPr>
            <w:r w:rsidRPr="00B24D5F">
              <w:t>Clean, check, maintain and store tools and equipment in accordance with manufacturer and workplace requirements.</w:t>
            </w:r>
          </w:p>
        </w:tc>
      </w:tr>
    </w:tbl>
    <w:p w:rsidR="00000000" w:rsidRPr="00B24D5F" w:rsidP="00B24D5F">
      <w:pPr>
        <w:pStyle w:val="BodyText"/>
      </w:pPr>
    </w:p>
    <w:p w:rsidR="00000000" w:rsidRPr="00B24D5F" w:rsidP="00B24D5F">
      <w:pPr>
        <w:pStyle w:val="AllowPageBreak"/>
      </w:pPr>
    </w:p>
    <w:p w:rsidR="00000000" w:rsidRPr="00B24D5F" w:rsidP="00B24D5F">
      <w:pPr>
        <w:pStyle w:val="Heading1"/>
      </w:pPr>
      <w:bookmarkStart w:id="6" w:name="O_1260665"/>
      <w:bookmarkEnd w:id="6"/>
      <w:r w:rsidRPr="00B24D5F">
        <w:t>Foundation Skills</w:t>
      </w:r>
    </w:p>
    <w:p w:rsidR="00000000" w:rsidRPr="00B24D5F" w:rsidP="009E547D">
      <w:pPr>
        <w:pStyle w:val="BodyText"/>
      </w:pPr>
      <w:r w:rsidRPr="00B24D5F">
        <w:t xml:space="preserve">Foundation skills essential to performance are explicit in the performance criteria of this unit of competency. </w:t>
      </w:r>
    </w:p>
    <w:p w:rsidR="00000000" w:rsidRPr="00B24D5F" w:rsidP="00B24D5F">
      <w:pPr>
        <w:pStyle w:val="Heading1"/>
      </w:pPr>
      <w:bookmarkStart w:id="7" w:name="O_1260664"/>
      <w:bookmarkEnd w:id="7"/>
      <w:r w:rsidRPr="00B24D5F">
        <w:t>Unit Mapping Information</w:t>
      </w:r>
    </w:p>
    <w:p w:rsidR="00000000" w:rsidRPr="00B24D5F" w:rsidP="009E547D">
      <w:pPr>
        <w:pStyle w:val="BodyText"/>
      </w:pPr>
      <w:r w:rsidRPr="00B24D5F">
        <w:t>No equivalent unit.</w:t>
      </w:r>
    </w:p>
    <w:p w:rsidR="00000000" w:rsidRPr="00B24D5F" w:rsidP="00B24D5F">
      <w:pPr>
        <w:pStyle w:val="Heading1"/>
      </w:pPr>
      <w:bookmarkStart w:id="8" w:name="O_1260657"/>
      <w:bookmarkEnd w:id="8"/>
      <w:r w:rsidRPr="00B24D5F">
        <w:t>Links</w:t>
      </w:r>
    </w:p>
    <w:p w:rsidR="00000000" w:rsidRPr="00B24D5F" w:rsidP="009E547D">
      <w:pPr>
        <w:pStyle w:val="BodyText"/>
      </w:pPr>
      <w:r w:rsidRPr="00B24D5F">
        <w:t xml:space="preserve">Companion volumes </w:t>
      </w:r>
      <w:r w:rsidRPr="00B24D5F">
        <w:t xml:space="preserve">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805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4D5F" w:rsidP="009E547D">
      <w:pPr>
        <w:pStyle w:val="BodyText"/>
        <w:sectPr w:rsidSect="00B24D5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B24D5F" w:rsidP="00B24D5F">
      <w:pPr>
        <w:pStyle w:val="SuperHeading"/>
      </w:pPr>
      <w:r w:rsidRPr="00B24D5F">
        <w:t>Assessment Requirements for CPCPRE2002 Remove temporary suppo</w:t>
      </w:r>
      <w:r w:rsidRPr="00B24D5F">
        <w:t>rts from prefabricated concrete elements</w:t>
      </w:r>
    </w:p>
    <w:p w:rsidR="00000000" w:rsidRPr="00B24D5F" w:rsidP="00B24D5F">
      <w:pPr>
        <w:pStyle w:val="Heading1"/>
      </w:pPr>
      <w:bookmarkStart w:id="9" w:name="O_1260659"/>
      <w:bookmarkEnd w:id="9"/>
      <w:r w:rsidRPr="00B24D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066"/>
        <w:gridCol w:w="7944"/>
      </w:tblGrid>
      <w:tr w:rsidTr="00B24D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06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24D5F">
            <w:pPr>
              <w:pStyle w:val="BodyText"/>
              <w:rPr>
                <w:lang w:val="en-NZ"/>
              </w:rPr>
            </w:pPr>
            <w:r w:rsidRPr="00B24D5F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24D5F" w:rsidP="00B24D5F">
            <w:pPr>
              <w:pStyle w:val="BodyText"/>
            </w:pPr>
            <w:r w:rsidRPr="00B24D5F">
              <w:t>This version first released with CPC Construction, Plumbing and Services Training Package Release 9.0.</w:t>
            </w:r>
          </w:p>
          <w:p w:rsidR="00000000" w:rsidRPr="00B24D5F" w:rsidP="00B24D5F">
            <w:pPr>
              <w:pStyle w:val="BodyText"/>
            </w:pPr>
            <w:r w:rsidRPr="00B24D5F">
              <w:t>Newly created unit.</w:t>
            </w:r>
          </w:p>
        </w:tc>
      </w:tr>
    </w:tbl>
    <w:p w:rsidR="00000000" w:rsidRPr="00B24D5F" w:rsidP="00B24D5F">
      <w:pPr>
        <w:pStyle w:val="BodyText"/>
      </w:pPr>
    </w:p>
    <w:p w:rsidR="00000000" w:rsidRPr="00B24D5F" w:rsidP="00B24D5F">
      <w:pPr>
        <w:pStyle w:val="AllowPageBreak"/>
      </w:pPr>
    </w:p>
    <w:p w:rsidR="00000000" w:rsidRPr="00B24D5F" w:rsidP="00B24D5F">
      <w:pPr>
        <w:pStyle w:val="Heading1"/>
      </w:pPr>
      <w:bookmarkStart w:id="10" w:name="O_1260662"/>
      <w:bookmarkEnd w:id="10"/>
      <w:r w:rsidRPr="00B24D5F">
        <w:t>Performance Evidence</w:t>
      </w:r>
    </w:p>
    <w:p w:rsidR="00000000" w:rsidRPr="00B24D5F" w:rsidP="009E547D">
      <w:pPr>
        <w:pStyle w:val="BodyText"/>
      </w:pPr>
      <w:r w:rsidRPr="00B24D5F">
        <w:t>To demonstrate competency, a candidate must meet the elements and performance criteria of this unit by:</w:t>
      </w:r>
    </w:p>
    <w:p w:rsidR="00000000" w:rsidRPr="00B24D5F" w:rsidP="00B24D5F">
      <w:pPr>
        <w:pStyle w:val="ListBullet"/>
      </w:pPr>
      <w:r w:rsidRPr="00B24D5F">
        <w:t>removing bracing and propping supports from two prefabricated concrete elements one of which must be a prefabricated concrete wall panel element of a h</w:t>
      </w:r>
      <w:r w:rsidRPr="00B24D5F">
        <w:t>eight not less than 7 metres and width 3 metres.</w:t>
      </w:r>
    </w:p>
    <w:p w:rsidR="00000000" w:rsidRPr="00B24D5F" w:rsidP="00B24D5F">
      <w:pPr>
        <w:pStyle w:val="AllowPageBreak"/>
      </w:pPr>
    </w:p>
    <w:p w:rsidR="00000000" w:rsidRPr="00B24D5F" w:rsidP="00B24D5F">
      <w:pPr>
        <w:pStyle w:val="Heading1"/>
      </w:pPr>
      <w:bookmarkStart w:id="11" w:name="O_1260661"/>
      <w:bookmarkEnd w:id="11"/>
      <w:r w:rsidRPr="00B24D5F">
        <w:t>Knowledge Evidence</w:t>
      </w:r>
    </w:p>
    <w:p w:rsidR="00000000" w:rsidRPr="00B24D5F" w:rsidP="009E547D">
      <w:pPr>
        <w:pStyle w:val="BodyText"/>
      </w:pPr>
      <w:r w:rsidRPr="00B24D5F">
        <w:t>To be competent in this unit, a candidate must demonstrate knowledge of:</w:t>
      </w:r>
    </w:p>
    <w:p w:rsidR="00000000" w:rsidRPr="00B24D5F" w:rsidP="00B24D5F">
      <w:pPr>
        <w:pStyle w:val="ListBullet"/>
      </w:pPr>
      <w:r w:rsidRPr="00B24D5F">
        <w:t>compliance requirements of codes and Australian Standards relevant to joint caulking of prefabr</w:t>
      </w:r>
      <w:r w:rsidRPr="00B24D5F">
        <w:t>icated concrete elements:</w:t>
      </w:r>
    </w:p>
    <w:p w:rsidR="00000000" w:rsidRPr="00B24D5F" w:rsidP="00B24D5F">
      <w:pPr>
        <w:pStyle w:val="ListBullet2"/>
      </w:pPr>
      <w:r w:rsidRPr="00B24D5F">
        <w:t>AS 3850.1, 2 &amp; 3 Prefabricated concrete elements</w:t>
      </w:r>
    </w:p>
    <w:p w:rsidR="00000000" w:rsidRPr="00B24D5F" w:rsidP="00B24D5F">
      <w:pPr>
        <w:pStyle w:val="ListBullet2"/>
      </w:pPr>
      <w:r w:rsidRPr="00B24D5F">
        <w:t>environmental protection and waste disposal</w:t>
      </w:r>
    </w:p>
    <w:p w:rsidR="00000000" w:rsidRPr="00B24D5F" w:rsidP="00B24D5F">
      <w:pPr>
        <w:pStyle w:val="ListBullet"/>
      </w:pPr>
      <w:r w:rsidRPr="00B24D5F">
        <w:t>work health and safety (WHS) regulations, including:</w:t>
      </w:r>
    </w:p>
    <w:p w:rsidR="00000000" w:rsidRPr="00B24D5F" w:rsidP="00B24D5F">
      <w:pPr>
        <w:pStyle w:val="ListBullet2"/>
      </w:pPr>
      <w:r w:rsidRPr="00B24D5F">
        <w:t>Safe Work Australia ‘</w:t>
      </w:r>
      <w:r w:rsidRPr="00B24D5F">
        <w:t xml:space="preserve">Guide to managing risk in construction: prefabricated concrete’ 2019 </w:t>
      </w:r>
    </w:p>
    <w:p w:rsidR="00000000" w:rsidRPr="00B24D5F" w:rsidP="00B24D5F">
      <w:pPr>
        <w:pStyle w:val="ListBullet2"/>
      </w:pPr>
      <w:r w:rsidRPr="00B24D5F">
        <w:t xml:space="preserve">use of personal protective equipment (PPE) as specified on the safety data sheet (SDS) </w:t>
      </w:r>
    </w:p>
    <w:p w:rsidR="00000000" w:rsidRPr="00B24D5F" w:rsidP="00B24D5F">
      <w:pPr>
        <w:pStyle w:val="ListBullet2"/>
      </w:pPr>
      <w:r w:rsidRPr="00B24D5F">
        <w:t>risk when working at heights/on ladders</w:t>
      </w:r>
    </w:p>
    <w:p w:rsidR="00000000" w:rsidRPr="00B24D5F" w:rsidP="00B24D5F">
      <w:pPr>
        <w:pStyle w:val="ListBullet2"/>
      </w:pPr>
      <w:r w:rsidRPr="00B24D5F">
        <w:t>fall protection</w:t>
      </w:r>
    </w:p>
    <w:p w:rsidR="00000000" w:rsidRPr="00B24D5F" w:rsidP="00B24D5F">
      <w:pPr>
        <w:pStyle w:val="ListBullet2"/>
      </w:pPr>
      <w:r w:rsidRPr="00B24D5F">
        <w:t>drop zones</w:t>
      </w:r>
    </w:p>
    <w:p w:rsidR="00000000" w:rsidRPr="00B24D5F" w:rsidP="00B24D5F">
      <w:pPr>
        <w:pStyle w:val="ListBullet2"/>
      </w:pPr>
      <w:r w:rsidRPr="00B24D5F">
        <w:t>hazardous substances</w:t>
      </w:r>
    </w:p>
    <w:p w:rsidR="00000000" w:rsidRPr="00B24D5F" w:rsidP="00B24D5F">
      <w:pPr>
        <w:pStyle w:val="ListBullet2"/>
      </w:pPr>
      <w:r w:rsidRPr="00B24D5F">
        <w:t>safe manua</w:t>
      </w:r>
      <w:r w:rsidRPr="00B24D5F">
        <w:t xml:space="preserve">l handling techniques </w:t>
      </w:r>
    </w:p>
    <w:p w:rsidR="00000000" w:rsidRPr="00B24D5F" w:rsidP="00B24D5F">
      <w:pPr>
        <w:pStyle w:val="ListBullet"/>
      </w:pPr>
      <w:r w:rsidRPr="00B24D5F">
        <w:t>faulty manufacturing and concrete defects which could compromise the strength of the prefabricated elements and pose a potential safety issue for lifting and handling</w:t>
      </w:r>
    </w:p>
    <w:p w:rsidR="00000000" w:rsidRPr="00B24D5F" w:rsidP="00B24D5F">
      <w:pPr>
        <w:pStyle w:val="ListBullet"/>
      </w:pPr>
      <w:r w:rsidRPr="00B24D5F">
        <w:t>types of drawings and specifications used to interpret concrete i</w:t>
      </w:r>
      <w:r w:rsidRPr="00B24D5F">
        <w:t>nstallation requirements</w:t>
      </w:r>
    </w:p>
    <w:p w:rsidR="00000000" w:rsidRPr="00B24D5F" w:rsidP="00B24D5F">
      <w:pPr>
        <w:pStyle w:val="ListBullet"/>
      </w:pPr>
      <w:r w:rsidRPr="00B24D5F">
        <w:t xml:space="preserve">erection design documentation </w:t>
      </w:r>
    </w:p>
    <w:p w:rsidR="00000000" w:rsidRPr="00B24D5F" w:rsidP="00B24D5F">
      <w:pPr>
        <w:pStyle w:val="ListBullet"/>
      </w:pPr>
      <w:r w:rsidRPr="00B24D5F">
        <w:t>prefabricated concrete brace and prop specifications, including:</w:t>
      </w:r>
    </w:p>
    <w:p w:rsidR="00000000" w:rsidRPr="00B24D5F" w:rsidP="00B24D5F">
      <w:pPr>
        <w:pStyle w:val="ListBullet2"/>
      </w:pPr>
      <w:r w:rsidRPr="00B24D5F">
        <w:t>erection sequence</w:t>
      </w:r>
    </w:p>
    <w:p w:rsidR="00000000" w:rsidRPr="00B24D5F" w:rsidP="00B24D5F">
      <w:pPr>
        <w:pStyle w:val="ListBullet2"/>
      </w:pPr>
      <w:r w:rsidRPr="00B24D5F">
        <w:t>orientation of prefabricated concrete elements</w:t>
      </w:r>
    </w:p>
    <w:p w:rsidR="00000000" w:rsidRPr="00B24D5F" w:rsidP="00B24D5F">
      <w:pPr>
        <w:pStyle w:val="ListBullet2"/>
      </w:pPr>
      <w:r w:rsidRPr="00B24D5F">
        <w:t>bracing details, including type and angle</w:t>
      </w:r>
    </w:p>
    <w:p w:rsidR="00000000" w:rsidRPr="00B24D5F" w:rsidP="00B24D5F">
      <w:pPr>
        <w:pStyle w:val="ListBullet2"/>
      </w:pPr>
      <w:r w:rsidRPr="00B24D5F">
        <w:t>requirement for erection brace and prop footings</w:t>
      </w:r>
    </w:p>
    <w:p w:rsidR="00000000" w:rsidRPr="00B24D5F" w:rsidP="00B24D5F">
      <w:pPr>
        <w:pStyle w:val="ListBullet2"/>
      </w:pPr>
      <w:r w:rsidRPr="00B24D5F">
        <w:t xml:space="preserve">levelling shims </w:t>
      </w:r>
    </w:p>
    <w:p w:rsidR="00000000" w:rsidRPr="00B24D5F" w:rsidP="00B24D5F">
      <w:pPr>
        <w:pStyle w:val="ListBullet2"/>
      </w:pPr>
      <w:r w:rsidRPr="00B24D5F">
        <w:t>drawings</w:t>
      </w:r>
    </w:p>
    <w:p w:rsidR="00000000" w:rsidRPr="00B24D5F" w:rsidP="00B24D5F">
      <w:pPr>
        <w:pStyle w:val="ListBullet"/>
      </w:pPr>
      <w:r w:rsidRPr="00B24D5F">
        <w:t>types of bracing, including:</w:t>
      </w:r>
    </w:p>
    <w:p w:rsidR="00000000" w:rsidRPr="00B24D5F" w:rsidP="00B24D5F">
      <w:pPr>
        <w:pStyle w:val="ListBullet2"/>
      </w:pPr>
      <w:r w:rsidRPr="00B24D5F">
        <w:t>single storey (drop-in) panel propping</w:t>
      </w:r>
    </w:p>
    <w:p w:rsidR="00000000" w:rsidRPr="00B24D5F" w:rsidP="00B24D5F">
      <w:pPr>
        <w:pStyle w:val="ListBullet2"/>
      </w:pPr>
      <w:r w:rsidRPr="00B24D5F">
        <w:t>double storey (spin-up) panel propping</w:t>
      </w:r>
    </w:p>
    <w:p w:rsidR="00000000" w:rsidRPr="00B24D5F" w:rsidP="00B24D5F">
      <w:pPr>
        <w:pStyle w:val="ListBullet2"/>
      </w:pPr>
      <w:r w:rsidRPr="00B24D5F">
        <w:t>panel to panel propping</w:t>
      </w:r>
    </w:p>
    <w:p w:rsidR="00000000" w:rsidRPr="00B24D5F" w:rsidP="00B24D5F">
      <w:pPr>
        <w:pStyle w:val="ListBullet2"/>
      </w:pPr>
      <w:r w:rsidRPr="00B24D5F">
        <w:t>beam propping</w:t>
      </w:r>
    </w:p>
    <w:p w:rsidR="00000000" w:rsidRPr="00B24D5F" w:rsidP="00B24D5F">
      <w:pPr>
        <w:pStyle w:val="ListBullet2"/>
      </w:pPr>
      <w:r w:rsidRPr="00B24D5F">
        <w:t>spandrels propping</w:t>
      </w:r>
    </w:p>
    <w:p w:rsidR="00000000" w:rsidRPr="00B24D5F" w:rsidP="00B24D5F">
      <w:pPr>
        <w:pStyle w:val="ListBullet2"/>
      </w:pPr>
      <w:r w:rsidRPr="00B24D5F">
        <w:t>column bracing</w:t>
      </w:r>
    </w:p>
    <w:p w:rsidR="00000000" w:rsidRPr="00B24D5F" w:rsidP="00B24D5F">
      <w:pPr>
        <w:pStyle w:val="ListBullet2"/>
      </w:pPr>
      <w:r w:rsidRPr="00B24D5F">
        <w:t>lateral bracing</w:t>
      </w:r>
    </w:p>
    <w:p w:rsidR="00000000" w:rsidRPr="00B24D5F" w:rsidP="00B24D5F">
      <w:pPr>
        <w:pStyle w:val="ListBullet2"/>
      </w:pPr>
      <w:r w:rsidRPr="00B24D5F">
        <w:t>end bracing</w:t>
      </w:r>
    </w:p>
    <w:p w:rsidR="00000000" w:rsidRPr="00B24D5F" w:rsidP="00B24D5F">
      <w:pPr>
        <w:pStyle w:val="ListBullet2"/>
      </w:pPr>
      <w:r w:rsidRPr="00B24D5F">
        <w:t>main bracing</w:t>
      </w:r>
    </w:p>
    <w:p w:rsidR="00000000" w:rsidRPr="00B24D5F" w:rsidP="00B24D5F">
      <w:pPr>
        <w:pStyle w:val="ListBullet2"/>
      </w:pPr>
      <w:r w:rsidRPr="00B24D5F">
        <w:t>knee bracing</w:t>
      </w:r>
    </w:p>
    <w:p w:rsidR="00000000" w:rsidRPr="00B24D5F" w:rsidP="00B24D5F">
      <w:pPr>
        <w:pStyle w:val="ListBullet2"/>
      </w:pPr>
      <w:r w:rsidRPr="00B24D5F">
        <w:t>deadman bracing</w:t>
      </w:r>
    </w:p>
    <w:p w:rsidR="00000000" w:rsidRPr="00B24D5F" w:rsidP="00B24D5F">
      <w:pPr>
        <w:pStyle w:val="ListBullet"/>
      </w:pPr>
      <w:r w:rsidRPr="00B24D5F">
        <w:t xml:space="preserve">associated brace parts, including: </w:t>
      </w:r>
    </w:p>
    <w:p w:rsidR="00000000" w:rsidRPr="00B24D5F" w:rsidP="00B24D5F">
      <w:pPr>
        <w:pStyle w:val="ListBullet2"/>
      </w:pPr>
      <w:r w:rsidRPr="00B24D5F">
        <w:t>bolts</w:t>
      </w:r>
    </w:p>
    <w:p w:rsidR="00000000" w:rsidRPr="00B24D5F" w:rsidP="00B24D5F">
      <w:pPr>
        <w:pStyle w:val="ListBullet2"/>
      </w:pPr>
      <w:r w:rsidRPr="00B24D5F">
        <w:t>anchors</w:t>
      </w:r>
    </w:p>
    <w:p w:rsidR="00000000" w:rsidRPr="00B24D5F" w:rsidP="00B24D5F">
      <w:pPr>
        <w:pStyle w:val="ListBullet2"/>
      </w:pPr>
      <w:r w:rsidRPr="00B24D5F">
        <w:t>knee braces</w:t>
      </w:r>
    </w:p>
    <w:p w:rsidR="00000000" w:rsidRPr="00B24D5F" w:rsidP="00B24D5F">
      <w:pPr>
        <w:pStyle w:val="ListBullet"/>
      </w:pPr>
      <w:r w:rsidRPr="00B24D5F">
        <w:t>types of propping, including:</w:t>
      </w:r>
    </w:p>
    <w:p w:rsidR="00000000" w:rsidRPr="00B24D5F" w:rsidP="00B24D5F">
      <w:pPr>
        <w:pStyle w:val="ListBullet2"/>
      </w:pPr>
      <w:r w:rsidRPr="00B24D5F">
        <w:t>single props (Acrow)</w:t>
      </w:r>
    </w:p>
    <w:p w:rsidR="00000000" w:rsidRPr="00B24D5F" w:rsidP="00B24D5F">
      <w:pPr>
        <w:pStyle w:val="ListBullet2"/>
      </w:pPr>
      <w:r w:rsidRPr="00B24D5F">
        <w:t>single frame</w:t>
      </w:r>
    </w:p>
    <w:p w:rsidR="00000000" w:rsidRPr="00B24D5F" w:rsidP="00B24D5F">
      <w:pPr>
        <w:pStyle w:val="ListBullet2"/>
      </w:pPr>
      <w:r w:rsidRPr="00B24D5F">
        <w:t>continuous frame</w:t>
      </w:r>
    </w:p>
    <w:p w:rsidR="00000000" w:rsidRPr="00B24D5F" w:rsidP="00B24D5F">
      <w:pPr>
        <w:pStyle w:val="ListBullet"/>
      </w:pPr>
      <w:r w:rsidRPr="00B24D5F">
        <w:t>associated prop parts, including:</w:t>
      </w:r>
    </w:p>
    <w:p w:rsidR="00000000" w:rsidRPr="00B24D5F" w:rsidP="00B24D5F">
      <w:pPr>
        <w:pStyle w:val="ListBullet2"/>
      </w:pPr>
      <w:r w:rsidRPr="00B24D5F">
        <w:t>scaffold</w:t>
      </w:r>
    </w:p>
    <w:p w:rsidR="00000000" w:rsidRPr="00B24D5F" w:rsidP="00B24D5F">
      <w:pPr>
        <w:pStyle w:val="ListBullet2"/>
      </w:pPr>
      <w:r w:rsidRPr="00B24D5F">
        <w:t>acrow props</w:t>
      </w:r>
    </w:p>
    <w:p w:rsidR="00000000" w:rsidRPr="00B24D5F" w:rsidP="00B24D5F">
      <w:pPr>
        <w:pStyle w:val="ListBullet2"/>
      </w:pPr>
      <w:r w:rsidRPr="00B24D5F">
        <w:t>frames</w:t>
      </w:r>
    </w:p>
    <w:p w:rsidR="00000000" w:rsidRPr="00B24D5F" w:rsidP="00B24D5F">
      <w:pPr>
        <w:pStyle w:val="ListBullet2"/>
      </w:pPr>
      <w:r w:rsidRPr="00B24D5F">
        <w:t>bolts</w:t>
      </w:r>
    </w:p>
    <w:p w:rsidR="00000000" w:rsidRPr="00B24D5F" w:rsidP="00B24D5F">
      <w:pPr>
        <w:pStyle w:val="ListBullet2"/>
      </w:pPr>
      <w:r w:rsidRPr="00B24D5F">
        <w:t xml:space="preserve">bracing </w:t>
      </w:r>
    </w:p>
    <w:p w:rsidR="00000000" w:rsidRPr="00B24D5F" w:rsidP="00B24D5F">
      <w:pPr>
        <w:pStyle w:val="ListBullet"/>
      </w:pPr>
      <w:r w:rsidRPr="00B24D5F">
        <w:t>types of concrete prefabricated elements, including:</w:t>
      </w:r>
    </w:p>
    <w:p w:rsidR="00000000" w:rsidRPr="00B24D5F" w:rsidP="00B24D5F">
      <w:pPr>
        <w:pStyle w:val="ListBullet2"/>
      </w:pPr>
      <w:r w:rsidRPr="00B24D5F">
        <w:t>panels</w:t>
      </w:r>
    </w:p>
    <w:p w:rsidR="00000000" w:rsidRPr="00B24D5F" w:rsidP="00B24D5F">
      <w:pPr>
        <w:pStyle w:val="ListBullet2"/>
      </w:pPr>
      <w:r w:rsidRPr="00B24D5F">
        <w:t>columns</w:t>
      </w:r>
    </w:p>
    <w:p w:rsidR="00000000" w:rsidRPr="00B24D5F" w:rsidP="00B24D5F">
      <w:pPr>
        <w:pStyle w:val="ListBullet2"/>
      </w:pPr>
      <w:r w:rsidRPr="00B24D5F">
        <w:t>beams</w:t>
      </w:r>
    </w:p>
    <w:p w:rsidR="00000000" w:rsidRPr="00B24D5F" w:rsidP="00B24D5F">
      <w:pPr>
        <w:pStyle w:val="ListBullet2"/>
      </w:pPr>
      <w:r w:rsidRPr="00B24D5F">
        <w:t>planks</w:t>
      </w:r>
    </w:p>
    <w:p w:rsidR="00000000" w:rsidRPr="00B24D5F" w:rsidP="00B24D5F">
      <w:pPr>
        <w:pStyle w:val="ListBullet2"/>
      </w:pPr>
      <w:r w:rsidRPr="00B24D5F">
        <w:t>stairs</w:t>
      </w:r>
    </w:p>
    <w:p w:rsidR="00000000" w:rsidRPr="00B24D5F" w:rsidP="00B24D5F">
      <w:pPr>
        <w:pStyle w:val="ListBullet2"/>
      </w:pPr>
      <w:r w:rsidRPr="00B24D5F">
        <w:t>barriers</w:t>
      </w:r>
    </w:p>
    <w:p w:rsidR="00000000" w:rsidRPr="00B24D5F" w:rsidP="00B24D5F">
      <w:pPr>
        <w:pStyle w:val="ListBullet"/>
      </w:pPr>
      <w:r w:rsidRPr="00B24D5F">
        <w:t>workplace requirements when working with prefabricated concrete elements:</w:t>
      </w:r>
    </w:p>
    <w:p w:rsidR="00000000" w:rsidRPr="00B24D5F" w:rsidP="00B24D5F">
      <w:pPr>
        <w:pStyle w:val="ListBullet2"/>
      </w:pPr>
      <w:r w:rsidRPr="00B24D5F">
        <w:t>cleaning up the work area</w:t>
      </w:r>
    </w:p>
    <w:p w:rsidR="00000000" w:rsidRPr="00B24D5F" w:rsidP="00B24D5F">
      <w:pPr>
        <w:pStyle w:val="ListBullet2"/>
      </w:pPr>
      <w:r w:rsidRPr="00B24D5F">
        <w:t>maintaining and storing plant, labelling, tools and equipment</w:t>
      </w:r>
    </w:p>
    <w:p w:rsidR="00000000" w:rsidRPr="00B24D5F" w:rsidP="00B24D5F">
      <w:pPr>
        <w:pStyle w:val="ListBullet2"/>
      </w:pPr>
      <w:r w:rsidRPr="00B24D5F">
        <w:t>adhering to manufacturer specifications</w:t>
      </w:r>
    </w:p>
    <w:p w:rsidR="00000000" w:rsidRPr="00B24D5F" w:rsidP="00B24D5F">
      <w:pPr>
        <w:pStyle w:val="ListBullet2"/>
      </w:pPr>
      <w:r w:rsidRPr="00B24D5F">
        <w:t>reporting problems</w:t>
      </w:r>
    </w:p>
    <w:p w:rsidR="00000000" w:rsidRPr="00B24D5F" w:rsidP="00B24D5F">
      <w:pPr>
        <w:pStyle w:val="ListBullet2"/>
      </w:pPr>
      <w:r w:rsidRPr="00B24D5F">
        <w:t>quality</w:t>
      </w:r>
    </w:p>
    <w:p w:rsidR="00000000" w:rsidRPr="00B24D5F" w:rsidP="00B24D5F">
      <w:pPr>
        <w:pStyle w:val="ListBullet"/>
      </w:pPr>
      <w:r w:rsidRPr="00B24D5F">
        <w:t xml:space="preserve">types of prefabricated concrete elements </w:t>
      </w:r>
    </w:p>
    <w:p w:rsidR="00000000" w:rsidRPr="00B24D5F" w:rsidP="00B24D5F">
      <w:pPr>
        <w:pStyle w:val="ListBullet"/>
      </w:pPr>
      <w:r w:rsidRPr="00B24D5F">
        <w:t xml:space="preserve">fire rating requirements relevant to prefabricated concrete elements </w:t>
      </w:r>
    </w:p>
    <w:p w:rsidR="00000000" w:rsidRPr="00B24D5F" w:rsidP="00B24D5F">
      <w:pPr>
        <w:pStyle w:val="ListBullet"/>
      </w:pPr>
      <w:r w:rsidRPr="00B24D5F">
        <w:t>workplace proc</w:t>
      </w:r>
      <w:r w:rsidRPr="00B24D5F">
        <w:t xml:space="preserve">edures related to communication protocols </w:t>
      </w:r>
    </w:p>
    <w:p w:rsidR="00000000" w:rsidRPr="00B24D5F" w:rsidP="00B24D5F">
      <w:pPr>
        <w:pStyle w:val="ListBullet"/>
      </w:pPr>
      <w:r w:rsidRPr="00B24D5F">
        <w:t xml:space="preserve">principles of sustainability relevant to material reuse </w:t>
      </w:r>
    </w:p>
    <w:p w:rsidR="00000000" w:rsidRPr="00B24D5F" w:rsidP="00B24D5F">
      <w:pPr>
        <w:pStyle w:val="ListBullet"/>
      </w:pPr>
      <w:r w:rsidRPr="00B24D5F">
        <w:t xml:space="preserve">work planning and logical task sequencing </w:t>
      </w:r>
    </w:p>
    <w:p w:rsidR="00000000" w:rsidRPr="00B24D5F" w:rsidP="00B24D5F">
      <w:pPr>
        <w:pStyle w:val="ListBullet"/>
      </w:pPr>
      <w:r w:rsidRPr="00B24D5F">
        <w:t>types, characteristics and limitations of tools, equipment and materials required for propping and bracing prefab</w:t>
      </w:r>
      <w:r w:rsidRPr="00B24D5F">
        <w:t>ricated concrete elements, including:</w:t>
      </w:r>
    </w:p>
    <w:p w:rsidR="00000000" w:rsidRPr="00B24D5F" w:rsidP="00B24D5F">
      <w:pPr>
        <w:pStyle w:val="ListBullet2"/>
      </w:pPr>
      <w:r w:rsidRPr="00B24D5F">
        <w:t>chain slings</w:t>
      </w:r>
    </w:p>
    <w:p w:rsidR="00000000" w:rsidRPr="00B24D5F" w:rsidP="00B24D5F">
      <w:pPr>
        <w:pStyle w:val="ListBullet2"/>
      </w:pPr>
      <w:r w:rsidRPr="00B24D5F">
        <w:t>flexible steel wire rope (FSWR) slings</w:t>
      </w:r>
    </w:p>
    <w:p w:rsidR="00000000" w:rsidRPr="00B24D5F" w:rsidP="00B24D5F">
      <w:pPr>
        <w:pStyle w:val="ListBullet2"/>
      </w:pPr>
      <w:r w:rsidRPr="00B24D5F">
        <w:t>air winches</w:t>
      </w:r>
    </w:p>
    <w:p w:rsidR="00000000" w:rsidRPr="00B24D5F" w:rsidP="00B24D5F">
      <w:pPr>
        <w:pStyle w:val="ListBullet2"/>
      </w:pPr>
      <w:r w:rsidRPr="00B24D5F">
        <w:t>chain blocks</w:t>
      </w:r>
    </w:p>
    <w:p w:rsidR="00000000" w:rsidRPr="00B24D5F" w:rsidP="00B24D5F">
      <w:pPr>
        <w:pStyle w:val="ListBullet2"/>
      </w:pPr>
      <w:r w:rsidRPr="00B24D5F">
        <w:t>chain blocks</w:t>
      </w:r>
    </w:p>
    <w:p w:rsidR="00000000" w:rsidRPr="00B24D5F" w:rsidP="00B24D5F">
      <w:pPr>
        <w:pStyle w:val="ListBullet2"/>
      </w:pPr>
      <w:r w:rsidRPr="00B24D5F">
        <w:t>drifts</w:t>
      </w:r>
    </w:p>
    <w:p w:rsidR="00000000" w:rsidRPr="00B24D5F" w:rsidP="00B24D5F">
      <w:pPr>
        <w:pStyle w:val="ListBullet2"/>
      </w:pPr>
      <w:r w:rsidRPr="00B24D5F">
        <w:t>eye bolts</w:t>
      </w:r>
    </w:p>
    <w:p w:rsidR="00000000" w:rsidRPr="00B24D5F" w:rsidP="00B24D5F">
      <w:pPr>
        <w:pStyle w:val="ListBullet2"/>
      </w:pPr>
      <w:r w:rsidRPr="00B24D5F">
        <w:t>hammers</w:t>
      </w:r>
    </w:p>
    <w:p w:rsidR="00000000" w:rsidRPr="00B24D5F" w:rsidP="00B24D5F">
      <w:pPr>
        <w:pStyle w:val="ListBullet2"/>
      </w:pPr>
      <w:r w:rsidRPr="00B24D5F">
        <w:t>jacks</w:t>
      </w:r>
    </w:p>
    <w:p w:rsidR="00000000" w:rsidRPr="00B24D5F" w:rsidP="00B24D5F">
      <w:pPr>
        <w:pStyle w:val="ListBullet2"/>
      </w:pPr>
      <w:r w:rsidRPr="00B24D5F">
        <w:t>podgers</w:t>
      </w:r>
    </w:p>
    <w:p w:rsidR="00000000" w:rsidRPr="00B24D5F" w:rsidP="00B24D5F">
      <w:pPr>
        <w:pStyle w:val="ListBullet2"/>
      </w:pPr>
      <w:r w:rsidRPr="00B24D5F">
        <w:t>pulley blocks</w:t>
      </w:r>
    </w:p>
    <w:p w:rsidR="00000000" w:rsidRPr="00B24D5F" w:rsidP="00B24D5F">
      <w:pPr>
        <w:pStyle w:val="ListBullet2"/>
      </w:pPr>
      <w:r w:rsidRPr="00B24D5F">
        <w:t>shackles</w:t>
      </w:r>
    </w:p>
    <w:p w:rsidR="00000000" w:rsidRPr="00B24D5F" w:rsidP="00B24D5F">
      <w:pPr>
        <w:pStyle w:val="ListBullet2"/>
      </w:pPr>
      <w:r w:rsidRPr="00B24D5F">
        <w:t>spanners</w:t>
      </w:r>
    </w:p>
    <w:p w:rsidR="00000000" w:rsidRPr="00B24D5F" w:rsidP="00B24D5F">
      <w:pPr>
        <w:pStyle w:val="ListBullet2"/>
      </w:pPr>
      <w:r w:rsidRPr="00B24D5F">
        <w:t>spirit levels and automatic levels</w:t>
      </w:r>
    </w:p>
    <w:p w:rsidR="00000000" w:rsidRPr="00B24D5F" w:rsidP="00B24D5F">
      <w:pPr>
        <w:pStyle w:val="ListBullet2"/>
      </w:pPr>
      <w:r w:rsidRPr="00B24D5F">
        <w:t>tape measures</w:t>
      </w:r>
    </w:p>
    <w:p w:rsidR="00000000" w:rsidRPr="00B24D5F" w:rsidP="00B24D5F">
      <w:pPr>
        <w:pStyle w:val="ListBullet2"/>
      </w:pPr>
      <w:r w:rsidRPr="00B24D5F">
        <w:t>trolleys</w:t>
      </w:r>
    </w:p>
    <w:p w:rsidR="00000000" w:rsidRPr="00B24D5F" w:rsidP="00B24D5F">
      <w:pPr>
        <w:pStyle w:val="ListBullet2"/>
      </w:pPr>
      <w:r w:rsidRPr="00B24D5F">
        <w:t>turn buckles</w:t>
      </w:r>
    </w:p>
    <w:p w:rsidR="00000000" w:rsidRPr="00B24D5F" w:rsidP="00B24D5F">
      <w:pPr>
        <w:pStyle w:val="ListBullet2"/>
      </w:pPr>
      <w:r w:rsidRPr="00B24D5F">
        <w:t>wedges</w:t>
      </w:r>
    </w:p>
    <w:p w:rsidR="00000000" w:rsidRPr="00B24D5F" w:rsidP="00B24D5F">
      <w:pPr>
        <w:pStyle w:val="ListBullet2"/>
      </w:pPr>
      <w:r w:rsidRPr="00B24D5F">
        <w:t>wrenches.</w:t>
      </w:r>
    </w:p>
    <w:p w:rsidR="00000000" w:rsidRPr="00B24D5F" w:rsidP="00B24D5F">
      <w:pPr>
        <w:pStyle w:val="AllowPageBreak"/>
      </w:pPr>
    </w:p>
    <w:p w:rsidR="00000000" w:rsidRPr="00B24D5F" w:rsidP="00B24D5F">
      <w:pPr>
        <w:pStyle w:val="Heading1"/>
      </w:pPr>
      <w:bookmarkStart w:id="12" w:name="O_1260660"/>
      <w:bookmarkEnd w:id="12"/>
      <w:r w:rsidRPr="00B24D5F">
        <w:t>Assessment Conditions</w:t>
      </w:r>
    </w:p>
    <w:p w:rsidR="00000000" w:rsidRPr="00B24D5F" w:rsidP="009E547D">
      <w:pPr>
        <w:pStyle w:val="BodyText"/>
      </w:pPr>
      <w:r w:rsidRPr="00B24D5F">
        <w:t>Assessors must meet the requirements for assessors contained in the Standards for Registered Training Organisations.</w:t>
      </w:r>
    </w:p>
    <w:p w:rsidR="00000000" w:rsidRPr="00B24D5F" w:rsidP="009E547D">
      <w:pPr>
        <w:pStyle w:val="BodyText"/>
      </w:pPr>
      <w:r w:rsidRPr="00B24D5F">
        <w:t>Assessment must be conducted in the workplace or a simulated workplace using realistic conditions, materials, activities, responsibilities, procedures, safety requirements and environmental considerations.</w:t>
      </w:r>
    </w:p>
    <w:p w:rsidR="00000000" w:rsidRPr="00B24D5F" w:rsidP="009E547D">
      <w:pPr>
        <w:pStyle w:val="BodyText"/>
      </w:pPr>
      <w:r w:rsidRPr="00B24D5F">
        <w:t>Candidates must have access to erection design doc</w:t>
      </w:r>
      <w:r w:rsidRPr="00B24D5F">
        <w:t>umentation, materials, plant, manufacturer specifications, tools and equipment required to achieve the performance evidence.</w:t>
      </w:r>
    </w:p>
    <w:p w:rsidR="00000000" w:rsidRPr="00B24D5F" w:rsidP="00B24D5F">
      <w:pPr>
        <w:pStyle w:val="Heading1"/>
      </w:pPr>
      <w:bookmarkStart w:id="13" w:name="O_1260658"/>
      <w:bookmarkEnd w:id="13"/>
      <w:r w:rsidRPr="00B24D5F">
        <w:t>Links</w:t>
      </w:r>
    </w:p>
    <w:p w:rsidR="00000000" w:rsidRPr="00B24D5F" w:rsidP="009E547D">
      <w:pPr>
        <w:pStyle w:val="BodyText"/>
      </w:pPr>
      <w:r w:rsidRPr="00B24D5F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8805B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B24D5F" w:rsidP="00B24D5F"/>
    <w:sectPr w:rsidSect="00B24D5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 w:rsidRPr="009E547D" w:rsidP="009E547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7D" w:rsidP="00B24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9E547D" w:rsidP="00B24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9E547D" w:rsidP="00B24D5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 w:rsidP="00B24D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9E547D">
      <w:t>Approved</w:t>
    </w:r>
    <w:r w:rsidR="009E547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9E547D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9E547D">
      <w:rPr>
        <w:noProof/>
      </w:rPr>
      <w:t>5</w:t>
    </w:r>
    <w:r>
      <w:rPr>
        <w:noProof/>
      </w:rPr>
      <w:fldChar w:fldCharType="end"/>
    </w:r>
  </w:p>
  <w:p w:rsidR="00B24D5F" w:rsidP="00B24D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9E547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9E547D">
      <w:t>BuildSkills Australia</w:t>
    </w:r>
    <w:r w:rsidR="009E547D">
      <w:fldChar w:fldCharType="end"/>
    </w:r>
  </w:p>
  <w:p w:rsidR="00B24D5F" w:rsidP="00B24D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7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24D5F" w:rsidRPr="009E547D" w:rsidP="009E547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E547D" w:rsidRPr="002D2AF8" w:rsidP="00B24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CPCPRE2002 Remove temporary supports from prefabricated concrete elements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9E547D" w:rsidP="00B24D5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D5F" w:rsidRPr="002D2AF8" w:rsidP="00B24D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9E547D">
      <w:t>CPCPRE2002 Remove temporary supports from prefabricated concrete elements</w:t>
    </w:r>
    <w:r w:rsidR="009E547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9E547D">
      <w:rPr>
        <w:noProof/>
      </w:rPr>
      <w:t>1 March 2025</w:t>
    </w:r>
    <w:r>
      <w:fldChar w:fldCharType="end"/>
    </w:r>
  </w:p>
  <w:p w:rsidR="00B24D5F" w:rsidP="00B24D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AC51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6A2EA0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116DDD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24D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24D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24D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24D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24D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24D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24D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24D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24D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24D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24D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24D5F"/>
  </w:style>
  <w:style w:type="character" w:customStyle="1" w:styleId="Heading1Char">
    <w:name w:val="Heading 1 Char"/>
    <w:basedOn w:val="DefaultParagraphFont"/>
    <w:link w:val="Heading1"/>
    <w:rsid w:val="00B24D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24D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24D5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24D5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24D5F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24D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24D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24D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24D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24D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24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24D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24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24D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24D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24D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24D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24D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24D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24D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24D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24D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24D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24D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24D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24D5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24D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24D5F"/>
    <w:rPr>
      <w:b/>
      <w:spacing w:val="0"/>
    </w:rPr>
  </w:style>
  <w:style w:type="paragraph" w:customStyle="1" w:styleId="SuperTitle">
    <w:name w:val="SuperTitle"/>
    <w:basedOn w:val="Title"/>
    <w:rsid w:val="00B24D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24D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24D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24D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24D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24D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24D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24D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24D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24D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24D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24D5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24D5F"/>
    <w:rPr>
      <w:i/>
    </w:rPr>
  </w:style>
  <w:style w:type="paragraph" w:styleId="Caption">
    <w:name w:val="caption"/>
    <w:basedOn w:val="BodyText"/>
    <w:next w:val="Normal"/>
    <w:qFormat/>
    <w:rsid w:val="00B24D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24D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24D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24D5F"/>
  </w:style>
  <w:style w:type="paragraph" w:styleId="TableofFigures">
    <w:name w:val="table of figures"/>
    <w:basedOn w:val="Normal"/>
    <w:next w:val="Normal"/>
    <w:semiHidden/>
    <w:rsid w:val="00B24D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24D5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24D5F"/>
    <w:rPr>
      <w:rFonts w:ascii="Wingdings" w:hAnsi="Wingdings"/>
    </w:rPr>
  </w:style>
  <w:style w:type="paragraph" w:customStyle="1" w:styleId="TableHeading">
    <w:name w:val="Table Heading"/>
    <w:basedOn w:val="HeadingBase"/>
    <w:rsid w:val="00B24D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24D5F"/>
    <w:rPr>
      <w:color w:val="0033CC"/>
      <w:u w:val="none"/>
    </w:rPr>
  </w:style>
  <w:style w:type="paragraph" w:customStyle="1" w:styleId="BodyTextRight">
    <w:name w:val="Body Text Right"/>
    <w:basedOn w:val="BodyText"/>
    <w:rsid w:val="00B24D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24D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24D5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24D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24D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24D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24D5F"/>
    <w:rPr>
      <w:sz w:val="32"/>
    </w:rPr>
  </w:style>
  <w:style w:type="paragraph" w:customStyle="1" w:styleId="HeadingProcedure">
    <w:name w:val="Heading Procedure"/>
    <w:basedOn w:val="HeadingBase"/>
    <w:next w:val="Normal"/>
    <w:rsid w:val="00B24D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24D5F"/>
    <w:pPr>
      <w:spacing w:before="60" w:after="60"/>
    </w:pPr>
  </w:style>
  <w:style w:type="paragraph" w:styleId="ListContinue">
    <w:name w:val="List Continue"/>
    <w:basedOn w:val="List"/>
    <w:rsid w:val="00B24D5F"/>
    <w:pPr>
      <w:ind w:firstLine="0"/>
    </w:pPr>
  </w:style>
  <w:style w:type="paragraph" w:customStyle="1" w:styleId="ListNote">
    <w:name w:val="List Note"/>
    <w:basedOn w:val="List"/>
    <w:rsid w:val="00B24D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24D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24D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24D5F"/>
    <w:rPr>
      <w:rFonts w:ascii="Courier New" w:hAnsi="Courier New"/>
    </w:rPr>
  </w:style>
  <w:style w:type="paragraph" w:customStyle="1" w:styleId="NoteBullet">
    <w:name w:val="Note Bullet"/>
    <w:basedOn w:val="Note"/>
    <w:rsid w:val="00B24D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24D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24D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24D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24D5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24D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24D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24D5F"/>
    <w:rPr>
      <w:b/>
      <w:smallCaps/>
    </w:rPr>
  </w:style>
  <w:style w:type="paragraph" w:customStyle="1" w:styleId="TableListNumber">
    <w:name w:val="Table List Number"/>
    <w:basedOn w:val="ListNumber"/>
    <w:rsid w:val="00B24D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24D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24D5F"/>
    <w:pPr>
      <w:numPr>
        <w:numId w:val="9"/>
      </w:numPr>
    </w:pPr>
  </w:style>
  <w:style w:type="paragraph" w:customStyle="1" w:styleId="ListAlpha2">
    <w:name w:val="List Alpha 2"/>
    <w:basedOn w:val="List2"/>
    <w:rsid w:val="00B24D5F"/>
    <w:pPr>
      <w:numPr>
        <w:numId w:val="8"/>
      </w:numPr>
    </w:pPr>
  </w:style>
  <w:style w:type="paragraph" w:styleId="List2">
    <w:name w:val="List 2"/>
    <w:basedOn w:val="BodyText"/>
    <w:rsid w:val="00B24D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24D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24D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24D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24D5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24D5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24D5F"/>
    <w:pPr>
      <w:numPr>
        <w:numId w:val="4"/>
      </w:numPr>
    </w:pPr>
  </w:style>
  <w:style w:type="paragraph" w:styleId="ListContinue2">
    <w:name w:val="List Continue 2"/>
    <w:basedOn w:val="List2"/>
    <w:rsid w:val="00B24D5F"/>
    <w:pPr>
      <w:ind w:firstLine="0"/>
    </w:pPr>
  </w:style>
  <w:style w:type="paragraph" w:styleId="ListContinue3">
    <w:name w:val="List Continue 3"/>
    <w:basedOn w:val="List3"/>
    <w:rsid w:val="00B24D5F"/>
    <w:pPr>
      <w:ind w:left="1021" w:firstLine="0"/>
    </w:pPr>
  </w:style>
  <w:style w:type="paragraph" w:styleId="ListContinue4">
    <w:name w:val="List Continue 4"/>
    <w:basedOn w:val="List4"/>
    <w:rsid w:val="00B24D5F"/>
    <w:pPr>
      <w:ind w:firstLine="0"/>
    </w:pPr>
  </w:style>
  <w:style w:type="paragraph" w:styleId="ListContinue5">
    <w:name w:val="List Continue 5"/>
    <w:basedOn w:val="List5"/>
    <w:rsid w:val="00B24D5F"/>
    <w:pPr>
      <w:ind w:firstLine="0"/>
    </w:pPr>
  </w:style>
  <w:style w:type="paragraph" w:styleId="ListNumber3">
    <w:name w:val="List Number 3"/>
    <w:basedOn w:val="List3"/>
    <w:rsid w:val="00B24D5F"/>
    <w:pPr>
      <w:numPr>
        <w:numId w:val="5"/>
      </w:numPr>
    </w:pPr>
  </w:style>
  <w:style w:type="paragraph" w:styleId="ListNumber4">
    <w:name w:val="List Number 4"/>
    <w:basedOn w:val="List4"/>
    <w:rsid w:val="00B24D5F"/>
    <w:pPr>
      <w:numPr>
        <w:numId w:val="6"/>
      </w:numPr>
    </w:pPr>
  </w:style>
  <w:style w:type="paragraph" w:styleId="ListNumber5">
    <w:name w:val="List Number 5"/>
    <w:basedOn w:val="List5"/>
    <w:rsid w:val="00B24D5F"/>
    <w:pPr>
      <w:numPr>
        <w:numId w:val="7"/>
      </w:numPr>
    </w:pPr>
  </w:style>
  <w:style w:type="paragraph" w:styleId="BlockText">
    <w:name w:val="Block Text"/>
    <w:basedOn w:val="Normal"/>
    <w:rsid w:val="00B24D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24D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24D5F"/>
    <w:rPr>
      <w:sz w:val="16"/>
      <w:vertAlign w:val="superscript"/>
    </w:rPr>
  </w:style>
  <w:style w:type="character" w:customStyle="1" w:styleId="Symbols">
    <w:name w:val="Symbols"/>
    <w:basedOn w:val="DefaultParagraphFont"/>
    <w:rsid w:val="00B24D5F"/>
    <w:rPr>
      <w:rFonts w:ascii="Symbol" w:hAnsi="Symbol"/>
    </w:rPr>
  </w:style>
  <w:style w:type="character" w:customStyle="1" w:styleId="MenuOptions">
    <w:name w:val="Menu Options"/>
    <w:basedOn w:val="DefaultParagraphFont"/>
    <w:rsid w:val="00B24D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24D5F"/>
    <w:rPr>
      <w:b/>
    </w:rPr>
  </w:style>
  <w:style w:type="character" w:customStyle="1" w:styleId="Underlined">
    <w:name w:val="Underlined"/>
    <w:basedOn w:val="DefaultParagraphFont"/>
    <w:rsid w:val="00B24D5F"/>
    <w:rPr>
      <w:u w:val="single"/>
    </w:rPr>
  </w:style>
  <w:style w:type="paragraph" w:customStyle="1" w:styleId="TableBodyTextRight">
    <w:name w:val="Table Body Text Right"/>
    <w:basedOn w:val="TableBodyText"/>
    <w:rsid w:val="00B24D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24D5F"/>
    <w:rPr>
      <w:sz w:val="18"/>
    </w:rPr>
  </w:style>
  <w:style w:type="paragraph" w:customStyle="1" w:styleId="BodySmallRight">
    <w:name w:val="Body Small Right"/>
    <w:basedOn w:val="BodyTextRight"/>
    <w:rsid w:val="00B24D5F"/>
    <w:rPr>
      <w:sz w:val="18"/>
      <w:szCs w:val="18"/>
    </w:rPr>
  </w:style>
  <w:style w:type="paragraph" w:customStyle="1" w:styleId="MarginEdition">
    <w:name w:val="Margin Edition"/>
    <w:basedOn w:val="MarginNote"/>
    <w:rsid w:val="00B24D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24D5F"/>
    <w:rPr>
      <w:sz w:val="2"/>
      <w:szCs w:val="2"/>
    </w:rPr>
  </w:style>
  <w:style w:type="character" w:customStyle="1" w:styleId="Small">
    <w:name w:val="Small"/>
    <w:basedOn w:val="DefaultParagraphFont"/>
    <w:rsid w:val="00B24D5F"/>
    <w:rPr>
      <w:sz w:val="16"/>
    </w:rPr>
  </w:style>
  <w:style w:type="paragraph" w:customStyle="1" w:styleId="WideTable">
    <w:name w:val="Wide Table"/>
    <w:basedOn w:val="Normal"/>
    <w:rsid w:val="00B24D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24D5F"/>
  </w:style>
  <w:style w:type="paragraph" w:styleId="Quote">
    <w:name w:val="Quote"/>
    <w:basedOn w:val="Heading1"/>
    <w:link w:val="QuoteChar"/>
    <w:qFormat/>
    <w:rsid w:val="00B24D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24D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24D5F"/>
    <w:pPr>
      <w:pageBreakBefore/>
    </w:pPr>
  </w:style>
  <w:style w:type="paragraph" w:customStyle="1" w:styleId="Border">
    <w:name w:val="Border"/>
    <w:basedOn w:val="Normal"/>
    <w:qFormat/>
    <w:rsid w:val="00B24D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24D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4D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4D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24D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24D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24D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24D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24D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24D5F"/>
    <w:rPr>
      <w:u w:val="single"/>
    </w:rPr>
  </w:style>
  <w:style w:type="character" w:customStyle="1" w:styleId="BoldandItalics">
    <w:name w:val="Bold and Italics"/>
    <w:qFormat/>
    <w:rsid w:val="00B24D5F"/>
    <w:rPr>
      <w:b/>
      <w:i/>
      <w:u w:val="none"/>
    </w:rPr>
  </w:style>
  <w:style w:type="paragraph" w:styleId="BalloonText">
    <w:name w:val="Balloon Text"/>
    <w:basedOn w:val="Normal"/>
    <w:link w:val="BalloonTextChar"/>
    <w:rsid w:val="00B24D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24D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24D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24D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24D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24D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24D5F"/>
    <w:pPr>
      <w:spacing w:before="0" w:after="0"/>
    </w:pPr>
  </w:style>
  <w:style w:type="paragraph" w:customStyle="1" w:styleId="BodyTextBold">
    <w:name w:val="Body Text Bold"/>
    <w:basedOn w:val="BodyText"/>
    <w:qFormat/>
    <w:rsid w:val="00B24D5F"/>
    <w:rPr>
      <w:b/>
    </w:rPr>
  </w:style>
  <w:style w:type="character" w:styleId="Hyperlink">
    <w:name w:val="Hyperlink"/>
    <w:basedOn w:val="DefaultParagraphFont"/>
    <w:uiPriority w:val="99"/>
    <w:unhideWhenUsed/>
    <w:rsid w:val="009E547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1128</Words>
  <Characters>7468</Characters>
  <Application>Microsoft Office Word</Application>
  <DocSecurity>0</DocSecurity>
  <Lines>311</Lines>
  <Paragraphs>199</Paragraphs>
  <ScaleCrop>false</ScaleCrop>
  <Company>Author-it Software Corporation Ltd.</Company>
  <LinksUpToDate>false</LinksUpToDate>
  <CharactersWithSpaces>8397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CPCPRE2002 Remove temporary supports from prefabricated concrete elements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2025-03-01T08:58:00Z</dcterms:created>
  <dcterms:modified xsi:type="dcterms:W3CDTF">2025-03-01T08:58:00Z</dcterms:modified>
</cp:coreProperties>
</file>