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5F2D" w:rsidP="002F5F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CPCPRE2001 Brace and prop prefabricated concrete elements</w:t>
      </w:r>
      <w:r>
        <w:fldChar w:fldCharType="end"/>
      </w:r>
    </w:p>
    <w:p w:rsidR="002F5F2D" w:rsidP="002F5F2D">
      <w:pPr>
        <w:pStyle w:val="Version"/>
        <w:sectPr w:rsidSect="00873E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3E84" w:rsidP="00873E84">
      <w:pPr>
        <w:pStyle w:val="SuperHeading"/>
      </w:pPr>
      <w:r w:rsidRPr="00873E84">
        <w:t>CPCPRE2001 Brace and prop prefabricated concrete elements</w:t>
      </w:r>
    </w:p>
    <w:p w:rsidR="00000000" w:rsidRPr="00873E84" w:rsidP="00873E84">
      <w:pPr>
        <w:pStyle w:val="Heading1"/>
      </w:pPr>
      <w:bookmarkStart w:id="1" w:name="O_1260589"/>
      <w:bookmarkEnd w:id="1"/>
      <w:r w:rsidRPr="00873E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87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84" w:rsidP="00873E84">
            <w:pPr>
              <w:pStyle w:val="BodyText"/>
            </w:pPr>
            <w:r w:rsidRPr="00873E84">
              <w:t>This version first released with CPC Construction, Plumbing and Services Training Package Release 9.0.</w:t>
            </w:r>
          </w:p>
          <w:p w:rsidR="00000000" w:rsidRPr="00873E84" w:rsidP="00873E84">
            <w:pPr>
              <w:pStyle w:val="BodyText"/>
            </w:pPr>
            <w:r w:rsidRPr="00873E84">
              <w:t>Newly created unit.</w:t>
            </w:r>
          </w:p>
        </w:tc>
      </w:tr>
    </w:tbl>
    <w:p w:rsidR="00000000" w:rsidRPr="00873E84" w:rsidP="00873E84">
      <w:pPr>
        <w:pStyle w:val="BodyText"/>
      </w:pPr>
    </w:p>
    <w:p w:rsidR="00000000" w:rsidRPr="00873E84" w:rsidP="00873E84">
      <w:pPr>
        <w:pStyle w:val="AllowPageBreak"/>
      </w:pPr>
    </w:p>
    <w:p w:rsidR="00000000" w:rsidRPr="00873E84" w:rsidP="00873E84">
      <w:pPr>
        <w:pStyle w:val="Heading1"/>
      </w:pPr>
      <w:bookmarkStart w:id="2" w:name="O_1260595"/>
      <w:bookmarkEnd w:id="2"/>
      <w:r w:rsidRPr="00873E84">
        <w:t>Application</w:t>
      </w:r>
    </w:p>
    <w:p w:rsidR="00000000" w:rsidRPr="00873E84" w:rsidP="002F5F2D">
      <w:pPr>
        <w:pStyle w:val="BodyText"/>
      </w:pPr>
      <w:r w:rsidRPr="00873E84">
        <w:t>This unit of competency specifies the skills and k</w:t>
      </w:r>
      <w:r w:rsidRPr="00873E84">
        <w:t>nowledge required to brace and prop prefabricated concrete elements. It requires using appropriate tools, equipment and material and working in a team environment on prefabricated concrete activities.</w:t>
      </w:r>
    </w:p>
    <w:p w:rsidR="00000000" w:rsidRPr="00873E84" w:rsidP="002F5F2D">
      <w:pPr>
        <w:pStyle w:val="BodyText"/>
      </w:pPr>
      <w:r w:rsidRPr="00873E84">
        <w:t>It applies to those who work under the direction of a l</w:t>
      </w:r>
      <w:r w:rsidRPr="00873E84">
        <w:t xml:space="preserve">icensed rigger or who hold a rigging licence. </w:t>
      </w:r>
    </w:p>
    <w:p w:rsidR="00000000" w:rsidRPr="00873E84" w:rsidP="002F5F2D">
      <w:pPr>
        <w:pStyle w:val="BodyText"/>
      </w:pPr>
      <w:r w:rsidRPr="00873E84">
        <w:t>Completion of the general construction induction training program, specified in the Safe Work Australia model Code of Practice: Construction Work, is required by anyone carrying out construction work. Achievem</w:t>
      </w:r>
      <w:r w:rsidRPr="00873E84">
        <w:t>ent of CPCWHS1001 Prepare to work safely in the construction industry meets this requirement.</w:t>
      </w:r>
    </w:p>
    <w:p w:rsidR="00000000" w:rsidRPr="00873E84" w:rsidP="002F5F2D">
      <w:pPr>
        <w:pStyle w:val="BodyText"/>
      </w:pPr>
      <w:r w:rsidRPr="00873E84">
        <w:t>Licensing, legislative, regulatory or certification requirements apply to this unit of competency in some states and territories. For further information, check w</w:t>
      </w:r>
      <w:r w:rsidRPr="00873E84">
        <w:t>ith the relevant regulatory authority.</w:t>
      </w:r>
    </w:p>
    <w:p w:rsidR="00000000" w:rsidRPr="00873E84" w:rsidP="00873E84">
      <w:pPr>
        <w:pStyle w:val="Heading1"/>
      </w:pPr>
      <w:bookmarkStart w:id="3" w:name="O_1260594"/>
      <w:bookmarkEnd w:id="3"/>
      <w:r w:rsidRPr="00873E84">
        <w:t>Pre-requisite Unit</w:t>
      </w:r>
    </w:p>
    <w:p w:rsidR="00000000" w:rsidRPr="00873E84" w:rsidP="002F5F2D">
      <w:pPr>
        <w:pStyle w:val="BodyText"/>
      </w:pPr>
      <w:r w:rsidRPr="00873E84">
        <w:t>CPCCWHS2001 Apply WHS requirements policies and procedures in the construction industry</w:t>
      </w:r>
    </w:p>
    <w:p w:rsidR="00000000" w:rsidRPr="00873E84" w:rsidP="00873E84">
      <w:pPr>
        <w:pStyle w:val="Heading1"/>
      </w:pPr>
      <w:bookmarkStart w:id="4" w:name="O_1260593"/>
      <w:bookmarkEnd w:id="4"/>
      <w:r w:rsidRPr="00873E84">
        <w:t>Unit Sector</w:t>
      </w:r>
    </w:p>
    <w:p w:rsidR="00000000" w:rsidRPr="00873E84" w:rsidP="002F5F2D">
      <w:pPr>
        <w:pStyle w:val="BodyText"/>
      </w:pPr>
      <w:r w:rsidRPr="00873E84">
        <w:t>Prefabricated concrete</w:t>
      </w:r>
    </w:p>
    <w:p w:rsidR="00000000" w:rsidRPr="00873E84" w:rsidP="00873E84">
      <w:pPr>
        <w:pStyle w:val="Heading1"/>
      </w:pPr>
      <w:bookmarkStart w:id="5" w:name="O_1260592"/>
      <w:bookmarkEnd w:id="5"/>
      <w:r w:rsidRPr="00873E8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7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Performance criteria describe what needs to be done to demonstrate achievement of the element.</w:t>
            </w:r>
          </w:p>
        </w:tc>
      </w:tr>
      <w:tr w:rsidTr="0087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1.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Access requirements to brace and prop prefabricated concrete elements.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Rev</w:t>
            </w:r>
            <w:r w:rsidRPr="00873E84">
              <w:t>iew and clarify prefabricated concrete installation task.</w:t>
            </w:r>
          </w:p>
        </w:tc>
      </w:tr>
      <w:tr w:rsidTr="0087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Review erection design documentation including task specifications and check to make sure they are in accordance with regulations and codes of practice.</w:t>
            </w:r>
          </w:p>
        </w:tc>
      </w:tr>
      <w:tr w:rsidTr="0087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Review work health and safety (WHS) requirements for the task in accordance with safety plans and policies.</w:t>
            </w:r>
          </w:p>
        </w:tc>
      </w:tr>
      <w:tr w:rsidTr="0087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Identify safety signage and barricade requirements.</w:t>
            </w:r>
          </w:p>
        </w:tc>
      </w:tr>
      <w:tr w:rsidTr="0087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Review environmental requirements for the task in accordance with environmental plans and legislative requirements.</w:t>
            </w:r>
          </w:p>
        </w:tc>
      </w:tr>
      <w:tr w:rsidTr="0087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Access plant, tools, equipment, braces props, the required material and their respective safety specifications to carry out task.</w:t>
            </w:r>
          </w:p>
        </w:tc>
      </w:tr>
      <w:tr w:rsidTr="0087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 xml:space="preserve">Access set-out drawings and the erection design documentation to verify the location of prefabricated concrete installations. </w:t>
            </w:r>
          </w:p>
        </w:tc>
      </w:tr>
      <w:tr w:rsidTr="0087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</w:p>
        </w:tc>
      </w:tr>
      <w:tr w:rsidTr="0087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2.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Prepare to brace and prop prefabricated concrete elements.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Erect identified safety signage and barricade requirements, and fit personal protective equipment (PPE).</w:t>
            </w:r>
          </w:p>
        </w:tc>
      </w:tr>
      <w:tr w:rsidTr="0087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Obtain plant, tools, equipment, check for serviceability and rectify or report any faults.</w:t>
            </w:r>
          </w:p>
        </w:tc>
      </w:tr>
      <w:tr w:rsidTr="0087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 xml:space="preserve">Check braces and props for serviceability and rectify or report any faults. </w:t>
            </w:r>
          </w:p>
        </w:tc>
      </w:tr>
      <w:tr w:rsidTr="0087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Check braces and/or props are correctly labelled with working load limit (WLL) in accordance with AS 3850 Prefabricated concrete elements.</w:t>
            </w:r>
          </w:p>
        </w:tc>
      </w:tr>
      <w:tr w:rsidTr="0087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Review erection plan and a</w:t>
            </w:r>
            <w:r w:rsidRPr="00873E84">
              <w:t>ccess information on job sequencing, team roles and coordinated activities.</w:t>
            </w:r>
          </w:p>
        </w:tc>
      </w:tr>
      <w:tr w:rsidTr="0087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 xml:space="preserve">Verify that the concrete strength of the elements to be braced and the concrete supporting elements for the braces and props have attained the specified minimum strength in </w:t>
            </w:r>
            <w:r w:rsidRPr="00873E84">
              <w:t>accordance with the erection design documentation.</w:t>
            </w:r>
          </w:p>
        </w:tc>
      </w:tr>
      <w:tr w:rsidTr="0087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</w:p>
        </w:tc>
      </w:tr>
      <w:tr w:rsidTr="0087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3.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Conduct bracing and propping of prefabricated concrete elements.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Position braces and/or props in accordance with the erection design documentation and AS 3850 1,2 &amp; 3 Prefabricated concrete elements.</w:t>
            </w:r>
          </w:p>
        </w:tc>
      </w:tr>
      <w:tr w:rsidTr="0087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Position levelling shims/packers to the nominated reduced level (RL) in accordance with the erection design docume</w:t>
            </w:r>
            <w:r w:rsidRPr="00873E84">
              <w:t xml:space="preserve">ntation. </w:t>
            </w:r>
          </w:p>
        </w:tc>
      </w:tr>
      <w:tr w:rsidTr="0087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 xml:space="preserve">Prepare and install temporary and/or permanent braces and props, incorporating modifications, correct bolt and installation procedures in accordance with the erection design documentation and standards. </w:t>
            </w:r>
          </w:p>
        </w:tc>
      </w:tr>
      <w:tr w:rsidTr="0087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Clear all pers</w:t>
            </w:r>
            <w:r w:rsidRPr="00873E84">
              <w:t>onnel from the drop zone during all lifting, handling and rotation operations.</w:t>
            </w:r>
          </w:p>
        </w:tc>
      </w:tr>
      <w:tr w:rsidTr="0087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Check that all support fixings are all correctly installed, checked and secured in accordance with the erection design documentation, with the correct tightening torque.</w:t>
            </w:r>
          </w:p>
        </w:tc>
      </w:tr>
      <w:tr w:rsidTr="0087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 xml:space="preserve">Confirm that the element is either adequately braced or fixed to and incorporated into the supporting structure prior to releasing the lifting equipment. </w:t>
            </w:r>
          </w:p>
        </w:tc>
      </w:tr>
      <w:tr w:rsidTr="0087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Check that the installed element is in the specified position and in accordance with the set-out drawings and erection design documentation.</w:t>
            </w:r>
          </w:p>
        </w:tc>
      </w:tr>
      <w:tr w:rsidTr="0087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 xml:space="preserve">Safely access lifting points and release lifting device in accordance with the instructions provided by the </w:t>
            </w:r>
            <w:r w:rsidRPr="00873E84">
              <w:t>lifting clutch manufacturer.</w:t>
            </w:r>
          </w:p>
        </w:tc>
      </w:tr>
      <w:tr w:rsidTr="0087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</w:p>
        </w:tc>
      </w:tr>
      <w:tr w:rsidTr="0087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4.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Clear work area and dispose of, reuse or recycle materials in accordance with regulatory and workplace requirements.</w:t>
            </w:r>
          </w:p>
        </w:tc>
      </w:tr>
      <w:tr w:rsidTr="0087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E84">
            <w:pPr>
              <w:pStyle w:val="BodyText"/>
              <w:rPr>
                <w:lang w:val="en-NZ"/>
              </w:rPr>
            </w:pPr>
            <w:r w:rsidRPr="00873E8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E84" w:rsidP="00873E84">
            <w:pPr>
              <w:pStyle w:val="BodyText"/>
            </w:pPr>
            <w:r w:rsidRPr="00873E84">
              <w:t>Clean, check, maintain and store tools and equipment in accordance with manufacturer and workplace requirements</w:t>
            </w:r>
          </w:p>
        </w:tc>
      </w:tr>
    </w:tbl>
    <w:p w:rsidR="002F5F2D" w:rsidP="00873E84">
      <w:pPr>
        <w:pStyle w:val="BodyText"/>
      </w:pPr>
    </w:p>
    <w:p w:rsidR="002F5F2D" w:rsidP="00873E84">
      <w:pPr>
        <w:pStyle w:val="BodyText"/>
      </w:pPr>
    </w:p>
    <w:p w:rsidR="00000000" w:rsidRPr="00873E84" w:rsidP="00873E84">
      <w:pPr>
        <w:pStyle w:val="Heading1"/>
      </w:pPr>
      <w:bookmarkStart w:id="6" w:name="O_1260591"/>
      <w:bookmarkEnd w:id="6"/>
      <w:r w:rsidRPr="00873E84">
        <w:t>Foundation Skills</w:t>
      </w:r>
    </w:p>
    <w:p w:rsidR="00000000" w:rsidRPr="00873E84" w:rsidP="002F5F2D">
      <w:pPr>
        <w:pStyle w:val="BodyText"/>
      </w:pPr>
      <w:r w:rsidRPr="00873E84">
        <w:t>Foundation skills essential to performance are explicit in the performance criteria of this unit of comp</w:t>
      </w:r>
      <w:r w:rsidRPr="00873E84">
        <w:t xml:space="preserve">etency. </w:t>
      </w:r>
    </w:p>
    <w:p w:rsidR="00000000" w:rsidRPr="00873E84" w:rsidP="00873E84">
      <w:pPr>
        <w:pStyle w:val="Heading1"/>
      </w:pPr>
      <w:bookmarkStart w:id="7" w:name="O_1260590"/>
      <w:bookmarkEnd w:id="7"/>
      <w:r w:rsidRPr="00873E84">
        <w:t>Unit Mapping Information</w:t>
      </w:r>
    </w:p>
    <w:p w:rsidR="00000000" w:rsidRPr="00873E84" w:rsidP="002F5F2D">
      <w:pPr>
        <w:pStyle w:val="BodyText"/>
      </w:pPr>
      <w:r w:rsidRPr="00873E84">
        <w:t>No equivalent unit.</w:t>
      </w:r>
    </w:p>
    <w:p w:rsidR="00000000" w:rsidRPr="00873E84" w:rsidP="00873E84">
      <w:pPr>
        <w:pStyle w:val="Heading1"/>
      </w:pPr>
      <w:bookmarkStart w:id="8" w:name="O_1260583"/>
      <w:bookmarkEnd w:id="8"/>
      <w:r w:rsidRPr="00873E84">
        <w:t>Links</w:t>
      </w:r>
    </w:p>
    <w:p w:rsidR="00000000" w:rsidRPr="00873E84" w:rsidP="002F5F2D">
      <w:pPr>
        <w:pStyle w:val="BodyText"/>
      </w:pPr>
      <w:r w:rsidRPr="00873E8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1193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73E84" w:rsidP="00873E84"/>
    <w:sectPr w:rsidSect="00873E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E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E84" w:rsidRPr="002F5F2D" w:rsidP="002F5F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E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F2D" w:rsidP="00873E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5F2D" w:rsidP="00873E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F5F2D" w:rsidP="00873E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E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F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3E84" w:rsidRPr="002F5F2D" w:rsidP="002F5F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E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F2D" w:rsidRPr="002D2AF8" w:rsidP="00873E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CPCPRE2001 Brace and prop prefabricated concrete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F5F2D" w:rsidP="00873E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E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3E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3E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3E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3E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3E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3E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3E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3E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3E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3E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3E84"/>
  </w:style>
  <w:style w:type="character" w:customStyle="1" w:styleId="Heading1Char">
    <w:name w:val="Heading 1 Char"/>
    <w:basedOn w:val="DefaultParagraphFont"/>
    <w:link w:val="Heading1"/>
    <w:rsid w:val="00873E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3E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3E8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73E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3E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3E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3E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3E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3E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3E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3E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3E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3E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3E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3E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3E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3E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3E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3E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3E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3E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3E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3E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3E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3E8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73E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3E84"/>
    <w:rPr>
      <w:b/>
      <w:spacing w:val="0"/>
    </w:rPr>
  </w:style>
  <w:style w:type="paragraph" w:customStyle="1" w:styleId="SuperTitle">
    <w:name w:val="SuperTitle"/>
    <w:basedOn w:val="Title"/>
    <w:rsid w:val="00873E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3E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3E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3E8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3E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3E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3E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3E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3E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3E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3E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3E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3E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3E84"/>
    <w:rPr>
      <w:i/>
    </w:rPr>
  </w:style>
  <w:style w:type="paragraph" w:styleId="Caption">
    <w:name w:val="caption"/>
    <w:basedOn w:val="BodyText"/>
    <w:next w:val="Normal"/>
    <w:qFormat/>
    <w:rsid w:val="00873E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3E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3E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3E84"/>
  </w:style>
  <w:style w:type="paragraph" w:styleId="TableofFigures">
    <w:name w:val="table of figures"/>
    <w:basedOn w:val="Normal"/>
    <w:next w:val="Normal"/>
    <w:semiHidden/>
    <w:rsid w:val="00873E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3E8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73E84"/>
    <w:rPr>
      <w:rFonts w:ascii="Wingdings" w:hAnsi="Wingdings"/>
    </w:rPr>
  </w:style>
  <w:style w:type="paragraph" w:customStyle="1" w:styleId="TableHeading">
    <w:name w:val="Table Heading"/>
    <w:basedOn w:val="HeadingBase"/>
    <w:rsid w:val="00873E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3E84"/>
    <w:rPr>
      <w:color w:val="0033CC"/>
      <w:u w:val="none"/>
    </w:rPr>
  </w:style>
  <w:style w:type="paragraph" w:customStyle="1" w:styleId="BodyTextRight">
    <w:name w:val="Body Text Right"/>
    <w:basedOn w:val="BodyText"/>
    <w:rsid w:val="00873E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3E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3E8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3E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3E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3E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3E84"/>
    <w:rPr>
      <w:sz w:val="32"/>
    </w:rPr>
  </w:style>
  <w:style w:type="paragraph" w:customStyle="1" w:styleId="HeadingProcedure">
    <w:name w:val="Heading Procedure"/>
    <w:basedOn w:val="HeadingBase"/>
    <w:next w:val="Normal"/>
    <w:rsid w:val="00873E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3E84"/>
    <w:pPr>
      <w:spacing w:before="60" w:after="60"/>
    </w:pPr>
  </w:style>
  <w:style w:type="paragraph" w:styleId="ListContinue">
    <w:name w:val="List Continue"/>
    <w:basedOn w:val="List"/>
    <w:rsid w:val="00873E84"/>
    <w:pPr>
      <w:ind w:firstLine="0"/>
    </w:pPr>
  </w:style>
  <w:style w:type="paragraph" w:customStyle="1" w:styleId="ListNote">
    <w:name w:val="List Note"/>
    <w:basedOn w:val="List"/>
    <w:rsid w:val="00873E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3E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3E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3E84"/>
    <w:rPr>
      <w:rFonts w:ascii="Courier New" w:hAnsi="Courier New"/>
    </w:rPr>
  </w:style>
  <w:style w:type="paragraph" w:customStyle="1" w:styleId="NoteBullet">
    <w:name w:val="Note Bullet"/>
    <w:basedOn w:val="Note"/>
    <w:rsid w:val="00873E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3E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3E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3E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3E8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73E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3E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3E84"/>
    <w:rPr>
      <w:b/>
      <w:smallCaps/>
    </w:rPr>
  </w:style>
  <w:style w:type="paragraph" w:customStyle="1" w:styleId="TableListNumber">
    <w:name w:val="Table List Number"/>
    <w:basedOn w:val="ListNumber"/>
    <w:rsid w:val="00873E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3E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3E84"/>
    <w:pPr>
      <w:numPr>
        <w:numId w:val="7"/>
      </w:numPr>
    </w:pPr>
  </w:style>
  <w:style w:type="paragraph" w:customStyle="1" w:styleId="ListAlpha2">
    <w:name w:val="List Alpha 2"/>
    <w:basedOn w:val="List2"/>
    <w:rsid w:val="00873E84"/>
    <w:pPr>
      <w:numPr>
        <w:numId w:val="6"/>
      </w:numPr>
    </w:pPr>
  </w:style>
  <w:style w:type="paragraph" w:styleId="List2">
    <w:name w:val="List 2"/>
    <w:basedOn w:val="BodyText"/>
    <w:rsid w:val="00873E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3E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3E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3E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3E8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3E8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73E84"/>
    <w:pPr>
      <w:numPr>
        <w:numId w:val="2"/>
      </w:numPr>
    </w:pPr>
  </w:style>
  <w:style w:type="paragraph" w:styleId="ListContinue2">
    <w:name w:val="List Continue 2"/>
    <w:basedOn w:val="List2"/>
    <w:rsid w:val="00873E84"/>
    <w:pPr>
      <w:ind w:firstLine="0"/>
    </w:pPr>
  </w:style>
  <w:style w:type="paragraph" w:styleId="ListContinue3">
    <w:name w:val="List Continue 3"/>
    <w:basedOn w:val="List3"/>
    <w:rsid w:val="00873E84"/>
    <w:pPr>
      <w:ind w:left="1021" w:firstLine="0"/>
    </w:pPr>
  </w:style>
  <w:style w:type="paragraph" w:styleId="ListContinue4">
    <w:name w:val="List Continue 4"/>
    <w:basedOn w:val="List4"/>
    <w:rsid w:val="00873E84"/>
    <w:pPr>
      <w:ind w:firstLine="0"/>
    </w:pPr>
  </w:style>
  <w:style w:type="paragraph" w:styleId="ListContinue5">
    <w:name w:val="List Continue 5"/>
    <w:basedOn w:val="List5"/>
    <w:rsid w:val="00873E84"/>
    <w:pPr>
      <w:ind w:firstLine="0"/>
    </w:pPr>
  </w:style>
  <w:style w:type="paragraph" w:styleId="ListNumber3">
    <w:name w:val="List Number 3"/>
    <w:basedOn w:val="List3"/>
    <w:rsid w:val="00873E84"/>
    <w:pPr>
      <w:numPr>
        <w:numId w:val="3"/>
      </w:numPr>
    </w:pPr>
  </w:style>
  <w:style w:type="paragraph" w:styleId="ListNumber4">
    <w:name w:val="List Number 4"/>
    <w:basedOn w:val="List4"/>
    <w:rsid w:val="00873E84"/>
    <w:pPr>
      <w:numPr>
        <w:numId w:val="4"/>
      </w:numPr>
    </w:pPr>
  </w:style>
  <w:style w:type="paragraph" w:styleId="ListNumber5">
    <w:name w:val="List Number 5"/>
    <w:basedOn w:val="List5"/>
    <w:rsid w:val="00873E84"/>
    <w:pPr>
      <w:numPr>
        <w:numId w:val="5"/>
      </w:numPr>
    </w:pPr>
  </w:style>
  <w:style w:type="paragraph" w:styleId="BlockText">
    <w:name w:val="Block Text"/>
    <w:basedOn w:val="Normal"/>
    <w:rsid w:val="00873E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3E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3E84"/>
    <w:rPr>
      <w:sz w:val="16"/>
      <w:vertAlign w:val="superscript"/>
    </w:rPr>
  </w:style>
  <w:style w:type="character" w:customStyle="1" w:styleId="Symbols">
    <w:name w:val="Symbols"/>
    <w:basedOn w:val="DefaultParagraphFont"/>
    <w:rsid w:val="00873E84"/>
    <w:rPr>
      <w:rFonts w:ascii="Symbol" w:hAnsi="Symbol"/>
    </w:rPr>
  </w:style>
  <w:style w:type="character" w:customStyle="1" w:styleId="MenuOptions">
    <w:name w:val="Menu Options"/>
    <w:basedOn w:val="DefaultParagraphFont"/>
    <w:rsid w:val="00873E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3E84"/>
    <w:rPr>
      <w:b/>
    </w:rPr>
  </w:style>
  <w:style w:type="character" w:customStyle="1" w:styleId="Underlined">
    <w:name w:val="Underlined"/>
    <w:basedOn w:val="DefaultParagraphFont"/>
    <w:rsid w:val="00873E84"/>
    <w:rPr>
      <w:u w:val="single"/>
    </w:rPr>
  </w:style>
  <w:style w:type="paragraph" w:customStyle="1" w:styleId="TableBodyTextRight">
    <w:name w:val="Table Body Text Right"/>
    <w:basedOn w:val="TableBodyText"/>
    <w:rsid w:val="00873E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3E84"/>
    <w:rPr>
      <w:sz w:val="18"/>
    </w:rPr>
  </w:style>
  <w:style w:type="paragraph" w:customStyle="1" w:styleId="BodySmallRight">
    <w:name w:val="Body Small Right"/>
    <w:basedOn w:val="BodyTextRight"/>
    <w:rsid w:val="00873E84"/>
    <w:rPr>
      <w:sz w:val="18"/>
      <w:szCs w:val="18"/>
    </w:rPr>
  </w:style>
  <w:style w:type="paragraph" w:customStyle="1" w:styleId="MarginEdition">
    <w:name w:val="Margin Edition"/>
    <w:basedOn w:val="MarginNote"/>
    <w:rsid w:val="00873E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3E84"/>
    <w:rPr>
      <w:sz w:val="2"/>
      <w:szCs w:val="2"/>
    </w:rPr>
  </w:style>
  <w:style w:type="character" w:customStyle="1" w:styleId="Small">
    <w:name w:val="Small"/>
    <w:basedOn w:val="DefaultParagraphFont"/>
    <w:rsid w:val="00873E84"/>
    <w:rPr>
      <w:sz w:val="16"/>
    </w:rPr>
  </w:style>
  <w:style w:type="paragraph" w:customStyle="1" w:styleId="WideTable">
    <w:name w:val="Wide Table"/>
    <w:basedOn w:val="Normal"/>
    <w:rsid w:val="00873E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3E84"/>
  </w:style>
  <w:style w:type="paragraph" w:styleId="Quote">
    <w:name w:val="Quote"/>
    <w:basedOn w:val="Heading1"/>
    <w:link w:val="QuoteChar"/>
    <w:qFormat/>
    <w:rsid w:val="00873E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3E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3E84"/>
    <w:pPr>
      <w:pageBreakBefore/>
    </w:pPr>
  </w:style>
  <w:style w:type="paragraph" w:customStyle="1" w:styleId="Border">
    <w:name w:val="Border"/>
    <w:basedOn w:val="Normal"/>
    <w:qFormat/>
    <w:rsid w:val="00873E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3E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3E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3E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3E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3E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3E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3E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3E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3E84"/>
    <w:rPr>
      <w:u w:val="single"/>
    </w:rPr>
  </w:style>
  <w:style w:type="character" w:customStyle="1" w:styleId="BoldandItalics">
    <w:name w:val="Bold and Italics"/>
    <w:qFormat/>
    <w:rsid w:val="00873E84"/>
    <w:rPr>
      <w:b/>
      <w:i/>
      <w:u w:val="none"/>
    </w:rPr>
  </w:style>
  <w:style w:type="paragraph" w:styleId="BalloonText">
    <w:name w:val="Balloon Text"/>
    <w:basedOn w:val="Normal"/>
    <w:link w:val="BalloonTextChar"/>
    <w:rsid w:val="00873E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3E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3E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3E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3E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3E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3E84"/>
    <w:pPr>
      <w:spacing w:before="0" w:after="0"/>
    </w:pPr>
  </w:style>
  <w:style w:type="paragraph" w:customStyle="1" w:styleId="BodyTextBold">
    <w:name w:val="Body Text Bold"/>
    <w:basedOn w:val="BodyText"/>
    <w:qFormat/>
    <w:rsid w:val="00873E84"/>
    <w:rPr>
      <w:b/>
    </w:rPr>
  </w:style>
  <w:style w:type="character" w:styleId="Hyperlink">
    <w:name w:val="Hyperlink"/>
    <w:basedOn w:val="DefaultParagraphFont"/>
    <w:uiPriority w:val="99"/>
    <w:unhideWhenUsed/>
    <w:rsid w:val="002F5F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728</Words>
  <Characters>4509</Characters>
  <Application>Microsoft Office Word</Application>
  <DocSecurity>0</DocSecurity>
  <Lines>214</Lines>
  <Paragraphs>95</Paragraphs>
  <ScaleCrop>false</ScaleCrop>
  <Company>Author-it Software Corporation Ltd.</Company>
  <LinksUpToDate>false</LinksUpToDate>
  <CharactersWithSpaces>5142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CPCPRE2001 Brace and prop prefabricated concrete elements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2024-12-24T00:53:00Z</dcterms:created>
  <dcterms:modified xsi:type="dcterms:W3CDTF">2024-12-24T00:53:00Z</dcterms:modified>
</cp:coreProperties>
</file>