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690" w:rsidP="001866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CPCPRE2001 Brace and prop prefabricated concrete elements</w:t>
      </w:r>
      <w:r>
        <w:fldChar w:fldCharType="end"/>
      </w:r>
    </w:p>
    <w:p w:rsidR="00186690" w:rsidP="00186690">
      <w:pPr>
        <w:pStyle w:val="Version"/>
        <w:sectPr w:rsidSect="000A3B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B17" w:rsidP="000A3B17">
      <w:pPr>
        <w:pStyle w:val="SuperHeading"/>
      </w:pPr>
      <w:r w:rsidRPr="000A3B17">
        <w:t>CPCPRE2001 Brace and prop prefabricated concrete elements</w:t>
      </w:r>
    </w:p>
    <w:p w:rsidR="00000000" w:rsidRPr="000A3B17" w:rsidP="000A3B17">
      <w:pPr>
        <w:pStyle w:val="Heading1"/>
      </w:pPr>
      <w:bookmarkStart w:id="1" w:name="O_1260589"/>
      <w:bookmarkEnd w:id="1"/>
      <w:r w:rsidRPr="000A3B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B17" w:rsidP="000A3B17">
            <w:pPr>
              <w:pStyle w:val="BodyText"/>
            </w:pPr>
            <w:r w:rsidRPr="000A3B17">
              <w:t>This version first released with CPC Construction, Plumbing and Services Training Package Release 9.0.</w:t>
            </w:r>
          </w:p>
          <w:p w:rsidR="00000000" w:rsidRPr="000A3B17" w:rsidP="000A3B17">
            <w:pPr>
              <w:pStyle w:val="BodyText"/>
            </w:pPr>
            <w:r w:rsidRPr="000A3B17">
              <w:t>Newly created unit.</w:t>
            </w:r>
          </w:p>
        </w:tc>
      </w:tr>
    </w:tbl>
    <w:p w:rsidR="00000000" w:rsidRPr="000A3B17" w:rsidP="000A3B17">
      <w:pPr>
        <w:pStyle w:val="BodyText"/>
      </w:pPr>
    </w:p>
    <w:p w:rsidR="00000000" w:rsidRPr="000A3B17" w:rsidP="000A3B17">
      <w:pPr>
        <w:pStyle w:val="AllowPageBreak"/>
      </w:pPr>
    </w:p>
    <w:p w:rsidR="00000000" w:rsidRPr="000A3B17" w:rsidP="000A3B17">
      <w:pPr>
        <w:pStyle w:val="Heading1"/>
      </w:pPr>
      <w:bookmarkStart w:id="2" w:name="O_1260595"/>
      <w:bookmarkEnd w:id="2"/>
      <w:r w:rsidRPr="000A3B17">
        <w:t>Application</w:t>
      </w:r>
    </w:p>
    <w:p w:rsidR="00000000" w:rsidRPr="000A3B17" w:rsidP="00186690">
      <w:pPr>
        <w:pStyle w:val="BodyText"/>
      </w:pPr>
      <w:r w:rsidRPr="000A3B17">
        <w:t>This unit of competency specifies the skills and k</w:t>
      </w:r>
      <w:r w:rsidRPr="000A3B17">
        <w:t>nowledge required to brace and prop prefabricated concrete elements. It requires using appropriate tools, equipment and material and working in a team environment on prefabricated concrete activities.</w:t>
      </w:r>
    </w:p>
    <w:p w:rsidR="00000000" w:rsidRPr="000A3B17" w:rsidP="00186690">
      <w:pPr>
        <w:pStyle w:val="BodyText"/>
      </w:pPr>
      <w:r w:rsidRPr="000A3B17">
        <w:t>It applies to those who work under the direction of a l</w:t>
      </w:r>
      <w:r w:rsidRPr="000A3B17">
        <w:t xml:space="preserve">icensed rigger or who hold a rigging licence. </w:t>
      </w:r>
    </w:p>
    <w:p w:rsidR="00000000" w:rsidRPr="000A3B17" w:rsidP="00186690">
      <w:pPr>
        <w:pStyle w:val="BodyText"/>
      </w:pPr>
      <w:r w:rsidRPr="000A3B17">
        <w:t>Completion of the general construction induction training program, specified in the Safe Work Australia model Code of Practice: Construction Work, is required by anyone carrying out construction work. Achievem</w:t>
      </w:r>
      <w:r w:rsidRPr="000A3B17">
        <w:t>ent of CPCWHS1001 Prepare to work safely in the construction industry meets this requirement.</w:t>
      </w:r>
    </w:p>
    <w:p w:rsidR="00000000" w:rsidRPr="000A3B17" w:rsidP="00186690">
      <w:pPr>
        <w:pStyle w:val="BodyText"/>
      </w:pPr>
      <w:r w:rsidRPr="000A3B17">
        <w:t>Licensing, legislative, regulatory or certification requirements apply to this unit of competency in some states and territories. For further information, check w</w:t>
      </w:r>
      <w:r w:rsidRPr="000A3B17">
        <w:t>ith the relevant regulatory authority.</w:t>
      </w:r>
    </w:p>
    <w:p w:rsidR="00000000" w:rsidRPr="000A3B17" w:rsidP="000A3B17">
      <w:pPr>
        <w:pStyle w:val="Heading1"/>
      </w:pPr>
      <w:bookmarkStart w:id="3" w:name="O_1260594"/>
      <w:bookmarkEnd w:id="3"/>
      <w:r w:rsidRPr="000A3B17">
        <w:t>Pre-requisite Unit</w:t>
      </w:r>
    </w:p>
    <w:p w:rsidR="00000000" w:rsidRPr="000A3B17" w:rsidP="00186690">
      <w:pPr>
        <w:pStyle w:val="BodyText"/>
      </w:pPr>
      <w:r w:rsidRPr="000A3B17">
        <w:t>CPCCWHS2001 Apply WHS requirements policies and procedures in the construction industry</w:t>
      </w:r>
    </w:p>
    <w:p w:rsidR="00000000" w:rsidRPr="000A3B17" w:rsidP="000A3B17">
      <w:pPr>
        <w:pStyle w:val="Heading1"/>
      </w:pPr>
      <w:bookmarkStart w:id="4" w:name="O_1260593"/>
      <w:bookmarkEnd w:id="4"/>
      <w:r w:rsidRPr="000A3B17">
        <w:t>Unit Sector</w:t>
      </w:r>
    </w:p>
    <w:p w:rsidR="00000000" w:rsidRPr="000A3B17" w:rsidP="00186690">
      <w:pPr>
        <w:pStyle w:val="BodyText"/>
      </w:pPr>
      <w:r w:rsidRPr="000A3B17">
        <w:t>Prefabricated concrete</w:t>
      </w:r>
    </w:p>
    <w:p w:rsidR="00000000" w:rsidRPr="000A3B17" w:rsidP="000A3B17">
      <w:pPr>
        <w:pStyle w:val="Heading1"/>
      </w:pPr>
      <w:bookmarkStart w:id="5" w:name="O_1260592"/>
      <w:bookmarkEnd w:id="5"/>
      <w:r w:rsidRPr="000A3B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Performance criteria describe what needs to be done to demonstrate achievement of the element.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1.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Access requirements to brace and prop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Rev</w:t>
            </w:r>
            <w:r w:rsidRPr="000A3B17">
              <w:t>iew and clarify prefabricated concrete installation task.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Review erection design documentation including task specifications and check to make sure they are in accordance with regulations and codes of practice.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Review work health and safety (WHS) requirements for the task in accordance with safety plans and policies.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Identify safety signage and barricade requirements.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Review environmental requirements for the task in accordance with environmental plans and legislative requirements.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Access plant, tools, equipment, braces props, the required material and their respective safety specifications to carry out task.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 xml:space="preserve">Access set-out drawings and the erection design documentation to verify the location of prefabricated concrete installations. 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2.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Prepare to brace and prop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Erect identified safety signage and barricade requirements, and fit personal protective equipment (PPE).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Obtain plant, tools, equipment, check for serviceability and rectify or report any faults.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 xml:space="preserve">Check braces and props for serviceability and rectify or report any faults. 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Check braces and/or props are correctly labelled with working load limit (WLL) in accordance with AS 3850 Prefabricated concrete elements.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Review erection plan and a</w:t>
            </w:r>
            <w:r w:rsidRPr="000A3B17">
              <w:t>ccess information on job sequencing, team roles and coordinated activities.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 xml:space="preserve">Verify that the concrete strength of the elements to be braced and the concrete supporting elements for the braces and props have attained the specified minimum strength in </w:t>
            </w:r>
            <w:r w:rsidRPr="000A3B17">
              <w:t>accordance with the erection design documentation.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3.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Conduct bracing and propping of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Position braces and/</w:t>
            </w:r>
            <w:r w:rsidRPr="000A3B17">
              <w:t>or props in accordance with the erection design documentation and AS 3850 1,2 &amp; 3 Prefabricated concrete elements.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 xml:space="preserve">Position levelling shims/packers to the nominated reduced level (RL) in accordance with the erection design documentation. 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 xml:space="preserve">Prepare and install temporary and/or permanent braces and props, incorporating modifications, correct bolt and installation procedures in accordance with the erection design documentation and standards. 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Clear all personnel from the drop zone during</w:t>
            </w:r>
            <w:r w:rsidRPr="000A3B17">
              <w:t xml:space="preserve"> all lifting, handling and rotation operations.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Check that all support fixings are all correctly installed, checked and secured in accordance with the erection design documentation, with the correct tightening torque.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Confirm that the element</w:t>
            </w:r>
            <w:r w:rsidRPr="000A3B17">
              <w:t xml:space="preserve"> is either adequately braced or fixed to and incorporated into the supporting structure prior to releasing the lifting equipment. 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Check that the installed element is in the specified position and in accordance with the set-out drawings and erection design documentation.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 xml:space="preserve">Safely access lifting points and release lifting device in accordance with the instructions provided by the </w:t>
            </w:r>
            <w:r w:rsidRPr="000A3B17">
              <w:t>lifting clutch manufacturer.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4.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Clear work area and dispose of, reuse or recycle materials in accordance with regulatory and workplace requirements.</w:t>
            </w:r>
          </w:p>
        </w:tc>
      </w:tr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B17" w:rsidP="000A3B17">
            <w:pPr>
              <w:pStyle w:val="BodyText"/>
            </w:pPr>
            <w:r w:rsidRPr="000A3B17">
              <w:t>Clean, check, maintain and store tools and equipment in accordance with manufacturer and workplace requirements</w:t>
            </w:r>
          </w:p>
        </w:tc>
      </w:tr>
    </w:tbl>
    <w:p w:rsidR="00186690" w:rsidP="000A3B17">
      <w:pPr>
        <w:pStyle w:val="BodyText"/>
      </w:pPr>
    </w:p>
    <w:p w:rsidR="00186690" w:rsidP="000A3B17">
      <w:pPr>
        <w:pStyle w:val="BodyText"/>
      </w:pPr>
    </w:p>
    <w:p w:rsidR="00000000" w:rsidRPr="000A3B17" w:rsidP="000A3B17">
      <w:pPr>
        <w:pStyle w:val="Heading1"/>
      </w:pPr>
      <w:bookmarkStart w:id="6" w:name="O_1260591"/>
      <w:bookmarkEnd w:id="6"/>
      <w:r w:rsidRPr="000A3B17">
        <w:t>Foundation Skills</w:t>
      </w:r>
    </w:p>
    <w:p w:rsidR="00000000" w:rsidRPr="000A3B17" w:rsidP="00186690">
      <w:pPr>
        <w:pStyle w:val="BodyText"/>
      </w:pPr>
      <w:r w:rsidRPr="000A3B17">
        <w:t>Foundation skills essential to performance are explicit in the performance criteria of this unit of comp</w:t>
      </w:r>
      <w:r w:rsidRPr="000A3B17">
        <w:t xml:space="preserve">etency. </w:t>
      </w:r>
    </w:p>
    <w:p w:rsidR="00000000" w:rsidRPr="000A3B17" w:rsidP="000A3B17">
      <w:pPr>
        <w:pStyle w:val="Heading1"/>
      </w:pPr>
      <w:bookmarkStart w:id="7" w:name="O_1260590"/>
      <w:bookmarkEnd w:id="7"/>
      <w:r w:rsidRPr="000A3B17">
        <w:t>Unit Mapping Information</w:t>
      </w:r>
    </w:p>
    <w:p w:rsidR="00000000" w:rsidRPr="000A3B17" w:rsidP="00186690">
      <w:pPr>
        <w:pStyle w:val="BodyText"/>
      </w:pPr>
      <w:r w:rsidRPr="000A3B17">
        <w:t>No equivalent unit.</w:t>
      </w:r>
    </w:p>
    <w:p w:rsidR="00000000" w:rsidRPr="000A3B17" w:rsidP="000A3B17">
      <w:pPr>
        <w:pStyle w:val="Heading1"/>
      </w:pPr>
      <w:bookmarkStart w:id="8" w:name="O_1260583"/>
      <w:bookmarkEnd w:id="8"/>
      <w:r w:rsidRPr="000A3B17">
        <w:t>Links</w:t>
      </w:r>
    </w:p>
    <w:p w:rsidR="00000000" w:rsidRPr="000A3B17" w:rsidP="00186690">
      <w:pPr>
        <w:pStyle w:val="BodyText"/>
      </w:pPr>
      <w:r w:rsidRPr="000A3B1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F638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A3B17" w:rsidP="00186690">
      <w:pPr>
        <w:pStyle w:val="BodyText"/>
        <w:sectPr w:rsidSect="000A3B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3B17" w:rsidP="000A3B17">
      <w:pPr>
        <w:pStyle w:val="SuperHeading"/>
      </w:pPr>
      <w:r w:rsidRPr="000A3B17">
        <w:t>Assessment Requirements for CPCPRE2001 Brace and prop prefabricated concrete elements</w:t>
      </w:r>
    </w:p>
    <w:p w:rsidR="00000000" w:rsidRPr="000A3B17" w:rsidP="000A3B17">
      <w:pPr>
        <w:pStyle w:val="Heading1"/>
      </w:pPr>
      <w:bookmarkStart w:id="9" w:name="O_1260585"/>
      <w:bookmarkEnd w:id="9"/>
      <w:r w:rsidRPr="000A3B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0A3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B17">
            <w:pPr>
              <w:pStyle w:val="BodyText"/>
              <w:rPr>
                <w:lang w:val="en-NZ"/>
              </w:rPr>
            </w:pPr>
            <w:r w:rsidRPr="000A3B1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B17" w:rsidP="000A3B17">
            <w:pPr>
              <w:pStyle w:val="BodyText"/>
            </w:pPr>
            <w:r w:rsidRPr="000A3B17">
              <w:t>This version first released with CPC Construction, Pl</w:t>
            </w:r>
            <w:r w:rsidRPr="000A3B17">
              <w:t>umbing and Services Training Package Release 9.0.</w:t>
            </w:r>
          </w:p>
          <w:p w:rsidR="00000000" w:rsidRPr="000A3B17" w:rsidP="000A3B17">
            <w:pPr>
              <w:pStyle w:val="BodyText"/>
            </w:pPr>
            <w:r w:rsidRPr="000A3B17">
              <w:t>Newly created unit.</w:t>
            </w:r>
          </w:p>
        </w:tc>
      </w:tr>
    </w:tbl>
    <w:p w:rsidR="00000000" w:rsidRPr="000A3B17" w:rsidP="000A3B17">
      <w:pPr>
        <w:pStyle w:val="BodyText"/>
      </w:pPr>
    </w:p>
    <w:p w:rsidR="00000000" w:rsidRPr="000A3B17" w:rsidP="000A3B17">
      <w:pPr>
        <w:pStyle w:val="AllowPageBreak"/>
      </w:pPr>
    </w:p>
    <w:p w:rsidR="00000000" w:rsidRPr="000A3B17" w:rsidP="000A3B17">
      <w:pPr>
        <w:pStyle w:val="Heading1"/>
      </w:pPr>
      <w:bookmarkStart w:id="10" w:name="O_1260588"/>
      <w:bookmarkEnd w:id="10"/>
      <w:r w:rsidRPr="000A3B17">
        <w:t>Performance Evidence</w:t>
      </w:r>
    </w:p>
    <w:p w:rsidR="00000000" w:rsidRPr="000A3B17" w:rsidP="00186690">
      <w:pPr>
        <w:pStyle w:val="BodyText"/>
      </w:pPr>
      <w:r w:rsidRPr="000A3B17">
        <w:t>To demonstrate competency, a candidate must meet the elements and performance criteria of this unit by:</w:t>
      </w:r>
    </w:p>
    <w:p w:rsidR="00000000" w:rsidRPr="000A3B17" w:rsidP="000A3B17">
      <w:pPr>
        <w:pStyle w:val="ListBullet"/>
      </w:pPr>
      <w:r w:rsidRPr="000A3B17">
        <w:t>bracing two prefabricated concrete elements of a height not less than 7 metres and width 3 metres:</w:t>
      </w:r>
    </w:p>
    <w:p w:rsidR="00000000" w:rsidRPr="000A3B17" w:rsidP="000A3B17">
      <w:pPr>
        <w:pStyle w:val="ListBullet2"/>
      </w:pPr>
      <w:r w:rsidRPr="000A3B17">
        <w:t>one of which must be a prefabricated concrete wall panel braced with two braces</w:t>
      </w:r>
    </w:p>
    <w:p w:rsidR="00000000" w:rsidRPr="000A3B17" w:rsidP="000A3B17">
      <w:pPr>
        <w:pStyle w:val="ListBullet2"/>
      </w:pPr>
      <w:r w:rsidRPr="000A3B17">
        <w:t>one of which must include both primary and secondary bracing elements (knee,</w:t>
      </w:r>
      <w:r w:rsidRPr="000A3B17">
        <w:t xml:space="preserve"> end and lateral-bracing or double knee-braces)</w:t>
      </w:r>
    </w:p>
    <w:p w:rsidR="00000000" w:rsidRPr="000A3B17" w:rsidP="000A3B17">
      <w:pPr>
        <w:pStyle w:val="ListBullet"/>
      </w:pPr>
      <w:r w:rsidRPr="000A3B17">
        <w:t>propping two prefabricated concrete elements, one of which must end propping only, and the other to be continuously shored.</w:t>
      </w:r>
    </w:p>
    <w:p w:rsidR="00000000" w:rsidRPr="000A3B17" w:rsidP="000A3B17">
      <w:pPr>
        <w:pStyle w:val="AllowPageBreak"/>
      </w:pPr>
    </w:p>
    <w:p w:rsidR="00000000" w:rsidRPr="000A3B17" w:rsidP="000A3B17">
      <w:pPr>
        <w:pStyle w:val="Heading1"/>
      </w:pPr>
      <w:bookmarkStart w:id="11" w:name="O_1260587"/>
      <w:bookmarkEnd w:id="11"/>
      <w:r w:rsidRPr="000A3B17">
        <w:t>Knowledge Evidence</w:t>
      </w:r>
    </w:p>
    <w:p w:rsidR="00000000" w:rsidRPr="000A3B17" w:rsidP="00186690">
      <w:pPr>
        <w:pStyle w:val="BodyText"/>
      </w:pPr>
      <w:r w:rsidRPr="000A3B17">
        <w:t>To be competent in this unit, a candidate mus</w:t>
      </w:r>
      <w:r w:rsidRPr="000A3B17">
        <w:t>t demonstrate knowledge of:</w:t>
      </w:r>
    </w:p>
    <w:p w:rsidR="00000000" w:rsidRPr="000A3B17" w:rsidP="000A3B17">
      <w:pPr>
        <w:pStyle w:val="ListBullet"/>
      </w:pPr>
      <w:r w:rsidRPr="000A3B17">
        <w:t>compliance requirements of legislation, regulations, codes and Australian Standards relevant to brace and prop of prefabricated concrete elements:</w:t>
      </w:r>
    </w:p>
    <w:p w:rsidR="00000000" w:rsidRPr="000A3B17" w:rsidP="000A3B17">
      <w:pPr>
        <w:pStyle w:val="ListBullet2"/>
      </w:pPr>
      <w:r w:rsidRPr="000A3B17">
        <w:t>AS 3850.1, 2 &amp; 3 Prefabricated concrete elements</w:t>
      </w:r>
    </w:p>
    <w:p w:rsidR="00000000" w:rsidRPr="000A3B17" w:rsidP="000A3B17">
      <w:pPr>
        <w:pStyle w:val="ListBullet2"/>
      </w:pPr>
      <w:r w:rsidRPr="000A3B17">
        <w:t>environmental protection and w</w:t>
      </w:r>
      <w:r w:rsidRPr="000A3B17">
        <w:t>aste disposal</w:t>
      </w:r>
    </w:p>
    <w:p w:rsidR="00000000" w:rsidRPr="000A3B17" w:rsidP="000A3B17">
      <w:pPr>
        <w:pStyle w:val="ListBullet"/>
      </w:pPr>
      <w:r w:rsidRPr="000A3B17">
        <w:t>work health and safety (WHS) regulations, including:</w:t>
      </w:r>
    </w:p>
    <w:p w:rsidR="00000000" w:rsidRPr="000A3B17" w:rsidP="000A3B17">
      <w:pPr>
        <w:pStyle w:val="ListBullet2"/>
      </w:pPr>
      <w:r w:rsidRPr="000A3B17">
        <w:t>Safe Work Australia ‘Guide to managing risk in construction: prefabricated concrete’ 2019</w:t>
      </w:r>
    </w:p>
    <w:p w:rsidR="00000000" w:rsidRPr="000A3B17" w:rsidP="000A3B17">
      <w:pPr>
        <w:pStyle w:val="ListBullet2"/>
      </w:pPr>
      <w:r w:rsidRPr="000A3B17">
        <w:t>use of personal protective equipment (PPE)</w:t>
      </w:r>
    </w:p>
    <w:p w:rsidR="00000000" w:rsidRPr="000A3B17" w:rsidP="000A3B17">
      <w:pPr>
        <w:pStyle w:val="ListBullet2"/>
      </w:pPr>
      <w:r w:rsidRPr="000A3B17">
        <w:t>fall protection</w:t>
      </w:r>
    </w:p>
    <w:p w:rsidR="00000000" w:rsidRPr="000A3B17" w:rsidP="000A3B17">
      <w:pPr>
        <w:pStyle w:val="ListBullet2"/>
      </w:pPr>
      <w:r w:rsidRPr="000A3B17">
        <w:t>drop zones</w:t>
      </w:r>
    </w:p>
    <w:p w:rsidR="00000000" w:rsidRPr="000A3B17" w:rsidP="000A3B17">
      <w:pPr>
        <w:pStyle w:val="ListBullet2"/>
      </w:pPr>
      <w:r w:rsidRPr="000A3B17">
        <w:t>hazardous substances</w:t>
      </w:r>
    </w:p>
    <w:p w:rsidR="00000000" w:rsidRPr="000A3B17" w:rsidP="000A3B17">
      <w:pPr>
        <w:pStyle w:val="ListBullet2"/>
      </w:pPr>
      <w:r w:rsidRPr="000A3B17">
        <w:t>safe manual handling techniques</w:t>
      </w:r>
    </w:p>
    <w:p w:rsidR="00000000" w:rsidRPr="000A3B17" w:rsidP="000A3B17">
      <w:pPr>
        <w:pStyle w:val="ListBullet2"/>
      </w:pPr>
      <w:r w:rsidRPr="000A3B17">
        <w:t>safe manual lifting procedures</w:t>
      </w:r>
    </w:p>
    <w:p w:rsidR="00000000" w:rsidRPr="000A3B17" w:rsidP="000A3B17">
      <w:pPr>
        <w:pStyle w:val="ListBullet"/>
      </w:pPr>
      <w:r w:rsidRPr="000A3B17">
        <w:t>risk assessment process for lifting and securing prefabricated elements erection design documentation:</w:t>
      </w:r>
    </w:p>
    <w:p w:rsidR="00000000" w:rsidRPr="000A3B17" w:rsidP="000A3B17">
      <w:pPr>
        <w:pStyle w:val="ListBullet2"/>
      </w:pPr>
      <w:r w:rsidRPr="000A3B17">
        <w:t>set-out details</w:t>
      </w:r>
    </w:p>
    <w:p w:rsidR="00000000" w:rsidRPr="000A3B17" w:rsidP="000A3B17">
      <w:pPr>
        <w:pStyle w:val="ListBullet2"/>
      </w:pPr>
      <w:r w:rsidRPr="000A3B17">
        <w:t>element mass</w:t>
      </w:r>
    </w:p>
    <w:p w:rsidR="00000000" w:rsidRPr="000A3B17" w:rsidP="000A3B17">
      <w:pPr>
        <w:pStyle w:val="ListBullet2"/>
      </w:pPr>
      <w:r w:rsidRPr="000A3B17">
        <w:t>rigging diagrams</w:t>
      </w:r>
    </w:p>
    <w:p w:rsidR="00000000" w:rsidRPr="000A3B17" w:rsidP="000A3B17">
      <w:pPr>
        <w:pStyle w:val="ListBullet2"/>
      </w:pPr>
      <w:r w:rsidRPr="000A3B17">
        <w:t>component geometry</w:t>
      </w:r>
    </w:p>
    <w:p w:rsidR="00000000" w:rsidRPr="000A3B17" w:rsidP="000A3B17">
      <w:pPr>
        <w:pStyle w:val="ListBullet"/>
      </w:pPr>
      <w:r w:rsidRPr="000A3B17">
        <w:t>the strength of concre</w:t>
      </w:r>
      <w:r w:rsidRPr="000A3B17">
        <w:t xml:space="preserve">te at the time of lifting and handling from the manufacturers’ </w:t>
      </w:r>
      <w:r>
        <w:t>“</w:t>
      </w:r>
      <w:r w:rsidRPr="000A3B17">
        <w:t>birth certificate</w:t>
      </w:r>
      <w:r>
        <w:t>”</w:t>
      </w:r>
      <w:r w:rsidRPr="000A3B17">
        <w:t xml:space="preserve"> contained in the erection documentation</w:t>
      </w:r>
    </w:p>
    <w:p w:rsidR="00000000" w:rsidRPr="000A3B17" w:rsidP="000A3B17">
      <w:pPr>
        <w:pStyle w:val="ListBullet"/>
      </w:pPr>
      <w:r w:rsidRPr="000A3B17">
        <w:t>faulty manufacturing and concrete defects which could compromise the strength of the prefabricated elements and pose a potential safe</w:t>
      </w:r>
      <w:r w:rsidRPr="000A3B17">
        <w:t>ty issue for lifting and handling</w:t>
      </w:r>
    </w:p>
    <w:p w:rsidR="00000000" w:rsidRPr="000A3B17" w:rsidP="000A3B17">
      <w:pPr>
        <w:pStyle w:val="ListBullet"/>
      </w:pPr>
      <w:r w:rsidRPr="000A3B17">
        <w:t>types of drawings and specifications used to interpret concrete installation requirements</w:t>
      </w:r>
    </w:p>
    <w:p w:rsidR="00000000" w:rsidRPr="000A3B17" w:rsidP="000A3B17">
      <w:pPr>
        <w:pStyle w:val="ListBullet"/>
      </w:pPr>
      <w:r w:rsidRPr="000A3B17">
        <w:t xml:space="preserve">erection documentation </w:t>
      </w:r>
    </w:p>
    <w:p w:rsidR="00000000" w:rsidRPr="000A3B17" w:rsidP="000A3B17">
      <w:pPr>
        <w:pStyle w:val="ListBullet"/>
      </w:pPr>
      <w:r w:rsidRPr="000A3B17">
        <w:t>prefabricated concrete brace and prop specifications, including:</w:t>
      </w:r>
    </w:p>
    <w:p w:rsidR="00000000" w:rsidRPr="000A3B17" w:rsidP="000A3B17">
      <w:pPr>
        <w:pStyle w:val="ListBullet2"/>
      </w:pPr>
      <w:r w:rsidRPr="000A3B17">
        <w:t>erection sequence</w:t>
      </w:r>
    </w:p>
    <w:p w:rsidR="00000000" w:rsidRPr="000A3B17" w:rsidP="000A3B17">
      <w:pPr>
        <w:pStyle w:val="ListBullet2"/>
      </w:pPr>
      <w:r w:rsidRPr="000A3B17">
        <w:t>orientation of prefabricated concrete elements</w:t>
      </w:r>
    </w:p>
    <w:p w:rsidR="00000000" w:rsidRPr="000A3B17" w:rsidP="000A3B17">
      <w:pPr>
        <w:pStyle w:val="ListBullet2"/>
      </w:pPr>
      <w:r w:rsidRPr="000A3B17">
        <w:t>bracing details, including type and angle</w:t>
      </w:r>
    </w:p>
    <w:p w:rsidR="00000000" w:rsidRPr="000A3B17" w:rsidP="000A3B17">
      <w:pPr>
        <w:pStyle w:val="ListBullet2"/>
      </w:pPr>
      <w:r w:rsidRPr="000A3B17">
        <w:t>requirement for erection brace and prop footings</w:t>
      </w:r>
    </w:p>
    <w:p w:rsidR="00000000" w:rsidRPr="000A3B17" w:rsidP="000A3B17">
      <w:pPr>
        <w:pStyle w:val="ListBullet2"/>
      </w:pPr>
      <w:r w:rsidRPr="000A3B17">
        <w:t xml:space="preserve">levelling shims </w:t>
      </w:r>
    </w:p>
    <w:p w:rsidR="00000000" w:rsidRPr="000A3B17" w:rsidP="000A3B17">
      <w:pPr>
        <w:pStyle w:val="ListBullet2"/>
      </w:pPr>
      <w:r w:rsidRPr="000A3B17">
        <w:t>drawings</w:t>
      </w:r>
    </w:p>
    <w:p w:rsidR="00000000" w:rsidRPr="000A3B17" w:rsidP="000A3B17">
      <w:pPr>
        <w:pStyle w:val="ListBullet"/>
      </w:pPr>
      <w:r w:rsidRPr="000A3B17">
        <w:t>types of bracing, including:</w:t>
      </w:r>
    </w:p>
    <w:p w:rsidR="00000000" w:rsidRPr="000A3B17" w:rsidP="000A3B17">
      <w:pPr>
        <w:pStyle w:val="ListBullet2"/>
      </w:pPr>
      <w:r w:rsidRPr="000A3B17">
        <w:t>single storey (drop-in) panel propping</w:t>
      </w:r>
    </w:p>
    <w:p w:rsidR="00000000" w:rsidRPr="000A3B17" w:rsidP="000A3B17">
      <w:pPr>
        <w:pStyle w:val="ListBullet2"/>
      </w:pPr>
      <w:r w:rsidRPr="000A3B17">
        <w:t>double storey (spin-up</w:t>
      </w:r>
      <w:r w:rsidRPr="000A3B17">
        <w:t>) panel propping</w:t>
      </w:r>
    </w:p>
    <w:p w:rsidR="00000000" w:rsidRPr="000A3B17" w:rsidP="000A3B17">
      <w:pPr>
        <w:pStyle w:val="ListBullet2"/>
      </w:pPr>
      <w:r w:rsidRPr="000A3B17">
        <w:t>panel to panel propping</w:t>
      </w:r>
    </w:p>
    <w:p w:rsidR="00000000" w:rsidRPr="000A3B17" w:rsidP="000A3B17">
      <w:pPr>
        <w:pStyle w:val="ListBullet2"/>
      </w:pPr>
      <w:r w:rsidRPr="000A3B17">
        <w:t>beam propping</w:t>
      </w:r>
    </w:p>
    <w:p w:rsidR="00000000" w:rsidRPr="000A3B17" w:rsidP="000A3B17">
      <w:pPr>
        <w:pStyle w:val="ListBullet2"/>
      </w:pPr>
      <w:r w:rsidRPr="000A3B17">
        <w:t>spandrels propping</w:t>
      </w:r>
    </w:p>
    <w:p w:rsidR="00000000" w:rsidRPr="000A3B17" w:rsidP="000A3B17">
      <w:pPr>
        <w:pStyle w:val="ListBullet2"/>
      </w:pPr>
      <w:r w:rsidRPr="000A3B17">
        <w:t>column bracing</w:t>
      </w:r>
    </w:p>
    <w:p w:rsidR="00000000" w:rsidRPr="000A3B17" w:rsidP="000A3B17">
      <w:pPr>
        <w:pStyle w:val="ListBullet2"/>
      </w:pPr>
      <w:r w:rsidRPr="000A3B17">
        <w:t>lateral bracing</w:t>
      </w:r>
    </w:p>
    <w:p w:rsidR="00000000" w:rsidRPr="000A3B17" w:rsidP="000A3B17">
      <w:pPr>
        <w:pStyle w:val="ListBullet2"/>
      </w:pPr>
      <w:r w:rsidRPr="000A3B17">
        <w:t>end bracing</w:t>
      </w:r>
    </w:p>
    <w:p w:rsidR="00000000" w:rsidRPr="000A3B17" w:rsidP="000A3B17">
      <w:pPr>
        <w:pStyle w:val="ListBullet2"/>
      </w:pPr>
      <w:r w:rsidRPr="000A3B17">
        <w:t>main bracing</w:t>
      </w:r>
    </w:p>
    <w:p w:rsidR="00000000" w:rsidRPr="000A3B17" w:rsidP="000A3B17">
      <w:pPr>
        <w:pStyle w:val="ListBullet2"/>
      </w:pPr>
      <w:r w:rsidRPr="000A3B17">
        <w:t>knee bracing</w:t>
      </w:r>
    </w:p>
    <w:p w:rsidR="00000000" w:rsidRPr="000A3B17" w:rsidP="000A3B17">
      <w:pPr>
        <w:pStyle w:val="ListBullet2"/>
      </w:pPr>
      <w:r w:rsidRPr="000A3B17">
        <w:t>deadman bracing</w:t>
      </w:r>
    </w:p>
    <w:p w:rsidR="00000000" w:rsidRPr="000A3B17" w:rsidP="000A3B17">
      <w:pPr>
        <w:pStyle w:val="ListBullet"/>
      </w:pPr>
      <w:r w:rsidRPr="000A3B17">
        <w:t>types of propping, including:</w:t>
      </w:r>
    </w:p>
    <w:p w:rsidR="00000000" w:rsidRPr="000A3B17" w:rsidP="000A3B17">
      <w:pPr>
        <w:pStyle w:val="ListBullet2"/>
      </w:pPr>
      <w:r w:rsidRPr="000A3B17">
        <w:t>single props (Acrow)</w:t>
      </w:r>
    </w:p>
    <w:p w:rsidR="00000000" w:rsidRPr="000A3B17" w:rsidP="000A3B17">
      <w:pPr>
        <w:pStyle w:val="ListBullet2"/>
      </w:pPr>
      <w:r w:rsidRPr="000A3B17">
        <w:t>single frame</w:t>
      </w:r>
    </w:p>
    <w:p w:rsidR="00000000" w:rsidRPr="000A3B17" w:rsidP="000A3B17">
      <w:pPr>
        <w:pStyle w:val="ListBullet2"/>
      </w:pPr>
      <w:r w:rsidRPr="000A3B17">
        <w:t>continuous frame</w:t>
      </w:r>
    </w:p>
    <w:p w:rsidR="00000000" w:rsidRPr="000A3B17" w:rsidP="000A3B17">
      <w:pPr>
        <w:pStyle w:val="ListBullet"/>
      </w:pPr>
      <w:r w:rsidRPr="000A3B17">
        <w:t>types of concrete prefabricated elements, including:</w:t>
      </w:r>
    </w:p>
    <w:p w:rsidR="00000000" w:rsidRPr="000A3B17" w:rsidP="000A3B17">
      <w:pPr>
        <w:pStyle w:val="ListBullet2"/>
      </w:pPr>
      <w:r w:rsidRPr="000A3B17">
        <w:t>dowell bar</w:t>
      </w:r>
    </w:p>
    <w:p w:rsidR="00000000" w:rsidRPr="000A3B17" w:rsidP="000A3B17">
      <w:pPr>
        <w:pStyle w:val="ListBullet2"/>
      </w:pPr>
      <w:r w:rsidRPr="000A3B17">
        <w:t>panels</w:t>
      </w:r>
    </w:p>
    <w:p w:rsidR="00000000" w:rsidRPr="000A3B17" w:rsidP="000A3B17">
      <w:pPr>
        <w:pStyle w:val="ListBullet2"/>
      </w:pPr>
      <w:r w:rsidRPr="000A3B17">
        <w:t>columns</w:t>
      </w:r>
    </w:p>
    <w:p w:rsidR="00000000" w:rsidRPr="000A3B17" w:rsidP="000A3B17">
      <w:pPr>
        <w:pStyle w:val="ListBullet2"/>
      </w:pPr>
      <w:r w:rsidRPr="000A3B17">
        <w:t>beams</w:t>
      </w:r>
    </w:p>
    <w:p w:rsidR="00000000" w:rsidRPr="000A3B17" w:rsidP="000A3B17">
      <w:pPr>
        <w:pStyle w:val="ListBullet2"/>
      </w:pPr>
      <w:r w:rsidRPr="000A3B17">
        <w:t>planks</w:t>
      </w:r>
    </w:p>
    <w:p w:rsidR="00000000" w:rsidRPr="000A3B17" w:rsidP="000A3B17">
      <w:pPr>
        <w:pStyle w:val="ListBullet2"/>
      </w:pPr>
      <w:r w:rsidRPr="000A3B17">
        <w:t>stairs</w:t>
      </w:r>
    </w:p>
    <w:p w:rsidR="00000000" w:rsidRPr="000A3B17" w:rsidP="000A3B17">
      <w:pPr>
        <w:pStyle w:val="ListBullet2"/>
      </w:pPr>
      <w:r w:rsidRPr="000A3B17">
        <w:t>barriers</w:t>
      </w:r>
    </w:p>
    <w:p w:rsidR="00000000" w:rsidRPr="000A3B17" w:rsidP="000A3B17">
      <w:pPr>
        <w:pStyle w:val="ListBullet"/>
      </w:pPr>
      <w:r w:rsidRPr="000A3B17">
        <w:t>workplace requirements when working with prefabricated concrete elements:</w:t>
      </w:r>
    </w:p>
    <w:p w:rsidR="00000000" w:rsidRPr="000A3B17" w:rsidP="000A3B17">
      <w:pPr>
        <w:pStyle w:val="ListBullet2"/>
      </w:pPr>
      <w:r w:rsidRPr="000A3B17">
        <w:t>cleaning up the work area</w:t>
      </w:r>
    </w:p>
    <w:p w:rsidR="00000000" w:rsidRPr="000A3B17" w:rsidP="000A3B17">
      <w:pPr>
        <w:pStyle w:val="ListBullet2"/>
      </w:pPr>
      <w:r w:rsidRPr="000A3B17">
        <w:t>maintaining and storing plant, labelling, tools and equipment</w:t>
      </w:r>
    </w:p>
    <w:p w:rsidR="00000000" w:rsidRPr="000A3B17" w:rsidP="000A3B17">
      <w:pPr>
        <w:pStyle w:val="ListBullet2"/>
      </w:pPr>
      <w:r w:rsidRPr="000A3B17">
        <w:t>adhering to manufacturer specifications</w:t>
      </w:r>
    </w:p>
    <w:p w:rsidR="00000000" w:rsidRPr="000A3B17" w:rsidP="000A3B17">
      <w:pPr>
        <w:pStyle w:val="ListBullet2"/>
      </w:pPr>
      <w:r w:rsidRPr="000A3B17">
        <w:t>reporting problems</w:t>
      </w:r>
    </w:p>
    <w:p w:rsidR="00000000" w:rsidRPr="000A3B17" w:rsidP="000A3B17">
      <w:pPr>
        <w:pStyle w:val="ListBullet2"/>
      </w:pPr>
      <w:r w:rsidRPr="000A3B17">
        <w:t>quality</w:t>
      </w:r>
    </w:p>
    <w:p w:rsidR="00000000" w:rsidRPr="000A3B17" w:rsidP="000A3B17">
      <w:pPr>
        <w:pStyle w:val="ListBullet"/>
      </w:pPr>
      <w:r w:rsidRPr="000A3B17">
        <w:t xml:space="preserve">types of prefabricated concrete elements </w:t>
      </w:r>
    </w:p>
    <w:p w:rsidR="00000000" w:rsidRPr="000A3B17" w:rsidP="000A3B17">
      <w:pPr>
        <w:pStyle w:val="ListBullet"/>
      </w:pPr>
      <w:r w:rsidRPr="000A3B17">
        <w:t>types of support fixings, including:</w:t>
      </w:r>
    </w:p>
    <w:p w:rsidR="00000000" w:rsidRPr="000A3B17" w:rsidP="000A3B17">
      <w:pPr>
        <w:pStyle w:val="ListBullet2"/>
      </w:pPr>
      <w:r w:rsidRPr="000A3B17">
        <w:t>brace footing</w:t>
      </w:r>
    </w:p>
    <w:p w:rsidR="00000000" w:rsidRPr="000A3B17" w:rsidP="000A3B17">
      <w:pPr>
        <w:pStyle w:val="ListBullet2"/>
      </w:pPr>
      <w:r w:rsidRPr="000A3B17">
        <w:t>ferrule bolts</w:t>
      </w:r>
    </w:p>
    <w:p w:rsidR="00000000" w:rsidRPr="000A3B17" w:rsidP="000A3B17">
      <w:pPr>
        <w:pStyle w:val="ListBullet2"/>
      </w:pPr>
      <w:r w:rsidRPr="000A3B17">
        <w:t>brace pins</w:t>
      </w:r>
    </w:p>
    <w:p w:rsidR="00000000" w:rsidRPr="000A3B17" w:rsidP="000A3B17">
      <w:pPr>
        <w:pStyle w:val="ListBullet"/>
      </w:pPr>
      <w:r w:rsidRPr="000A3B17">
        <w:t xml:space="preserve">fire rating requirements relevant to concrete prefabricated element rectification </w:t>
      </w:r>
    </w:p>
    <w:p w:rsidR="00000000" w:rsidRPr="000A3B17" w:rsidP="000A3B17">
      <w:pPr>
        <w:pStyle w:val="ListBullet"/>
      </w:pPr>
      <w:r w:rsidRPr="000A3B17">
        <w:t xml:space="preserve">workplace procedures related to communication protocols </w:t>
      </w:r>
    </w:p>
    <w:p w:rsidR="00000000" w:rsidRPr="000A3B17" w:rsidP="000A3B17">
      <w:pPr>
        <w:pStyle w:val="ListBullet"/>
      </w:pPr>
      <w:r w:rsidRPr="000A3B17">
        <w:t xml:space="preserve">principles of sustainability relevant to material reuse </w:t>
      </w:r>
    </w:p>
    <w:p w:rsidR="00000000" w:rsidRPr="000A3B17" w:rsidP="000A3B17">
      <w:pPr>
        <w:pStyle w:val="ListBullet"/>
      </w:pPr>
      <w:r w:rsidRPr="000A3B17">
        <w:t xml:space="preserve">logical task sequencing </w:t>
      </w:r>
    </w:p>
    <w:p w:rsidR="00000000" w:rsidRPr="000A3B17" w:rsidP="000A3B17">
      <w:pPr>
        <w:pStyle w:val="ListBullet"/>
      </w:pPr>
      <w:r w:rsidRPr="000A3B17">
        <w:t>types, characteristics and limitat</w:t>
      </w:r>
      <w:r w:rsidRPr="000A3B17">
        <w:t>ions of tools, equipment and materials required for propping and bracing prefabricated concrete elements, including:</w:t>
      </w:r>
    </w:p>
    <w:p w:rsidR="00000000" w:rsidRPr="000A3B17" w:rsidP="000A3B17">
      <w:pPr>
        <w:pStyle w:val="ListBullet2"/>
      </w:pPr>
      <w:r w:rsidRPr="000A3B17">
        <w:t>hammers</w:t>
      </w:r>
    </w:p>
    <w:p w:rsidR="00000000" w:rsidRPr="000A3B17" w:rsidP="000A3B17">
      <w:pPr>
        <w:pStyle w:val="ListBullet2"/>
      </w:pPr>
      <w:r w:rsidRPr="000A3B17">
        <w:t>jacks</w:t>
      </w:r>
    </w:p>
    <w:p w:rsidR="00000000" w:rsidRPr="000A3B17" w:rsidP="000A3B17">
      <w:pPr>
        <w:pStyle w:val="ListBullet2"/>
      </w:pPr>
      <w:r w:rsidRPr="000A3B17">
        <w:t>podgers</w:t>
      </w:r>
    </w:p>
    <w:p w:rsidR="00000000" w:rsidRPr="000A3B17" w:rsidP="000A3B17">
      <w:pPr>
        <w:pStyle w:val="ListBullet2"/>
      </w:pPr>
      <w:r w:rsidRPr="000A3B17">
        <w:t>spanners</w:t>
      </w:r>
    </w:p>
    <w:p w:rsidR="00000000" w:rsidRPr="000A3B17" w:rsidP="000A3B17">
      <w:pPr>
        <w:pStyle w:val="ListBullet2"/>
      </w:pPr>
      <w:r w:rsidRPr="000A3B17">
        <w:t>spirit levels and automatic levels</w:t>
      </w:r>
    </w:p>
    <w:p w:rsidR="00000000" w:rsidRPr="000A3B17" w:rsidP="000A3B17">
      <w:pPr>
        <w:pStyle w:val="ListBullet2"/>
      </w:pPr>
      <w:r w:rsidRPr="000A3B17">
        <w:t>tape measures</w:t>
      </w:r>
    </w:p>
    <w:p w:rsidR="00000000" w:rsidRPr="000A3B17" w:rsidP="000A3B17">
      <w:pPr>
        <w:pStyle w:val="ListBullet2"/>
      </w:pPr>
      <w:r w:rsidRPr="000A3B17">
        <w:t>trolleys</w:t>
      </w:r>
    </w:p>
    <w:p w:rsidR="00000000" w:rsidRPr="000A3B17" w:rsidP="000A3B17">
      <w:pPr>
        <w:pStyle w:val="ListBullet2"/>
      </w:pPr>
      <w:r w:rsidRPr="000A3B17">
        <w:t>wedges</w:t>
      </w:r>
    </w:p>
    <w:p w:rsidR="00000000" w:rsidRPr="000A3B17" w:rsidP="000A3B17">
      <w:pPr>
        <w:pStyle w:val="ListBullet2"/>
      </w:pPr>
      <w:r w:rsidRPr="000A3B17">
        <w:t>wrenches</w:t>
      </w:r>
    </w:p>
    <w:p w:rsidR="00000000" w:rsidRPr="000A3B17" w:rsidP="000A3B17">
      <w:pPr>
        <w:pStyle w:val="ListBullet2"/>
      </w:pPr>
      <w:r w:rsidRPr="000A3B17">
        <w:t>hammer lock</w:t>
      </w:r>
    </w:p>
    <w:p w:rsidR="00000000" w:rsidRPr="000A3B17" w:rsidP="000A3B17">
      <w:pPr>
        <w:pStyle w:val="ListBullet2"/>
      </w:pPr>
      <w:r w:rsidRPr="000A3B17">
        <w:t>theodolite</w:t>
      </w:r>
    </w:p>
    <w:p w:rsidR="00000000" w:rsidRPr="000A3B17" w:rsidP="000A3B17">
      <w:pPr>
        <w:pStyle w:val="ListBullet2"/>
      </w:pPr>
      <w:r w:rsidRPr="000A3B17">
        <w:t>post-installed anchors</w:t>
      </w:r>
    </w:p>
    <w:p w:rsidR="00000000" w:rsidRPr="000A3B17" w:rsidP="000A3B17">
      <w:pPr>
        <w:pStyle w:val="ListBullet2"/>
      </w:pPr>
      <w:r w:rsidRPr="000A3B17">
        <w:t>bolting procedures</w:t>
      </w:r>
    </w:p>
    <w:p w:rsidR="00000000" w:rsidRPr="000A3B17" w:rsidP="000A3B17">
      <w:pPr>
        <w:pStyle w:val="ListBullet2"/>
      </w:pPr>
      <w:r w:rsidRPr="000A3B17">
        <w:t>cast-in-threaded inserts for Class 4.6 bolts</w:t>
      </w:r>
    </w:p>
    <w:p w:rsidR="00000000" w:rsidRPr="000A3B17" w:rsidP="000A3B17">
      <w:pPr>
        <w:pStyle w:val="ListBullet"/>
      </w:pPr>
      <w:r w:rsidRPr="000A3B17">
        <w:t>concrete supporting elements, including:</w:t>
      </w:r>
    </w:p>
    <w:p w:rsidR="00000000" w:rsidRPr="000A3B17" w:rsidP="000A3B17">
      <w:pPr>
        <w:pStyle w:val="ListBullet2"/>
      </w:pPr>
      <w:r w:rsidRPr="000A3B17">
        <w:t>floor slabs</w:t>
      </w:r>
    </w:p>
    <w:p w:rsidR="00000000" w:rsidRPr="000A3B17" w:rsidP="000A3B17">
      <w:pPr>
        <w:pStyle w:val="ListBullet2"/>
      </w:pPr>
      <w:r w:rsidRPr="000A3B17">
        <w:t>piers</w:t>
      </w:r>
    </w:p>
    <w:p w:rsidR="00000000" w:rsidRPr="000A3B17" w:rsidP="000A3B17">
      <w:pPr>
        <w:pStyle w:val="ListBullet2"/>
      </w:pPr>
      <w:r w:rsidRPr="000A3B17">
        <w:t xml:space="preserve">footings. </w:t>
      </w:r>
    </w:p>
    <w:p w:rsidR="00000000" w:rsidRPr="000A3B17" w:rsidP="000A3B17">
      <w:pPr>
        <w:pStyle w:val="AllowPageBreak"/>
      </w:pPr>
    </w:p>
    <w:p w:rsidR="00000000" w:rsidRPr="000A3B17" w:rsidP="000A3B17">
      <w:pPr>
        <w:pStyle w:val="Heading1"/>
      </w:pPr>
      <w:bookmarkStart w:id="12" w:name="O_1260586"/>
      <w:bookmarkEnd w:id="12"/>
      <w:r w:rsidRPr="000A3B17">
        <w:t>Assessment Conditions</w:t>
      </w:r>
    </w:p>
    <w:p w:rsidR="00000000" w:rsidRPr="000A3B17" w:rsidP="00186690">
      <w:pPr>
        <w:pStyle w:val="BodyText"/>
      </w:pPr>
      <w:r w:rsidRPr="000A3B17">
        <w:t>Assessors must meet the requirements for assessors contained in the Standards for Registered Training Organisations.</w:t>
      </w:r>
    </w:p>
    <w:p w:rsidR="00000000" w:rsidRPr="000A3B17" w:rsidP="00186690">
      <w:pPr>
        <w:pStyle w:val="BodyText"/>
      </w:pPr>
      <w:r w:rsidRPr="000A3B17">
        <w:t>Assessment must be conducted in the workplace or a simulated workplace using realistic conditions, materials, activities, responsibilities,</w:t>
      </w:r>
      <w:r w:rsidRPr="000A3B17">
        <w:t xml:space="preserve"> procedures, safety requirements and environmental considerations.</w:t>
      </w:r>
    </w:p>
    <w:p w:rsidR="00000000" w:rsidRPr="000A3B17" w:rsidP="00186690">
      <w:pPr>
        <w:pStyle w:val="BodyText"/>
      </w:pPr>
      <w:r w:rsidRPr="000A3B17">
        <w:t>Candidates must have access to erection design documentation, materials, manufacturer specifications, plant, tools and equipment required to achieve the performance evidence.</w:t>
      </w:r>
    </w:p>
    <w:p w:rsidR="00000000" w:rsidRPr="000A3B17" w:rsidP="000A3B17">
      <w:pPr>
        <w:pStyle w:val="Heading1"/>
      </w:pPr>
      <w:bookmarkStart w:id="13" w:name="O_1260584"/>
      <w:bookmarkEnd w:id="13"/>
      <w:r w:rsidRPr="000A3B17">
        <w:t>Links</w:t>
      </w:r>
    </w:p>
    <w:p w:rsidR="00000000" w:rsidRPr="000A3B17" w:rsidP="00186690">
      <w:pPr>
        <w:pStyle w:val="BodyText"/>
      </w:pPr>
      <w:r w:rsidRPr="000A3B1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F638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A3B17" w:rsidP="000A3B17"/>
    <w:sectPr w:rsidSect="000A3B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B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B17" w:rsidRPr="00186690" w:rsidP="001866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B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690" w:rsidP="000A3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6690" w:rsidP="000A3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86690" w:rsidP="000A3B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B17" w:rsidP="000A3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6690">
      <w:t>Approved</w:t>
    </w:r>
    <w:r w:rsidR="001866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669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6690">
      <w:rPr>
        <w:noProof/>
      </w:rPr>
      <w:t>5</w:t>
    </w:r>
    <w:r>
      <w:rPr>
        <w:noProof/>
      </w:rPr>
      <w:fldChar w:fldCharType="end"/>
    </w:r>
  </w:p>
  <w:p w:rsidR="000A3B17" w:rsidP="000A3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66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6690">
      <w:t>BuildSkills Australia</w:t>
    </w:r>
    <w:r w:rsidR="00186690">
      <w:fldChar w:fldCharType="end"/>
    </w:r>
  </w:p>
  <w:p w:rsidR="000A3B17" w:rsidP="000A3B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B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6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B17" w:rsidRPr="00186690" w:rsidP="001866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B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690" w:rsidRPr="002D2AF8" w:rsidP="000A3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CPCPRE2001 Brace and prop prefabricated concrete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6690" w:rsidP="000A3B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B17" w:rsidRPr="002D2AF8" w:rsidP="000A3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6690">
      <w:t>CPCPRE2001 Brace and prop prefabricated concrete elements</w:t>
    </w:r>
    <w:r w:rsidR="001866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6690">
      <w:rPr>
        <w:noProof/>
      </w:rPr>
      <w:t>2 March 2025</w:t>
    </w:r>
    <w:r>
      <w:fldChar w:fldCharType="end"/>
    </w:r>
  </w:p>
  <w:p w:rsidR="000A3B17" w:rsidP="000A3B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9254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F63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EEE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B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B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B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B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B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B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B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B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B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B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B17"/>
  </w:style>
  <w:style w:type="character" w:customStyle="1" w:styleId="Heading1Char">
    <w:name w:val="Heading 1 Char"/>
    <w:basedOn w:val="DefaultParagraphFont"/>
    <w:link w:val="Heading1"/>
    <w:rsid w:val="000A3B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B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B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B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3B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3B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B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B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B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B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B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B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B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B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B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B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B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B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B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B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B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B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B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3B17"/>
    <w:rPr>
      <w:b/>
      <w:spacing w:val="0"/>
    </w:rPr>
  </w:style>
  <w:style w:type="paragraph" w:customStyle="1" w:styleId="SuperTitle">
    <w:name w:val="SuperTitle"/>
    <w:basedOn w:val="Title"/>
    <w:rsid w:val="000A3B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B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B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B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B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B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B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B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B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B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B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B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B17"/>
    <w:rPr>
      <w:i/>
    </w:rPr>
  </w:style>
  <w:style w:type="paragraph" w:styleId="Caption">
    <w:name w:val="caption"/>
    <w:basedOn w:val="BodyText"/>
    <w:next w:val="Normal"/>
    <w:qFormat/>
    <w:rsid w:val="000A3B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B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B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B17"/>
  </w:style>
  <w:style w:type="paragraph" w:styleId="TableofFigures">
    <w:name w:val="table of figures"/>
    <w:basedOn w:val="Normal"/>
    <w:next w:val="Normal"/>
    <w:semiHidden/>
    <w:rsid w:val="000A3B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B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B17"/>
    <w:rPr>
      <w:rFonts w:ascii="Wingdings" w:hAnsi="Wingdings"/>
    </w:rPr>
  </w:style>
  <w:style w:type="paragraph" w:customStyle="1" w:styleId="TableHeading">
    <w:name w:val="Table Heading"/>
    <w:basedOn w:val="HeadingBase"/>
    <w:rsid w:val="000A3B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B17"/>
    <w:rPr>
      <w:color w:val="0033CC"/>
      <w:u w:val="none"/>
    </w:rPr>
  </w:style>
  <w:style w:type="paragraph" w:customStyle="1" w:styleId="BodyTextRight">
    <w:name w:val="Body Text Right"/>
    <w:basedOn w:val="BodyText"/>
    <w:rsid w:val="000A3B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B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B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B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B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B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B17"/>
    <w:rPr>
      <w:sz w:val="32"/>
    </w:rPr>
  </w:style>
  <w:style w:type="paragraph" w:customStyle="1" w:styleId="HeadingProcedure">
    <w:name w:val="Heading Procedure"/>
    <w:basedOn w:val="HeadingBase"/>
    <w:next w:val="Normal"/>
    <w:rsid w:val="000A3B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B17"/>
    <w:pPr>
      <w:spacing w:before="60" w:after="60"/>
    </w:pPr>
  </w:style>
  <w:style w:type="paragraph" w:styleId="ListContinue">
    <w:name w:val="List Continue"/>
    <w:basedOn w:val="List"/>
    <w:rsid w:val="000A3B17"/>
    <w:pPr>
      <w:ind w:firstLine="0"/>
    </w:pPr>
  </w:style>
  <w:style w:type="paragraph" w:customStyle="1" w:styleId="ListNote">
    <w:name w:val="List Note"/>
    <w:basedOn w:val="List"/>
    <w:rsid w:val="000A3B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B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B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B17"/>
    <w:rPr>
      <w:rFonts w:ascii="Courier New" w:hAnsi="Courier New"/>
    </w:rPr>
  </w:style>
  <w:style w:type="paragraph" w:customStyle="1" w:styleId="NoteBullet">
    <w:name w:val="Note Bullet"/>
    <w:basedOn w:val="Note"/>
    <w:rsid w:val="000A3B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B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B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B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B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B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B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B17"/>
    <w:rPr>
      <w:b/>
      <w:smallCaps/>
    </w:rPr>
  </w:style>
  <w:style w:type="paragraph" w:customStyle="1" w:styleId="TableListNumber">
    <w:name w:val="Table List Number"/>
    <w:basedOn w:val="ListNumber"/>
    <w:rsid w:val="000A3B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B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B17"/>
    <w:pPr>
      <w:numPr>
        <w:numId w:val="9"/>
      </w:numPr>
    </w:pPr>
  </w:style>
  <w:style w:type="paragraph" w:customStyle="1" w:styleId="ListAlpha2">
    <w:name w:val="List Alpha 2"/>
    <w:basedOn w:val="List2"/>
    <w:rsid w:val="000A3B17"/>
    <w:pPr>
      <w:numPr>
        <w:numId w:val="8"/>
      </w:numPr>
    </w:pPr>
  </w:style>
  <w:style w:type="paragraph" w:styleId="List2">
    <w:name w:val="List 2"/>
    <w:basedOn w:val="BodyText"/>
    <w:rsid w:val="000A3B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B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B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B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B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B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B17"/>
    <w:pPr>
      <w:numPr>
        <w:numId w:val="4"/>
      </w:numPr>
    </w:pPr>
  </w:style>
  <w:style w:type="paragraph" w:styleId="ListContinue2">
    <w:name w:val="List Continue 2"/>
    <w:basedOn w:val="List2"/>
    <w:rsid w:val="000A3B17"/>
    <w:pPr>
      <w:ind w:firstLine="0"/>
    </w:pPr>
  </w:style>
  <w:style w:type="paragraph" w:styleId="ListContinue3">
    <w:name w:val="List Continue 3"/>
    <w:basedOn w:val="List3"/>
    <w:rsid w:val="000A3B17"/>
    <w:pPr>
      <w:ind w:left="1021" w:firstLine="0"/>
    </w:pPr>
  </w:style>
  <w:style w:type="paragraph" w:styleId="ListContinue4">
    <w:name w:val="List Continue 4"/>
    <w:basedOn w:val="List4"/>
    <w:rsid w:val="000A3B17"/>
    <w:pPr>
      <w:ind w:firstLine="0"/>
    </w:pPr>
  </w:style>
  <w:style w:type="paragraph" w:styleId="ListContinue5">
    <w:name w:val="List Continue 5"/>
    <w:basedOn w:val="List5"/>
    <w:rsid w:val="000A3B17"/>
    <w:pPr>
      <w:ind w:firstLine="0"/>
    </w:pPr>
  </w:style>
  <w:style w:type="paragraph" w:styleId="ListNumber3">
    <w:name w:val="List Number 3"/>
    <w:basedOn w:val="List3"/>
    <w:rsid w:val="000A3B17"/>
    <w:pPr>
      <w:numPr>
        <w:numId w:val="5"/>
      </w:numPr>
    </w:pPr>
  </w:style>
  <w:style w:type="paragraph" w:styleId="ListNumber4">
    <w:name w:val="List Number 4"/>
    <w:basedOn w:val="List4"/>
    <w:rsid w:val="000A3B17"/>
    <w:pPr>
      <w:numPr>
        <w:numId w:val="6"/>
      </w:numPr>
    </w:pPr>
  </w:style>
  <w:style w:type="paragraph" w:styleId="ListNumber5">
    <w:name w:val="List Number 5"/>
    <w:basedOn w:val="List5"/>
    <w:rsid w:val="000A3B17"/>
    <w:pPr>
      <w:numPr>
        <w:numId w:val="7"/>
      </w:numPr>
    </w:pPr>
  </w:style>
  <w:style w:type="paragraph" w:styleId="BlockText">
    <w:name w:val="Block Text"/>
    <w:basedOn w:val="Normal"/>
    <w:rsid w:val="000A3B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B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B17"/>
    <w:rPr>
      <w:sz w:val="16"/>
      <w:vertAlign w:val="superscript"/>
    </w:rPr>
  </w:style>
  <w:style w:type="character" w:customStyle="1" w:styleId="Symbols">
    <w:name w:val="Symbols"/>
    <w:basedOn w:val="DefaultParagraphFont"/>
    <w:rsid w:val="000A3B17"/>
    <w:rPr>
      <w:rFonts w:ascii="Symbol" w:hAnsi="Symbol"/>
    </w:rPr>
  </w:style>
  <w:style w:type="character" w:customStyle="1" w:styleId="MenuOptions">
    <w:name w:val="Menu Options"/>
    <w:basedOn w:val="DefaultParagraphFont"/>
    <w:rsid w:val="000A3B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B17"/>
    <w:rPr>
      <w:b/>
    </w:rPr>
  </w:style>
  <w:style w:type="character" w:customStyle="1" w:styleId="Underlined">
    <w:name w:val="Underlined"/>
    <w:basedOn w:val="DefaultParagraphFont"/>
    <w:rsid w:val="000A3B17"/>
    <w:rPr>
      <w:u w:val="single"/>
    </w:rPr>
  </w:style>
  <w:style w:type="paragraph" w:customStyle="1" w:styleId="TableBodyTextRight">
    <w:name w:val="Table Body Text Right"/>
    <w:basedOn w:val="TableBodyText"/>
    <w:rsid w:val="000A3B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B17"/>
    <w:rPr>
      <w:sz w:val="18"/>
    </w:rPr>
  </w:style>
  <w:style w:type="paragraph" w:customStyle="1" w:styleId="BodySmallRight">
    <w:name w:val="Body Small Right"/>
    <w:basedOn w:val="BodyTextRight"/>
    <w:rsid w:val="000A3B17"/>
    <w:rPr>
      <w:sz w:val="18"/>
      <w:szCs w:val="18"/>
    </w:rPr>
  </w:style>
  <w:style w:type="paragraph" w:customStyle="1" w:styleId="MarginEdition">
    <w:name w:val="Margin Edition"/>
    <w:basedOn w:val="MarginNote"/>
    <w:rsid w:val="000A3B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B17"/>
    <w:rPr>
      <w:sz w:val="2"/>
      <w:szCs w:val="2"/>
    </w:rPr>
  </w:style>
  <w:style w:type="character" w:customStyle="1" w:styleId="Small">
    <w:name w:val="Small"/>
    <w:basedOn w:val="DefaultParagraphFont"/>
    <w:rsid w:val="000A3B17"/>
    <w:rPr>
      <w:sz w:val="16"/>
    </w:rPr>
  </w:style>
  <w:style w:type="paragraph" w:customStyle="1" w:styleId="WideTable">
    <w:name w:val="Wide Table"/>
    <w:basedOn w:val="Normal"/>
    <w:rsid w:val="000A3B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B17"/>
  </w:style>
  <w:style w:type="paragraph" w:styleId="Quote">
    <w:name w:val="Quote"/>
    <w:basedOn w:val="Heading1"/>
    <w:link w:val="QuoteChar"/>
    <w:qFormat/>
    <w:rsid w:val="000A3B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B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B17"/>
    <w:pPr>
      <w:pageBreakBefore/>
    </w:pPr>
  </w:style>
  <w:style w:type="paragraph" w:customStyle="1" w:styleId="Border">
    <w:name w:val="Border"/>
    <w:basedOn w:val="Normal"/>
    <w:qFormat/>
    <w:rsid w:val="000A3B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B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B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B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B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B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B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B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B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B17"/>
    <w:rPr>
      <w:u w:val="single"/>
    </w:rPr>
  </w:style>
  <w:style w:type="character" w:customStyle="1" w:styleId="BoldandItalics">
    <w:name w:val="Bold and Italics"/>
    <w:qFormat/>
    <w:rsid w:val="000A3B17"/>
    <w:rPr>
      <w:b/>
      <w:i/>
      <w:u w:val="none"/>
    </w:rPr>
  </w:style>
  <w:style w:type="paragraph" w:styleId="BalloonText">
    <w:name w:val="Balloon Text"/>
    <w:basedOn w:val="Normal"/>
    <w:link w:val="BalloonTextChar"/>
    <w:rsid w:val="000A3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B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B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B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B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B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B17"/>
    <w:pPr>
      <w:spacing w:before="0" w:after="0"/>
    </w:pPr>
  </w:style>
  <w:style w:type="paragraph" w:customStyle="1" w:styleId="BodyTextBold">
    <w:name w:val="Body Text Bold"/>
    <w:basedOn w:val="BodyText"/>
    <w:qFormat/>
    <w:rsid w:val="000A3B17"/>
    <w:rPr>
      <w:b/>
    </w:rPr>
  </w:style>
  <w:style w:type="character" w:styleId="Hyperlink">
    <w:name w:val="Hyperlink"/>
    <w:basedOn w:val="DefaultParagraphFont"/>
    <w:uiPriority w:val="99"/>
    <w:unhideWhenUsed/>
    <w:rsid w:val="001866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1297</Words>
  <Characters>8444</Characters>
  <Application>Microsoft Office Word</Application>
  <DocSecurity>0</DocSecurity>
  <Lines>337</Lines>
  <Paragraphs>216</Paragraphs>
  <ScaleCrop>false</ScaleCrop>
  <Company>Author-it Software Corporation Ltd.</Company>
  <LinksUpToDate>false</LinksUpToDate>
  <CharactersWithSpaces>9525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CPCPRE2001 Brace and prop prefabricated concrete elements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2025-03-01T17:06:00Z</dcterms:created>
  <dcterms:modified xsi:type="dcterms:W3CDTF">2025-03-01T17:06:00Z</dcterms:modified>
</cp:coreProperties>
</file>