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C59" w:rsidP="00147C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CPCPRE2001 Brace and prop prefabricated concrete elements</w:t>
      </w:r>
      <w:r>
        <w:fldChar w:fldCharType="end"/>
      </w:r>
    </w:p>
    <w:p w:rsidR="00147C59" w:rsidP="00147C59">
      <w:pPr>
        <w:pStyle w:val="Version"/>
        <w:sectPr w:rsidSect="00BE2F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FB4" w:rsidP="00BE2FB4">
      <w:pPr>
        <w:pStyle w:val="SuperHeading"/>
      </w:pPr>
      <w:r w:rsidRPr="00BE2FB4">
        <w:t>Assessment Requirements for CPCPRE2001 Brace and prop prefabricated concrete elements</w:t>
      </w:r>
    </w:p>
    <w:p w:rsidR="00000000" w:rsidRPr="00BE2FB4" w:rsidP="00BE2FB4">
      <w:pPr>
        <w:pStyle w:val="Heading1"/>
      </w:pPr>
      <w:bookmarkStart w:id="1" w:name="O_1260585"/>
      <w:bookmarkEnd w:id="1"/>
      <w:r w:rsidRPr="00BE2F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BE2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FB4">
            <w:pPr>
              <w:pStyle w:val="BodyText"/>
              <w:rPr>
                <w:lang w:val="en-NZ"/>
              </w:rPr>
            </w:pPr>
            <w:r w:rsidRPr="00BE2FB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FB4" w:rsidP="00BE2FB4">
            <w:pPr>
              <w:pStyle w:val="BodyText"/>
            </w:pPr>
            <w:r w:rsidRPr="00BE2FB4">
              <w:t>This version first released with CPC Construction, Plumbing and Services Training Package Release 9.0.</w:t>
            </w:r>
          </w:p>
          <w:p w:rsidR="00000000" w:rsidRPr="00BE2FB4" w:rsidP="00BE2FB4">
            <w:pPr>
              <w:pStyle w:val="BodyText"/>
            </w:pPr>
            <w:r w:rsidRPr="00BE2FB4">
              <w:t>Newly created unit.</w:t>
            </w:r>
          </w:p>
        </w:tc>
      </w:tr>
    </w:tbl>
    <w:p w:rsidR="00000000" w:rsidRPr="00BE2FB4" w:rsidP="00BE2FB4">
      <w:pPr>
        <w:pStyle w:val="BodyText"/>
      </w:pPr>
    </w:p>
    <w:p w:rsidR="00000000" w:rsidRPr="00BE2FB4" w:rsidP="00BE2FB4">
      <w:pPr>
        <w:pStyle w:val="AllowPageBreak"/>
      </w:pPr>
    </w:p>
    <w:p w:rsidR="00000000" w:rsidRPr="00BE2FB4" w:rsidP="00BE2FB4">
      <w:pPr>
        <w:pStyle w:val="Heading1"/>
      </w:pPr>
      <w:bookmarkStart w:id="2" w:name="O_1260588"/>
      <w:bookmarkEnd w:id="2"/>
      <w:r w:rsidRPr="00BE2FB4">
        <w:t>Performance Evidence</w:t>
      </w:r>
    </w:p>
    <w:p w:rsidR="00000000" w:rsidRPr="00BE2FB4" w:rsidP="00147C59">
      <w:pPr>
        <w:pStyle w:val="BodyText"/>
      </w:pPr>
      <w:r w:rsidRPr="00BE2FB4">
        <w:t>To demonstrate competency, a candidate must meet the elements and performance criteria of this unit by:</w:t>
      </w:r>
    </w:p>
    <w:p w:rsidR="00000000" w:rsidRPr="00BE2FB4" w:rsidP="00BE2FB4">
      <w:pPr>
        <w:pStyle w:val="ListBullet"/>
      </w:pPr>
      <w:r w:rsidRPr="00BE2FB4">
        <w:t xml:space="preserve">bracing two prefabricated concrete elements of a height not less than 7 metres and width </w:t>
      </w:r>
      <w:r w:rsidRPr="00BE2FB4">
        <w:t>3 metres:</w:t>
      </w:r>
    </w:p>
    <w:p w:rsidR="00000000" w:rsidRPr="00BE2FB4" w:rsidP="00BE2FB4">
      <w:pPr>
        <w:pStyle w:val="ListBullet2"/>
      </w:pPr>
      <w:r w:rsidRPr="00BE2FB4">
        <w:t>one of which must be a prefabricated concrete wall panel braced with two braces</w:t>
      </w:r>
    </w:p>
    <w:p w:rsidR="00000000" w:rsidRPr="00BE2FB4" w:rsidP="00BE2FB4">
      <w:pPr>
        <w:pStyle w:val="ListBullet2"/>
      </w:pPr>
      <w:r w:rsidRPr="00BE2FB4">
        <w:t>one of which must include both primary and secondary bracing elements (knee, end and lateral-bracing or double knee-braces)</w:t>
      </w:r>
    </w:p>
    <w:p w:rsidR="00000000" w:rsidRPr="00BE2FB4" w:rsidP="00BE2FB4">
      <w:pPr>
        <w:pStyle w:val="ListBullet"/>
      </w:pPr>
      <w:r w:rsidRPr="00BE2FB4">
        <w:t>propping two prefabricated concrete elements, one of which must end propping only, and the other to be continuously shored.</w:t>
      </w:r>
    </w:p>
    <w:p w:rsidR="00000000" w:rsidRPr="00BE2FB4" w:rsidP="00BE2FB4">
      <w:pPr>
        <w:pStyle w:val="AllowPageBreak"/>
      </w:pPr>
    </w:p>
    <w:p w:rsidR="00000000" w:rsidRPr="00BE2FB4" w:rsidP="00BE2FB4">
      <w:pPr>
        <w:pStyle w:val="Heading1"/>
      </w:pPr>
      <w:bookmarkStart w:id="3" w:name="O_1260587"/>
      <w:bookmarkEnd w:id="3"/>
      <w:r w:rsidRPr="00BE2FB4">
        <w:t>Knowledge Evidence</w:t>
      </w:r>
    </w:p>
    <w:p w:rsidR="00000000" w:rsidRPr="00BE2FB4" w:rsidP="00147C59">
      <w:pPr>
        <w:pStyle w:val="BodyText"/>
      </w:pPr>
      <w:r w:rsidRPr="00BE2FB4">
        <w:t>To be competent in this unit, a candidate must demonstrate knowledge of:</w:t>
      </w:r>
    </w:p>
    <w:p w:rsidR="00000000" w:rsidRPr="00BE2FB4" w:rsidP="00BE2FB4">
      <w:pPr>
        <w:pStyle w:val="ListBullet"/>
      </w:pPr>
      <w:r w:rsidRPr="00BE2FB4">
        <w:t>compliance requireme</w:t>
      </w:r>
      <w:r w:rsidRPr="00BE2FB4">
        <w:t>nts of legislation, regulations, codes and Australian Standards relevant to brace and prop of prefabricated concrete elements:</w:t>
      </w:r>
    </w:p>
    <w:p w:rsidR="00000000" w:rsidRPr="00BE2FB4" w:rsidP="00BE2FB4">
      <w:pPr>
        <w:pStyle w:val="ListBullet2"/>
      </w:pPr>
      <w:r w:rsidRPr="00BE2FB4">
        <w:t>AS 3850.1, 2 &amp; 3 Prefabricated concrete elements</w:t>
      </w:r>
    </w:p>
    <w:p w:rsidR="00000000" w:rsidRPr="00BE2FB4" w:rsidP="00BE2FB4">
      <w:pPr>
        <w:pStyle w:val="ListBullet2"/>
      </w:pPr>
      <w:r w:rsidRPr="00BE2FB4">
        <w:t>environmental protection and waste disposal</w:t>
      </w:r>
    </w:p>
    <w:p w:rsidR="00000000" w:rsidRPr="00BE2FB4" w:rsidP="00BE2FB4">
      <w:pPr>
        <w:pStyle w:val="ListBullet"/>
      </w:pPr>
      <w:r w:rsidRPr="00BE2FB4">
        <w:t>work health and safety (WHS) regul</w:t>
      </w:r>
      <w:r w:rsidRPr="00BE2FB4">
        <w:t>ations, including:</w:t>
      </w:r>
    </w:p>
    <w:p w:rsidR="00000000" w:rsidRPr="00BE2FB4" w:rsidP="00BE2FB4">
      <w:pPr>
        <w:pStyle w:val="ListBullet2"/>
      </w:pPr>
      <w:r w:rsidRPr="00BE2FB4">
        <w:t>Safe Work Australia ‘Guide to managing risk in construction: prefabricated concrete’ 2019</w:t>
      </w:r>
    </w:p>
    <w:p w:rsidR="00000000" w:rsidRPr="00BE2FB4" w:rsidP="00BE2FB4">
      <w:pPr>
        <w:pStyle w:val="ListBullet2"/>
      </w:pPr>
      <w:r w:rsidRPr="00BE2FB4">
        <w:t>use of personal protective equipment (PPE)</w:t>
      </w:r>
    </w:p>
    <w:p w:rsidR="00000000" w:rsidRPr="00BE2FB4" w:rsidP="00BE2FB4">
      <w:pPr>
        <w:pStyle w:val="ListBullet2"/>
      </w:pPr>
      <w:r w:rsidRPr="00BE2FB4">
        <w:t>fall protection</w:t>
      </w:r>
    </w:p>
    <w:p w:rsidR="00000000" w:rsidRPr="00BE2FB4" w:rsidP="00BE2FB4">
      <w:pPr>
        <w:pStyle w:val="ListBullet2"/>
      </w:pPr>
      <w:r w:rsidRPr="00BE2FB4">
        <w:t>drop zones</w:t>
      </w:r>
    </w:p>
    <w:p w:rsidR="00000000" w:rsidRPr="00BE2FB4" w:rsidP="00BE2FB4">
      <w:pPr>
        <w:pStyle w:val="ListBullet2"/>
      </w:pPr>
      <w:r w:rsidRPr="00BE2FB4">
        <w:t>hazardous substances</w:t>
      </w:r>
    </w:p>
    <w:p w:rsidR="00000000" w:rsidRPr="00BE2FB4" w:rsidP="00BE2FB4">
      <w:pPr>
        <w:pStyle w:val="ListBullet2"/>
      </w:pPr>
      <w:r w:rsidRPr="00BE2FB4">
        <w:t>safe manual handling techniques</w:t>
      </w:r>
    </w:p>
    <w:p w:rsidR="00000000" w:rsidRPr="00BE2FB4" w:rsidP="00BE2FB4">
      <w:pPr>
        <w:pStyle w:val="ListBullet2"/>
      </w:pPr>
      <w:r w:rsidRPr="00BE2FB4">
        <w:t>safe manual lifting procedures</w:t>
      </w:r>
    </w:p>
    <w:p w:rsidR="00000000" w:rsidRPr="00BE2FB4" w:rsidP="00BE2FB4">
      <w:pPr>
        <w:pStyle w:val="ListBullet"/>
      </w:pPr>
      <w:r w:rsidRPr="00BE2FB4">
        <w:t>risk assessment process for lifting and securing prefabricated elements erection design documentation:</w:t>
      </w:r>
    </w:p>
    <w:p w:rsidR="00000000" w:rsidRPr="00BE2FB4" w:rsidP="00BE2FB4">
      <w:pPr>
        <w:pStyle w:val="ListBullet2"/>
      </w:pPr>
      <w:r w:rsidRPr="00BE2FB4">
        <w:t>set-out details</w:t>
      </w:r>
    </w:p>
    <w:p w:rsidR="00000000" w:rsidRPr="00BE2FB4" w:rsidP="00BE2FB4">
      <w:pPr>
        <w:pStyle w:val="ListBullet2"/>
      </w:pPr>
      <w:r w:rsidRPr="00BE2FB4">
        <w:t>element mass</w:t>
      </w:r>
    </w:p>
    <w:p w:rsidR="00000000" w:rsidRPr="00BE2FB4" w:rsidP="00BE2FB4">
      <w:pPr>
        <w:pStyle w:val="ListBullet2"/>
      </w:pPr>
      <w:r w:rsidRPr="00BE2FB4">
        <w:t>rigging diagrams</w:t>
      </w:r>
    </w:p>
    <w:p w:rsidR="00000000" w:rsidRPr="00BE2FB4" w:rsidP="00BE2FB4">
      <w:pPr>
        <w:pStyle w:val="ListBullet2"/>
      </w:pPr>
      <w:r w:rsidRPr="00BE2FB4">
        <w:t>component geometry</w:t>
      </w:r>
    </w:p>
    <w:p w:rsidR="00000000" w:rsidRPr="00BE2FB4" w:rsidP="00BE2FB4">
      <w:pPr>
        <w:pStyle w:val="ListBullet"/>
      </w:pPr>
      <w:r w:rsidRPr="00BE2FB4">
        <w:t>the strength of concrete at the time of lifting and ha</w:t>
      </w:r>
      <w:r w:rsidRPr="00BE2FB4">
        <w:t xml:space="preserve">ndling from the manufacturers’ </w:t>
      </w:r>
      <w:r>
        <w:t>“</w:t>
      </w:r>
      <w:r w:rsidRPr="00BE2FB4">
        <w:t>birth certificate</w:t>
      </w:r>
      <w:r>
        <w:t>”</w:t>
      </w:r>
      <w:r w:rsidRPr="00BE2FB4">
        <w:t xml:space="preserve"> contained in the erection documentation</w:t>
      </w:r>
    </w:p>
    <w:p w:rsidR="00000000" w:rsidRPr="00BE2FB4" w:rsidP="00BE2FB4">
      <w:pPr>
        <w:pStyle w:val="ListBullet"/>
      </w:pPr>
      <w:r w:rsidRPr="00BE2FB4">
        <w:t>faulty manufacturing and concrete defects which could compromise the strength of the prefabricated elements and pose a potential safety issue for lifting and handlin</w:t>
      </w:r>
      <w:r w:rsidRPr="00BE2FB4">
        <w:t>g</w:t>
      </w:r>
    </w:p>
    <w:p w:rsidR="00000000" w:rsidRPr="00BE2FB4" w:rsidP="00BE2FB4">
      <w:pPr>
        <w:pStyle w:val="ListBullet"/>
      </w:pPr>
      <w:r w:rsidRPr="00BE2FB4">
        <w:t>types of drawings and specifications used to interpret concrete installation requirements</w:t>
      </w:r>
    </w:p>
    <w:p w:rsidR="00000000" w:rsidRPr="00BE2FB4" w:rsidP="00BE2FB4">
      <w:pPr>
        <w:pStyle w:val="ListBullet"/>
      </w:pPr>
      <w:r w:rsidRPr="00BE2FB4">
        <w:t xml:space="preserve">erection documentation </w:t>
      </w:r>
    </w:p>
    <w:p w:rsidR="00000000" w:rsidRPr="00BE2FB4" w:rsidP="00BE2FB4">
      <w:pPr>
        <w:pStyle w:val="ListBullet"/>
      </w:pPr>
      <w:r w:rsidRPr="00BE2FB4">
        <w:t>prefabricated concrete brace and prop specifications, including:</w:t>
      </w:r>
    </w:p>
    <w:p w:rsidR="00000000" w:rsidRPr="00BE2FB4" w:rsidP="00BE2FB4">
      <w:pPr>
        <w:pStyle w:val="ListBullet2"/>
      </w:pPr>
      <w:r w:rsidRPr="00BE2FB4">
        <w:t>erection sequence</w:t>
      </w:r>
    </w:p>
    <w:p w:rsidR="00000000" w:rsidRPr="00BE2FB4" w:rsidP="00BE2FB4">
      <w:pPr>
        <w:pStyle w:val="ListBullet2"/>
      </w:pPr>
      <w:r w:rsidRPr="00BE2FB4">
        <w:t>orientation of prefabricated concrete elements</w:t>
      </w:r>
    </w:p>
    <w:p w:rsidR="00000000" w:rsidRPr="00BE2FB4" w:rsidP="00BE2FB4">
      <w:pPr>
        <w:pStyle w:val="ListBullet2"/>
      </w:pPr>
      <w:r w:rsidRPr="00BE2FB4">
        <w:t>bracing details, including type and angle</w:t>
      </w:r>
    </w:p>
    <w:p w:rsidR="00000000" w:rsidRPr="00BE2FB4" w:rsidP="00BE2FB4">
      <w:pPr>
        <w:pStyle w:val="ListBullet2"/>
      </w:pPr>
      <w:r w:rsidRPr="00BE2FB4">
        <w:t>requirement for erection brace and prop footings</w:t>
      </w:r>
    </w:p>
    <w:p w:rsidR="00000000" w:rsidRPr="00BE2FB4" w:rsidP="00BE2FB4">
      <w:pPr>
        <w:pStyle w:val="ListBullet2"/>
      </w:pPr>
      <w:r w:rsidRPr="00BE2FB4">
        <w:t xml:space="preserve">levelling shims </w:t>
      </w:r>
    </w:p>
    <w:p w:rsidR="00000000" w:rsidRPr="00BE2FB4" w:rsidP="00BE2FB4">
      <w:pPr>
        <w:pStyle w:val="ListBullet2"/>
      </w:pPr>
      <w:r w:rsidRPr="00BE2FB4">
        <w:t>drawings</w:t>
      </w:r>
    </w:p>
    <w:p w:rsidR="00000000" w:rsidRPr="00BE2FB4" w:rsidP="00BE2FB4">
      <w:pPr>
        <w:pStyle w:val="ListBullet"/>
      </w:pPr>
      <w:r w:rsidRPr="00BE2FB4">
        <w:t>types of bracing, including:</w:t>
      </w:r>
    </w:p>
    <w:p w:rsidR="00000000" w:rsidRPr="00BE2FB4" w:rsidP="00BE2FB4">
      <w:pPr>
        <w:pStyle w:val="ListBullet2"/>
      </w:pPr>
      <w:r w:rsidRPr="00BE2FB4">
        <w:t>single storey (drop-in) panel propping</w:t>
      </w:r>
    </w:p>
    <w:p w:rsidR="00000000" w:rsidRPr="00BE2FB4" w:rsidP="00BE2FB4">
      <w:pPr>
        <w:pStyle w:val="ListBullet2"/>
      </w:pPr>
      <w:r w:rsidRPr="00BE2FB4">
        <w:t>double storey (spin-up) panel propping</w:t>
      </w:r>
    </w:p>
    <w:p w:rsidR="00000000" w:rsidRPr="00BE2FB4" w:rsidP="00BE2FB4">
      <w:pPr>
        <w:pStyle w:val="ListBullet2"/>
      </w:pPr>
      <w:r w:rsidRPr="00BE2FB4">
        <w:t>panel to panel propping</w:t>
      </w:r>
    </w:p>
    <w:p w:rsidR="00000000" w:rsidRPr="00BE2FB4" w:rsidP="00BE2FB4">
      <w:pPr>
        <w:pStyle w:val="ListBullet2"/>
      </w:pPr>
      <w:r w:rsidRPr="00BE2FB4">
        <w:t>beam p</w:t>
      </w:r>
      <w:r w:rsidRPr="00BE2FB4">
        <w:t>ropping</w:t>
      </w:r>
    </w:p>
    <w:p w:rsidR="00000000" w:rsidRPr="00BE2FB4" w:rsidP="00BE2FB4">
      <w:pPr>
        <w:pStyle w:val="ListBullet2"/>
      </w:pPr>
      <w:r w:rsidRPr="00BE2FB4">
        <w:t>spandrels propping</w:t>
      </w:r>
    </w:p>
    <w:p w:rsidR="00000000" w:rsidRPr="00BE2FB4" w:rsidP="00BE2FB4">
      <w:pPr>
        <w:pStyle w:val="ListBullet2"/>
      </w:pPr>
      <w:r w:rsidRPr="00BE2FB4">
        <w:t>column bracing</w:t>
      </w:r>
    </w:p>
    <w:p w:rsidR="00000000" w:rsidRPr="00BE2FB4" w:rsidP="00BE2FB4">
      <w:pPr>
        <w:pStyle w:val="ListBullet2"/>
      </w:pPr>
      <w:r w:rsidRPr="00BE2FB4">
        <w:t>lateral bracing</w:t>
      </w:r>
    </w:p>
    <w:p w:rsidR="00000000" w:rsidRPr="00BE2FB4" w:rsidP="00BE2FB4">
      <w:pPr>
        <w:pStyle w:val="ListBullet2"/>
      </w:pPr>
      <w:r w:rsidRPr="00BE2FB4">
        <w:t>end bracing</w:t>
      </w:r>
    </w:p>
    <w:p w:rsidR="00000000" w:rsidRPr="00BE2FB4" w:rsidP="00BE2FB4">
      <w:pPr>
        <w:pStyle w:val="ListBullet2"/>
      </w:pPr>
      <w:r w:rsidRPr="00BE2FB4">
        <w:t>main bracing</w:t>
      </w:r>
    </w:p>
    <w:p w:rsidR="00000000" w:rsidRPr="00BE2FB4" w:rsidP="00BE2FB4">
      <w:pPr>
        <w:pStyle w:val="ListBullet2"/>
      </w:pPr>
      <w:r w:rsidRPr="00BE2FB4">
        <w:t>knee bracing</w:t>
      </w:r>
    </w:p>
    <w:p w:rsidR="00000000" w:rsidRPr="00BE2FB4" w:rsidP="00BE2FB4">
      <w:pPr>
        <w:pStyle w:val="ListBullet2"/>
      </w:pPr>
      <w:r w:rsidRPr="00BE2FB4">
        <w:t>deadman bracing</w:t>
      </w:r>
    </w:p>
    <w:p w:rsidR="00000000" w:rsidRPr="00BE2FB4" w:rsidP="00BE2FB4">
      <w:pPr>
        <w:pStyle w:val="ListBullet"/>
      </w:pPr>
      <w:r w:rsidRPr="00BE2FB4">
        <w:t>types of propping, including:</w:t>
      </w:r>
    </w:p>
    <w:p w:rsidR="00000000" w:rsidRPr="00BE2FB4" w:rsidP="00BE2FB4">
      <w:pPr>
        <w:pStyle w:val="ListBullet2"/>
      </w:pPr>
      <w:r w:rsidRPr="00BE2FB4">
        <w:t>single props (Acrow)</w:t>
      </w:r>
    </w:p>
    <w:p w:rsidR="00000000" w:rsidRPr="00BE2FB4" w:rsidP="00BE2FB4">
      <w:pPr>
        <w:pStyle w:val="ListBullet2"/>
      </w:pPr>
      <w:r w:rsidRPr="00BE2FB4">
        <w:t>single frame</w:t>
      </w:r>
    </w:p>
    <w:p w:rsidR="00000000" w:rsidRPr="00BE2FB4" w:rsidP="00BE2FB4">
      <w:pPr>
        <w:pStyle w:val="ListBullet2"/>
      </w:pPr>
      <w:r w:rsidRPr="00BE2FB4">
        <w:t>continuous frame</w:t>
      </w:r>
    </w:p>
    <w:p w:rsidR="00000000" w:rsidRPr="00BE2FB4" w:rsidP="00BE2FB4">
      <w:pPr>
        <w:pStyle w:val="ListBullet"/>
      </w:pPr>
      <w:r w:rsidRPr="00BE2FB4">
        <w:t>types of concrete prefabricated elements, including:</w:t>
      </w:r>
    </w:p>
    <w:p w:rsidR="00000000" w:rsidRPr="00BE2FB4" w:rsidP="00BE2FB4">
      <w:pPr>
        <w:pStyle w:val="ListBullet2"/>
      </w:pPr>
      <w:r w:rsidRPr="00BE2FB4">
        <w:t>dowell bar</w:t>
      </w:r>
    </w:p>
    <w:p w:rsidR="00000000" w:rsidRPr="00BE2FB4" w:rsidP="00BE2FB4">
      <w:pPr>
        <w:pStyle w:val="ListBullet2"/>
      </w:pPr>
      <w:r w:rsidRPr="00BE2FB4">
        <w:t>panels</w:t>
      </w:r>
    </w:p>
    <w:p w:rsidR="00000000" w:rsidRPr="00BE2FB4" w:rsidP="00BE2FB4">
      <w:pPr>
        <w:pStyle w:val="ListBullet2"/>
      </w:pPr>
      <w:r w:rsidRPr="00BE2FB4">
        <w:t>columns</w:t>
      </w:r>
    </w:p>
    <w:p w:rsidR="00000000" w:rsidRPr="00BE2FB4" w:rsidP="00BE2FB4">
      <w:pPr>
        <w:pStyle w:val="ListBullet2"/>
      </w:pPr>
      <w:r w:rsidRPr="00BE2FB4">
        <w:t>beams</w:t>
      </w:r>
    </w:p>
    <w:p w:rsidR="00000000" w:rsidRPr="00BE2FB4" w:rsidP="00BE2FB4">
      <w:pPr>
        <w:pStyle w:val="ListBullet2"/>
      </w:pPr>
      <w:r w:rsidRPr="00BE2FB4">
        <w:t>planks</w:t>
      </w:r>
    </w:p>
    <w:p w:rsidR="00000000" w:rsidRPr="00BE2FB4" w:rsidP="00BE2FB4">
      <w:pPr>
        <w:pStyle w:val="ListBullet2"/>
      </w:pPr>
      <w:r w:rsidRPr="00BE2FB4">
        <w:t>stairs</w:t>
      </w:r>
    </w:p>
    <w:p w:rsidR="00000000" w:rsidRPr="00BE2FB4" w:rsidP="00BE2FB4">
      <w:pPr>
        <w:pStyle w:val="ListBullet2"/>
      </w:pPr>
      <w:r w:rsidRPr="00BE2FB4">
        <w:t>barriers</w:t>
      </w:r>
    </w:p>
    <w:p w:rsidR="00000000" w:rsidRPr="00BE2FB4" w:rsidP="00BE2FB4">
      <w:pPr>
        <w:pStyle w:val="ListBullet"/>
      </w:pPr>
      <w:r w:rsidRPr="00BE2FB4">
        <w:t>workplace requirements when working with prefabricated concrete elements:</w:t>
      </w:r>
    </w:p>
    <w:p w:rsidR="00000000" w:rsidRPr="00BE2FB4" w:rsidP="00BE2FB4">
      <w:pPr>
        <w:pStyle w:val="ListBullet2"/>
      </w:pPr>
      <w:r w:rsidRPr="00BE2FB4">
        <w:t>cleaning up the work area</w:t>
      </w:r>
    </w:p>
    <w:p w:rsidR="00000000" w:rsidRPr="00BE2FB4" w:rsidP="00BE2FB4">
      <w:pPr>
        <w:pStyle w:val="ListBullet2"/>
      </w:pPr>
      <w:r w:rsidRPr="00BE2FB4">
        <w:t>maintaining and storing plant, labelling, tools and equipment</w:t>
      </w:r>
    </w:p>
    <w:p w:rsidR="00000000" w:rsidRPr="00BE2FB4" w:rsidP="00BE2FB4">
      <w:pPr>
        <w:pStyle w:val="ListBullet2"/>
      </w:pPr>
      <w:r w:rsidRPr="00BE2FB4">
        <w:t>adhering to manufacturer specifications</w:t>
      </w:r>
    </w:p>
    <w:p w:rsidR="00000000" w:rsidRPr="00BE2FB4" w:rsidP="00BE2FB4">
      <w:pPr>
        <w:pStyle w:val="ListBullet2"/>
      </w:pPr>
      <w:r w:rsidRPr="00BE2FB4">
        <w:t>reporting problems</w:t>
      </w:r>
    </w:p>
    <w:p w:rsidR="00000000" w:rsidRPr="00BE2FB4" w:rsidP="00BE2FB4">
      <w:pPr>
        <w:pStyle w:val="ListBullet2"/>
      </w:pPr>
      <w:r w:rsidRPr="00BE2FB4">
        <w:t>quality</w:t>
      </w:r>
    </w:p>
    <w:p w:rsidR="00000000" w:rsidRPr="00BE2FB4" w:rsidP="00BE2FB4">
      <w:pPr>
        <w:pStyle w:val="ListBullet"/>
      </w:pPr>
      <w:r w:rsidRPr="00BE2FB4">
        <w:t xml:space="preserve">types of prefabricated concrete elements </w:t>
      </w:r>
    </w:p>
    <w:p w:rsidR="00000000" w:rsidRPr="00BE2FB4" w:rsidP="00BE2FB4">
      <w:pPr>
        <w:pStyle w:val="ListBullet"/>
      </w:pPr>
      <w:r w:rsidRPr="00BE2FB4">
        <w:t>types of support fixings, including:</w:t>
      </w:r>
    </w:p>
    <w:p w:rsidR="00000000" w:rsidRPr="00BE2FB4" w:rsidP="00BE2FB4">
      <w:pPr>
        <w:pStyle w:val="ListBullet2"/>
      </w:pPr>
      <w:r w:rsidRPr="00BE2FB4">
        <w:t>brace footing</w:t>
      </w:r>
    </w:p>
    <w:p w:rsidR="00000000" w:rsidRPr="00BE2FB4" w:rsidP="00BE2FB4">
      <w:pPr>
        <w:pStyle w:val="ListBullet2"/>
      </w:pPr>
      <w:r w:rsidRPr="00BE2FB4">
        <w:t>ferrule bolts</w:t>
      </w:r>
    </w:p>
    <w:p w:rsidR="00000000" w:rsidRPr="00BE2FB4" w:rsidP="00BE2FB4">
      <w:pPr>
        <w:pStyle w:val="ListBullet2"/>
      </w:pPr>
      <w:r w:rsidRPr="00BE2FB4">
        <w:t>brace pins</w:t>
      </w:r>
    </w:p>
    <w:p w:rsidR="00000000" w:rsidRPr="00BE2FB4" w:rsidP="00BE2FB4">
      <w:pPr>
        <w:pStyle w:val="ListBullet"/>
      </w:pPr>
      <w:r w:rsidRPr="00BE2FB4">
        <w:t xml:space="preserve">fire rating requirements relevant to concrete prefabricated element rectification </w:t>
      </w:r>
    </w:p>
    <w:p w:rsidR="00000000" w:rsidRPr="00BE2FB4" w:rsidP="00BE2FB4">
      <w:pPr>
        <w:pStyle w:val="ListBullet"/>
      </w:pPr>
      <w:r w:rsidRPr="00BE2FB4">
        <w:t xml:space="preserve">workplace procedures related to communication protocols </w:t>
      </w:r>
    </w:p>
    <w:p w:rsidR="00000000" w:rsidRPr="00BE2FB4" w:rsidP="00BE2FB4">
      <w:pPr>
        <w:pStyle w:val="ListBullet"/>
      </w:pPr>
      <w:r w:rsidRPr="00BE2FB4">
        <w:t xml:space="preserve">principles of sustainability relevant to material reuse </w:t>
      </w:r>
    </w:p>
    <w:p w:rsidR="00000000" w:rsidRPr="00BE2FB4" w:rsidP="00BE2FB4">
      <w:pPr>
        <w:pStyle w:val="ListBullet"/>
      </w:pPr>
      <w:r w:rsidRPr="00BE2FB4">
        <w:t xml:space="preserve">logical task sequencing </w:t>
      </w:r>
    </w:p>
    <w:p w:rsidR="00000000" w:rsidRPr="00BE2FB4" w:rsidP="00BE2FB4">
      <w:pPr>
        <w:pStyle w:val="ListBullet"/>
      </w:pPr>
      <w:r w:rsidRPr="00BE2FB4">
        <w:t>types, characteristics and limitat</w:t>
      </w:r>
      <w:r w:rsidRPr="00BE2FB4">
        <w:t>ions of tools, equipment and materials required for propping and bracing prefabricated concrete elements, including:</w:t>
      </w:r>
    </w:p>
    <w:p w:rsidR="00000000" w:rsidRPr="00BE2FB4" w:rsidP="00BE2FB4">
      <w:pPr>
        <w:pStyle w:val="ListBullet2"/>
      </w:pPr>
      <w:r w:rsidRPr="00BE2FB4">
        <w:t>hammers</w:t>
      </w:r>
    </w:p>
    <w:p w:rsidR="00000000" w:rsidRPr="00BE2FB4" w:rsidP="00BE2FB4">
      <w:pPr>
        <w:pStyle w:val="ListBullet2"/>
      </w:pPr>
      <w:r w:rsidRPr="00BE2FB4">
        <w:t>jacks</w:t>
      </w:r>
    </w:p>
    <w:p w:rsidR="00000000" w:rsidRPr="00BE2FB4" w:rsidP="00BE2FB4">
      <w:pPr>
        <w:pStyle w:val="ListBullet2"/>
      </w:pPr>
      <w:r w:rsidRPr="00BE2FB4">
        <w:t>podgers</w:t>
      </w:r>
    </w:p>
    <w:p w:rsidR="00000000" w:rsidRPr="00BE2FB4" w:rsidP="00BE2FB4">
      <w:pPr>
        <w:pStyle w:val="ListBullet2"/>
      </w:pPr>
      <w:r w:rsidRPr="00BE2FB4">
        <w:t>spanners</w:t>
      </w:r>
    </w:p>
    <w:p w:rsidR="00000000" w:rsidRPr="00BE2FB4" w:rsidP="00BE2FB4">
      <w:pPr>
        <w:pStyle w:val="ListBullet2"/>
      </w:pPr>
      <w:r w:rsidRPr="00BE2FB4">
        <w:t>spirit levels and automatic levels</w:t>
      </w:r>
    </w:p>
    <w:p w:rsidR="00000000" w:rsidRPr="00BE2FB4" w:rsidP="00BE2FB4">
      <w:pPr>
        <w:pStyle w:val="ListBullet2"/>
      </w:pPr>
      <w:r w:rsidRPr="00BE2FB4">
        <w:t>tape measures</w:t>
      </w:r>
    </w:p>
    <w:p w:rsidR="00000000" w:rsidRPr="00BE2FB4" w:rsidP="00BE2FB4">
      <w:pPr>
        <w:pStyle w:val="ListBullet2"/>
      </w:pPr>
      <w:r w:rsidRPr="00BE2FB4">
        <w:t>trolleys</w:t>
      </w:r>
    </w:p>
    <w:p w:rsidR="00000000" w:rsidRPr="00BE2FB4" w:rsidP="00BE2FB4">
      <w:pPr>
        <w:pStyle w:val="ListBullet2"/>
      </w:pPr>
      <w:r w:rsidRPr="00BE2FB4">
        <w:t>wedges</w:t>
      </w:r>
    </w:p>
    <w:p w:rsidR="00000000" w:rsidRPr="00BE2FB4" w:rsidP="00BE2FB4">
      <w:pPr>
        <w:pStyle w:val="ListBullet2"/>
      </w:pPr>
      <w:r w:rsidRPr="00BE2FB4">
        <w:t>wrenches</w:t>
      </w:r>
    </w:p>
    <w:p w:rsidR="00000000" w:rsidRPr="00BE2FB4" w:rsidP="00BE2FB4">
      <w:pPr>
        <w:pStyle w:val="ListBullet2"/>
      </w:pPr>
      <w:r w:rsidRPr="00BE2FB4">
        <w:t>hammer lock</w:t>
      </w:r>
    </w:p>
    <w:p w:rsidR="00000000" w:rsidRPr="00BE2FB4" w:rsidP="00BE2FB4">
      <w:pPr>
        <w:pStyle w:val="ListBullet2"/>
      </w:pPr>
      <w:r w:rsidRPr="00BE2FB4">
        <w:t>theodolite</w:t>
      </w:r>
    </w:p>
    <w:p w:rsidR="00000000" w:rsidRPr="00BE2FB4" w:rsidP="00BE2FB4">
      <w:pPr>
        <w:pStyle w:val="ListBullet2"/>
      </w:pPr>
      <w:r w:rsidRPr="00BE2FB4">
        <w:t>post-installed anchors</w:t>
      </w:r>
    </w:p>
    <w:p w:rsidR="00000000" w:rsidRPr="00BE2FB4" w:rsidP="00BE2FB4">
      <w:pPr>
        <w:pStyle w:val="ListBullet2"/>
      </w:pPr>
      <w:r w:rsidRPr="00BE2FB4">
        <w:t>bolting procedures</w:t>
      </w:r>
    </w:p>
    <w:p w:rsidR="00000000" w:rsidRPr="00BE2FB4" w:rsidP="00BE2FB4">
      <w:pPr>
        <w:pStyle w:val="ListBullet2"/>
      </w:pPr>
      <w:r w:rsidRPr="00BE2FB4">
        <w:t>cast-in-threaded inserts for Class 4.6 bolts</w:t>
      </w:r>
    </w:p>
    <w:p w:rsidR="00000000" w:rsidRPr="00BE2FB4" w:rsidP="00BE2FB4">
      <w:pPr>
        <w:pStyle w:val="ListBullet"/>
      </w:pPr>
      <w:r w:rsidRPr="00BE2FB4">
        <w:t>concrete supporting elements, including:</w:t>
      </w:r>
    </w:p>
    <w:p w:rsidR="00000000" w:rsidRPr="00BE2FB4" w:rsidP="00BE2FB4">
      <w:pPr>
        <w:pStyle w:val="ListBullet2"/>
      </w:pPr>
      <w:r w:rsidRPr="00BE2FB4">
        <w:t>floor slabs</w:t>
      </w:r>
    </w:p>
    <w:p w:rsidR="00000000" w:rsidRPr="00BE2FB4" w:rsidP="00BE2FB4">
      <w:pPr>
        <w:pStyle w:val="ListBullet2"/>
      </w:pPr>
      <w:r w:rsidRPr="00BE2FB4">
        <w:t>piers</w:t>
      </w:r>
    </w:p>
    <w:p w:rsidR="00000000" w:rsidRPr="00BE2FB4" w:rsidP="00BE2FB4">
      <w:pPr>
        <w:pStyle w:val="ListBullet2"/>
      </w:pPr>
      <w:r w:rsidRPr="00BE2FB4">
        <w:t xml:space="preserve">footings. </w:t>
      </w:r>
    </w:p>
    <w:p w:rsidR="00000000" w:rsidRPr="00BE2FB4" w:rsidP="00BE2FB4">
      <w:pPr>
        <w:pStyle w:val="AllowPageBreak"/>
      </w:pPr>
    </w:p>
    <w:p w:rsidR="00000000" w:rsidRPr="00BE2FB4" w:rsidP="00BE2FB4">
      <w:pPr>
        <w:pStyle w:val="Heading1"/>
      </w:pPr>
      <w:bookmarkStart w:id="4" w:name="O_1260586"/>
      <w:bookmarkEnd w:id="4"/>
      <w:r w:rsidRPr="00BE2FB4">
        <w:t>Assessment Conditions</w:t>
      </w:r>
    </w:p>
    <w:p w:rsidR="00000000" w:rsidRPr="00BE2FB4" w:rsidP="00147C59">
      <w:pPr>
        <w:pStyle w:val="BodyText"/>
      </w:pPr>
      <w:r w:rsidRPr="00BE2FB4">
        <w:t>Assessors must meet the requirements for assessors contained in the Standards for Registered Training Organisations.</w:t>
      </w:r>
    </w:p>
    <w:p w:rsidR="00000000" w:rsidRPr="00BE2FB4" w:rsidP="00147C59">
      <w:pPr>
        <w:pStyle w:val="BodyText"/>
      </w:pPr>
      <w:r w:rsidRPr="00BE2FB4">
        <w:t>Assessment must be conducted in the workplace or a simulated workplace using realistic conditions, materials, activities, responsibilities,</w:t>
      </w:r>
      <w:r w:rsidRPr="00BE2FB4">
        <w:t xml:space="preserve"> procedures, safety requirements and environmental considerations.</w:t>
      </w:r>
    </w:p>
    <w:p w:rsidR="00000000" w:rsidRPr="00BE2FB4" w:rsidP="00147C59">
      <w:pPr>
        <w:pStyle w:val="BodyText"/>
      </w:pPr>
      <w:r w:rsidRPr="00BE2FB4">
        <w:t>Candidates must have access to erection design documentation, materials, manufacturer specifications, plant, tools and equipment required to achieve the performance evidence.</w:t>
      </w:r>
    </w:p>
    <w:p w:rsidR="00000000" w:rsidRPr="00BE2FB4" w:rsidP="00BE2FB4">
      <w:pPr>
        <w:pStyle w:val="Heading1"/>
      </w:pPr>
      <w:bookmarkStart w:id="5" w:name="O_1260584"/>
      <w:bookmarkEnd w:id="5"/>
      <w:r w:rsidRPr="00BE2FB4">
        <w:t>Links</w:t>
      </w:r>
    </w:p>
    <w:p w:rsidR="00000000" w:rsidRPr="00BE2FB4" w:rsidP="00147C59">
      <w:pPr>
        <w:pStyle w:val="BodyText"/>
      </w:pPr>
      <w:r w:rsidRPr="00BE2FB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44F7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E2FB4" w:rsidP="00BE2FB4"/>
    <w:sectPr w:rsidSect="00BE2F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F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FB4" w:rsidRPr="00147C59" w:rsidP="00147C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F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59" w:rsidP="00BE2F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7C59" w:rsidP="00BE2F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47C59" w:rsidP="00BE2F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F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FB4" w:rsidRPr="00147C59" w:rsidP="00147C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F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59" w:rsidRPr="002D2AF8" w:rsidP="00BE2F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CPCPRE2001 Brace and prop prefabricated concrete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47C59" w:rsidP="00BE2F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5E97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200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C42D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F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F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F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F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F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F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F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F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F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F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F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FB4"/>
  </w:style>
  <w:style w:type="character" w:customStyle="1" w:styleId="Heading1Char">
    <w:name w:val="Heading 1 Char"/>
    <w:basedOn w:val="DefaultParagraphFont"/>
    <w:link w:val="Heading1"/>
    <w:rsid w:val="00BE2F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F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F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2F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2F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2F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F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F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F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F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F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F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F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F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F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F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F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F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F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F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F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F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2F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2FB4"/>
    <w:rPr>
      <w:b/>
      <w:spacing w:val="0"/>
    </w:rPr>
  </w:style>
  <w:style w:type="paragraph" w:customStyle="1" w:styleId="SuperTitle">
    <w:name w:val="SuperTitle"/>
    <w:basedOn w:val="Title"/>
    <w:rsid w:val="00BE2F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F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F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2F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F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F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F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F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F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F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F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F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2FB4"/>
    <w:rPr>
      <w:i/>
    </w:rPr>
  </w:style>
  <w:style w:type="paragraph" w:styleId="Caption">
    <w:name w:val="caption"/>
    <w:basedOn w:val="BodyText"/>
    <w:next w:val="Normal"/>
    <w:qFormat/>
    <w:rsid w:val="00BE2F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F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F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FB4"/>
  </w:style>
  <w:style w:type="paragraph" w:styleId="TableofFigures">
    <w:name w:val="table of figures"/>
    <w:basedOn w:val="Normal"/>
    <w:next w:val="Normal"/>
    <w:semiHidden/>
    <w:rsid w:val="00BE2F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F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2FB4"/>
    <w:rPr>
      <w:rFonts w:ascii="Wingdings" w:hAnsi="Wingdings"/>
    </w:rPr>
  </w:style>
  <w:style w:type="paragraph" w:customStyle="1" w:styleId="TableHeading">
    <w:name w:val="Table Heading"/>
    <w:basedOn w:val="HeadingBase"/>
    <w:rsid w:val="00BE2F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FB4"/>
    <w:rPr>
      <w:color w:val="0033CC"/>
      <w:u w:val="none"/>
    </w:rPr>
  </w:style>
  <w:style w:type="paragraph" w:customStyle="1" w:styleId="BodyTextRight">
    <w:name w:val="Body Text Right"/>
    <w:basedOn w:val="BodyText"/>
    <w:rsid w:val="00BE2F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F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F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F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F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F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FB4"/>
    <w:rPr>
      <w:sz w:val="32"/>
    </w:rPr>
  </w:style>
  <w:style w:type="paragraph" w:customStyle="1" w:styleId="HeadingProcedure">
    <w:name w:val="Heading Procedure"/>
    <w:basedOn w:val="HeadingBase"/>
    <w:next w:val="Normal"/>
    <w:rsid w:val="00BE2F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FB4"/>
    <w:pPr>
      <w:spacing w:before="60" w:after="60"/>
    </w:pPr>
  </w:style>
  <w:style w:type="paragraph" w:styleId="ListContinue">
    <w:name w:val="List Continue"/>
    <w:basedOn w:val="List"/>
    <w:rsid w:val="00BE2FB4"/>
    <w:pPr>
      <w:ind w:firstLine="0"/>
    </w:pPr>
  </w:style>
  <w:style w:type="paragraph" w:customStyle="1" w:styleId="ListNote">
    <w:name w:val="List Note"/>
    <w:basedOn w:val="List"/>
    <w:rsid w:val="00BE2F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F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F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FB4"/>
    <w:rPr>
      <w:rFonts w:ascii="Courier New" w:hAnsi="Courier New"/>
    </w:rPr>
  </w:style>
  <w:style w:type="paragraph" w:customStyle="1" w:styleId="NoteBullet">
    <w:name w:val="Note Bullet"/>
    <w:basedOn w:val="Note"/>
    <w:rsid w:val="00BE2F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F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F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F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F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2F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F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FB4"/>
    <w:rPr>
      <w:b/>
      <w:smallCaps/>
    </w:rPr>
  </w:style>
  <w:style w:type="paragraph" w:customStyle="1" w:styleId="TableListNumber">
    <w:name w:val="Table List Number"/>
    <w:basedOn w:val="ListNumber"/>
    <w:rsid w:val="00BE2F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F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FB4"/>
    <w:pPr>
      <w:numPr>
        <w:numId w:val="9"/>
      </w:numPr>
    </w:pPr>
  </w:style>
  <w:style w:type="paragraph" w:customStyle="1" w:styleId="ListAlpha2">
    <w:name w:val="List Alpha 2"/>
    <w:basedOn w:val="List2"/>
    <w:rsid w:val="00BE2FB4"/>
    <w:pPr>
      <w:numPr>
        <w:numId w:val="8"/>
      </w:numPr>
    </w:pPr>
  </w:style>
  <w:style w:type="paragraph" w:styleId="List2">
    <w:name w:val="List 2"/>
    <w:basedOn w:val="BodyText"/>
    <w:rsid w:val="00BE2F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F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F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F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F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F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2FB4"/>
    <w:pPr>
      <w:numPr>
        <w:numId w:val="4"/>
      </w:numPr>
    </w:pPr>
  </w:style>
  <w:style w:type="paragraph" w:styleId="ListContinue2">
    <w:name w:val="List Continue 2"/>
    <w:basedOn w:val="List2"/>
    <w:rsid w:val="00BE2FB4"/>
    <w:pPr>
      <w:ind w:firstLine="0"/>
    </w:pPr>
  </w:style>
  <w:style w:type="paragraph" w:styleId="ListContinue3">
    <w:name w:val="List Continue 3"/>
    <w:basedOn w:val="List3"/>
    <w:rsid w:val="00BE2FB4"/>
    <w:pPr>
      <w:ind w:left="1021" w:firstLine="0"/>
    </w:pPr>
  </w:style>
  <w:style w:type="paragraph" w:styleId="ListContinue4">
    <w:name w:val="List Continue 4"/>
    <w:basedOn w:val="List4"/>
    <w:rsid w:val="00BE2FB4"/>
    <w:pPr>
      <w:ind w:firstLine="0"/>
    </w:pPr>
  </w:style>
  <w:style w:type="paragraph" w:styleId="ListContinue5">
    <w:name w:val="List Continue 5"/>
    <w:basedOn w:val="List5"/>
    <w:rsid w:val="00BE2FB4"/>
    <w:pPr>
      <w:ind w:firstLine="0"/>
    </w:pPr>
  </w:style>
  <w:style w:type="paragraph" w:styleId="ListNumber3">
    <w:name w:val="List Number 3"/>
    <w:basedOn w:val="List3"/>
    <w:rsid w:val="00BE2FB4"/>
    <w:pPr>
      <w:numPr>
        <w:numId w:val="5"/>
      </w:numPr>
    </w:pPr>
  </w:style>
  <w:style w:type="paragraph" w:styleId="ListNumber4">
    <w:name w:val="List Number 4"/>
    <w:basedOn w:val="List4"/>
    <w:rsid w:val="00BE2FB4"/>
    <w:pPr>
      <w:numPr>
        <w:numId w:val="6"/>
      </w:numPr>
    </w:pPr>
  </w:style>
  <w:style w:type="paragraph" w:styleId="ListNumber5">
    <w:name w:val="List Number 5"/>
    <w:basedOn w:val="List5"/>
    <w:rsid w:val="00BE2FB4"/>
    <w:pPr>
      <w:numPr>
        <w:numId w:val="7"/>
      </w:numPr>
    </w:pPr>
  </w:style>
  <w:style w:type="paragraph" w:styleId="BlockText">
    <w:name w:val="Block Text"/>
    <w:basedOn w:val="Normal"/>
    <w:rsid w:val="00BE2F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F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FB4"/>
    <w:rPr>
      <w:sz w:val="16"/>
      <w:vertAlign w:val="superscript"/>
    </w:rPr>
  </w:style>
  <w:style w:type="character" w:customStyle="1" w:styleId="Symbols">
    <w:name w:val="Symbols"/>
    <w:basedOn w:val="DefaultParagraphFont"/>
    <w:rsid w:val="00BE2FB4"/>
    <w:rPr>
      <w:rFonts w:ascii="Symbol" w:hAnsi="Symbol"/>
    </w:rPr>
  </w:style>
  <w:style w:type="character" w:customStyle="1" w:styleId="MenuOptions">
    <w:name w:val="Menu Options"/>
    <w:basedOn w:val="DefaultParagraphFont"/>
    <w:rsid w:val="00BE2F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FB4"/>
    <w:rPr>
      <w:b/>
    </w:rPr>
  </w:style>
  <w:style w:type="character" w:customStyle="1" w:styleId="Underlined">
    <w:name w:val="Underlined"/>
    <w:basedOn w:val="DefaultParagraphFont"/>
    <w:rsid w:val="00BE2FB4"/>
    <w:rPr>
      <w:u w:val="single"/>
    </w:rPr>
  </w:style>
  <w:style w:type="paragraph" w:customStyle="1" w:styleId="TableBodyTextRight">
    <w:name w:val="Table Body Text Right"/>
    <w:basedOn w:val="TableBodyText"/>
    <w:rsid w:val="00BE2F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FB4"/>
    <w:rPr>
      <w:sz w:val="18"/>
    </w:rPr>
  </w:style>
  <w:style w:type="paragraph" w:customStyle="1" w:styleId="BodySmallRight">
    <w:name w:val="Body Small Right"/>
    <w:basedOn w:val="BodyTextRight"/>
    <w:rsid w:val="00BE2FB4"/>
    <w:rPr>
      <w:sz w:val="18"/>
      <w:szCs w:val="18"/>
    </w:rPr>
  </w:style>
  <w:style w:type="paragraph" w:customStyle="1" w:styleId="MarginEdition">
    <w:name w:val="Margin Edition"/>
    <w:basedOn w:val="MarginNote"/>
    <w:rsid w:val="00BE2F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FB4"/>
    <w:rPr>
      <w:sz w:val="2"/>
      <w:szCs w:val="2"/>
    </w:rPr>
  </w:style>
  <w:style w:type="character" w:customStyle="1" w:styleId="Small">
    <w:name w:val="Small"/>
    <w:basedOn w:val="DefaultParagraphFont"/>
    <w:rsid w:val="00BE2FB4"/>
    <w:rPr>
      <w:sz w:val="16"/>
    </w:rPr>
  </w:style>
  <w:style w:type="paragraph" w:customStyle="1" w:styleId="WideTable">
    <w:name w:val="Wide Table"/>
    <w:basedOn w:val="Normal"/>
    <w:rsid w:val="00BE2F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FB4"/>
  </w:style>
  <w:style w:type="paragraph" w:styleId="Quote">
    <w:name w:val="Quote"/>
    <w:basedOn w:val="Heading1"/>
    <w:link w:val="QuoteChar"/>
    <w:qFormat/>
    <w:rsid w:val="00BE2F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F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FB4"/>
    <w:pPr>
      <w:pageBreakBefore/>
    </w:pPr>
  </w:style>
  <w:style w:type="paragraph" w:customStyle="1" w:styleId="Border">
    <w:name w:val="Border"/>
    <w:basedOn w:val="Normal"/>
    <w:qFormat/>
    <w:rsid w:val="00BE2F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F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F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F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F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F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F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F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F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FB4"/>
    <w:rPr>
      <w:u w:val="single"/>
    </w:rPr>
  </w:style>
  <w:style w:type="character" w:customStyle="1" w:styleId="BoldandItalics">
    <w:name w:val="Bold and Italics"/>
    <w:qFormat/>
    <w:rsid w:val="00BE2FB4"/>
    <w:rPr>
      <w:b/>
      <w:i/>
      <w:u w:val="none"/>
    </w:rPr>
  </w:style>
  <w:style w:type="paragraph" w:styleId="BalloonText">
    <w:name w:val="Balloon Text"/>
    <w:basedOn w:val="Normal"/>
    <w:link w:val="BalloonTextChar"/>
    <w:rsid w:val="00BE2F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F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F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F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F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F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FB4"/>
    <w:pPr>
      <w:spacing w:before="0" w:after="0"/>
    </w:pPr>
  </w:style>
  <w:style w:type="paragraph" w:customStyle="1" w:styleId="BodyTextBold">
    <w:name w:val="Body Text Bold"/>
    <w:basedOn w:val="BodyText"/>
    <w:qFormat/>
    <w:rsid w:val="00BE2FB4"/>
    <w:rPr>
      <w:b/>
    </w:rPr>
  </w:style>
  <w:style w:type="character" w:styleId="Hyperlink">
    <w:name w:val="Hyperlink"/>
    <w:basedOn w:val="DefaultParagraphFont"/>
    <w:uiPriority w:val="99"/>
    <w:unhideWhenUsed/>
    <w:rsid w:val="00147C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4080</Characters>
  <Application>Microsoft Office Word</Application>
  <DocSecurity>0</DocSecurity>
  <Lines>136</Lines>
  <Paragraphs>122</Paragraphs>
  <ScaleCrop>false</ScaleCrop>
  <Company>Author-it Software Corporation Ltd.</Company>
  <LinksUpToDate>false</LinksUpToDate>
  <CharactersWithSpaces>4548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CPCPRE2001 Brace and prop prefabricated concrete elements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2024-12-24T01:23:00Z</dcterms:created>
  <dcterms:modified xsi:type="dcterms:W3CDTF">2024-12-24T01:23:00Z</dcterms:modified>
</cp:coreProperties>
</file>