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EC4" w:rsidP="00CC6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CPCPPS5015 Inspect plumbing and drainage systems</w:t>
      </w:r>
      <w:r>
        <w:fldChar w:fldCharType="end"/>
      </w:r>
    </w:p>
    <w:p w:rsidR="00CC6EC4" w:rsidP="00CC6EC4">
      <w:pPr>
        <w:pStyle w:val="Version"/>
        <w:sectPr w:rsidSect="00A31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96C" w:rsidP="00A3196C">
      <w:pPr>
        <w:pStyle w:val="SuperHeading"/>
      </w:pPr>
      <w:r w:rsidRPr="00A3196C">
        <w:t>Assessment Requirements for CPCPPS5015 Inspect plumbing and drainage systems</w:t>
      </w:r>
    </w:p>
    <w:p w:rsidR="00000000" w:rsidRPr="00A3196C" w:rsidP="00A3196C">
      <w:pPr>
        <w:pStyle w:val="Heading1"/>
      </w:pPr>
      <w:bookmarkStart w:id="1" w:name="O_1135178"/>
      <w:bookmarkEnd w:id="1"/>
      <w:r w:rsidRPr="00A319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31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6C">
            <w:pPr>
              <w:pStyle w:val="BodyText"/>
              <w:rPr>
                <w:lang w:val="en-NZ"/>
              </w:rPr>
            </w:pPr>
            <w:r w:rsidRPr="00A3196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6C" w:rsidP="00A3196C">
            <w:pPr>
              <w:pStyle w:val="BodyText"/>
            </w:pPr>
            <w:r w:rsidRPr="00A3196C">
              <w:t>This version first released with CPC Construction, Plumbing and Services Training Package Release 5.0.</w:t>
            </w:r>
          </w:p>
          <w:p w:rsidR="00000000" w:rsidRPr="00A3196C" w:rsidP="00A3196C">
            <w:pPr>
              <w:pStyle w:val="BodyText"/>
            </w:pPr>
            <w:r w:rsidRPr="00A3196C">
              <w:t>Supersedes and is equivalent to CPCPPS5015B Inspect plumbing and drainage systems.  Updated to meet the Standards for Training Packages 2012.</w:t>
            </w:r>
          </w:p>
        </w:tc>
      </w:tr>
    </w:tbl>
    <w:p w:rsidR="00000000" w:rsidRPr="00A3196C" w:rsidP="00A3196C">
      <w:pPr>
        <w:pStyle w:val="BodyText"/>
      </w:pPr>
    </w:p>
    <w:p w:rsidR="00000000" w:rsidRPr="00A3196C" w:rsidP="00A3196C">
      <w:pPr>
        <w:pStyle w:val="AllowPageBreak"/>
      </w:pPr>
    </w:p>
    <w:p w:rsidR="00000000" w:rsidRPr="00A3196C" w:rsidP="00A3196C">
      <w:pPr>
        <w:pStyle w:val="Heading1"/>
      </w:pPr>
      <w:bookmarkStart w:id="2" w:name="O_1135181"/>
      <w:bookmarkEnd w:id="2"/>
      <w:r w:rsidRPr="00A3196C">
        <w:t>Performance Evidence</w:t>
      </w:r>
    </w:p>
    <w:p w:rsidR="00000000" w:rsidRPr="00A3196C" w:rsidP="00CC6EC4">
      <w:pPr>
        <w:pStyle w:val="BodyText"/>
      </w:pPr>
      <w:r w:rsidRPr="00A3196C">
        <w:t>To demonstrate competency in this unit, a person must meet the performan</w:t>
      </w:r>
      <w:r w:rsidRPr="00A3196C">
        <w:t>ce criteria for this unit by:</w:t>
      </w:r>
    </w:p>
    <w:p w:rsidR="00000000" w:rsidRPr="00A3196C" w:rsidP="00A3196C">
      <w:pPr>
        <w:pStyle w:val="ListBullet"/>
      </w:pPr>
      <w:r w:rsidRPr="00A3196C">
        <w:t>conducting a compliance inspection on four different hydraulic systems and prepare a report on each instance to ensure compliance.</w:t>
      </w:r>
    </w:p>
    <w:p w:rsidR="00000000" w:rsidRPr="00A3196C" w:rsidP="00A3196C">
      <w:pPr>
        <w:pStyle w:val="AllowPageBreak"/>
      </w:pPr>
    </w:p>
    <w:p w:rsidR="00000000" w:rsidRPr="00A3196C" w:rsidP="00A3196C">
      <w:pPr>
        <w:pStyle w:val="Heading1"/>
      </w:pPr>
      <w:bookmarkStart w:id="3" w:name="O_1135180"/>
      <w:bookmarkEnd w:id="3"/>
      <w:r w:rsidRPr="00A3196C">
        <w:t>Knowledge Evidence</w:t>
      </w:r>
    </w:p>
    <w:p w:rsidR="00000000" w:rsidRPr="00A3196C" w:rsidP="00CC6EC4">
      <w:pPr>
        <w:pStyle w:val="BodyText"/>
      </w:pPr>
      <w:r w:rsidRPr="00A3196C">
        <w:t>To be competent in</w:t>
      </w:r>
      <w:r w:rsidRPr="00A3196C">
        <w:t xml:space="preserve"> this unit, a candidate must demonstrate knowledge of:</w:t>
      </w:r>
    </w:p>
    <w:p w:rsidR="00000000" w:rsidRPr="00A3196C" w:rsidP="00A3196C">
      <w:pPr>
        <w:pStyle w:val="ListBullet"/>
      </w:pPr>
      <w:r w:rsidRPr="00A3196C">
        <w:t>common terminology and definitions used in the design of plumbing and drainage systems</w:t>
      </w:r>
    </w:p>
    <w:p w:rsidR="00000000" w:rsidRPr="00A3196C" w:rsidP="00A3196C">
      <w:pPr>
        <w:pStyle w:val="ListBullet"/>
      </w:pPr>
      <w:r w:rsidRPr="00A3196C">
        <w:t>use of approved materials identified from Australian and New Zealand Standards and effects of performance under v</w:t>
      </w:r>
      <w:r w:rsidRPr="00A3196C">
        <w:t>arious conditions:</w:t>
      </w:r>
    </w:p>
    <w:p w:rsidR="00000000" w:rsidRPr="00A3196C" w:rsidP="00A3196C">
      <w:pPr>
        <w:pStyle w:val="ListBullet2"/>
      </w:pPr>
      <w:r w:rsidRPr="00A3196C">
        <w:t>fixtures</w:t>
      </w:r>
    </w:p>
    <w:p w:rsidR="00000000" w:rsidRPr="00A3196C" w:rsidP="00A3196C">
      <w:pPr>
        <w:pStyle w:val="ListBullet2"/>
      </w:pPr>
      <w:r w:rsidRPr="00A3196C">
        <w:t xml:space="preserve">fittings </w:t>
      </w:r>
    </w:p>
    <w:p w:rsidR="00000000" w:rsidRPr="00A3196C" w:rsidP="00A3196C">
      <w:pPr>
        <w:pStyle w:val="ListBullet2"/>
      </w:pPr>
      <w:r w:rsidRPr="00A3196C">
        <w:t>pipes</w:t>
      </w:r>
    </w:p>
    <w:p w:rsidR="00000000" w:rsidRPr="00A3196C" w:rsidP="00A3196C">
      <w:pPr>
        <w:pStyle w:val="ListBullet"/>
      </w:pPr>
      <w:r w:rsidRPr="00A3196C">
        <w:t>principles of technology used in the design of hydraulic systems:</w:t>
      </w:r>
    </w:p>
    <w:p w:rsidR="00000000" w:rsidRPr="00A3196C" w:rsidP="00A3196C">
      <w:pPr>
        <w:pStyle w:val="ListBullet2"/>
      </w:pPr>
      <w:r w:rsidRPr="00A3196C">
        <w:t>fire services</w:t>
      </w:r>
    </w:p>
    <w:p w:rsidR="00000000" w:rsidRPr="00A3196C" w:rsidP="00A3196C">
      <w:pPr>
        <w:pStyle w:val="ListBullet2"/>
      </w:pPr>
      <w:r w:rsidRPr="00A3196C">
        <w:t>gas services</w:t>
      </w:r>
    </w:p>
    <w:p w:rsidR="00000000" w:rsidRPr="00A3196C" w:rsidP="00A3196C">
      <w:pPr>
        <w:pStyle w:val="ListBullet2"/>
      </w:pPr>
      <w:r w:rsidRPr="00A3196C">
        <w:t>mechanical services</w:t>
      </w:r>
    </w:p>
    <w:p w:rsidR="00000000" w:rsidRPr="00A3196C" w:rsidP="00A3196C">
      <w:pPr>
        <w:pStyle w:val="ListBullet2"/>
      </w:pPr>
      <w:r w:rsidRPr="00A3196C">
        <w:t>sanitary plumbing and drainage</w:t>
      </w:r>
    </w:p>
    <w:p w:rsidR="00000000" w:rsidRPr="00A3196C" w:rsidP="00A3196C">
      <w:pPr>
        <w:pStyle w:val="ListBullet2"/>
      </w:pPr>
      <w:r w:rsidRPr="00A3196C">
        <w:t>stormwater drainage</w:t>
      </w:r>
    </w:p>
    <w:p w:rsidR="00000000" w:rsidRPr="00A3196C" w:rsidP="00A3196C">
      <w:pPr>
        <w:pStyle w:val="ListBullet2"/>
      </w:pPr>
      <w:r w:rsidRPr="00A3196C">
        <w:t>trade waste</w:t>
      </w:r>
    </w:p>
    <w:p w:rsidR="00000000" w:rsidRPr="00A3196C" w:rsidP="00A3196C">
      <w:pPr>
        <w:pStyle w:val="ListBullet2"/>
      </w:pPr>
      <w:r w:rsidRPr="00A3196C">
        <w:t>water supply</w:t>
      </w:r>
    </w:p>
    <w:p w:rsidR="00000000" w:rsidRPr="00A3196C" w:rsidP="00A3196C">
      <w:pPr>
        <w:pStyle w:val="ListBullet"/>
      </w:pPr>
      <w:r w:rsidRPr="00A3196C">
        <w:t>administrative procedures required for the inspection of hydraulic systems:</w:t>
      </w:r>
    </w:p>
    <w:p w:rsidR="00000000" w:rsidRPr="00A3196C" w:rsidP="00A3196C">
      <w:pPr>
        <w:pStyle w:val="ListBullet2"/>
      </w:pPr>
      <w:r w:rsidRPr="00A3196C">
        <w:t>file management</w:t>
      </w:r>
    </w:p>
    <w:p w:rsidR="00000000" w:rsidRPr="00A3196C" w:rsidP="00A3196C">
      <w:pPr>
        <w:pStyle w:val="ListBullet2"/>
      </w:pPr>
      <w:r w:rsidRPr="00A3196C">
        <w:t>inspection allocation</w:t>
      </w:r>
    </w:p>
    <w:p w:rsidR="00000000" w:rsidRPr="00A3196C" w:rsidP="00A3196C">
      <w:pPr>
        <w:pStyle w:val="ListBullet2"/>
      </w:pPr>
      <w:r w:rsidRPr="00A3196C">
        <w:t>inspection records</w:t>
      </w:r>
    </w:p>
    <w:p w:rsidR="00000000" w:rsidRPr="00A3196C" w:rsidP="00A3196C">
      <w:pPr>
        <w:pStyle w:val="ListBullet2"/>
      </w:pPr>
      <w:r w:rsidRPr="00A3196C">
        <w:t>logging inspections</w:t>
      </w:r>
    </w:p>
    <w:p w:rsidR="00000000" w:rsidRPr="00A3196C" w:rsidP="00A3196C">
      <w:pPr>
        <w:pStyle w:val="ListBullet"/>
      </w:pPr>
      <w:r w:rsidRPr="00A3196C">
        <w:t>inspection checklists requirements:</w:t>
      </w:r>
    </w:p>
    <w:p w:rsidR="00000000" w:rsidRPr="00A3196C" w:rsidP="00A3196C">
      <w:pPr>
        <w:pStyle w:val="ListBullet2"/>
      </w:pPr>
      <w:r w:rsidRPr="00A3196C">
        <w:t>approved installation methods</w:t>
      </w:r>
    </w:p>
    <w:p w:rsidR="00000000" w:rsidRPr="00A3196C" w:rsidP="00A3196C">
      <w:pPr>
        <w:pStyle w:val="ListBullet2"/>
      </w:pPr>
      <w:r w:rsidRPr="00A3196C">
        <w:t>authorised materials</w:t>
      </w:r>
    </w:p>
    <w:p w:rsidR="00000000" w:rsidRPr="00A3196C" w:rsidP="00A3196C">
      <w:pPr>
        <w:pStyle w:val="ListBullet2"/>
      </w:pPr>
      <w:r w:rsidRPr="00A3196C">
        <w:t>project secti</w:t>
      </w:r>
      <w:r w:rsidRPr="00A3196C">
        <w:t>on</w:t>
      </w:r>
    </w:p>
    <w:p w:rsidR="00000000" w:rsidRPr="00A3196C" w:rsidP="00A3196C">
      <w:pPr>
        <w:pStyle w:val="ListBullet2"/>
      </w:pPr>
      <w:r w:rsidRPr="00A3196C">
        <w:t>compliance with:</w:t>
      </w:r>
    </w:p>
    <w:p w:rsidR="00000000" w:rsidRPr="00A3196C" w:rsidP="00A3196C">
      <w:pPr>
        <w:pStyle w:val="ListBullet3"/>
      </w:pPr>
      <w:r w:rsidRPr="00A3196C">
        <w:t>Australian and New Zealand Standards</w:t>
      </w:r>
    </w:p>
    <w:p w:rsidR="00000000" w:rsidRPr="00A3196C" w:rsidP="00A3196C">
      <w:pPr>
        <w:pStyle w:val="ListBullet3"/>
      </w:pPr>
      <w:r w:rsidRPr="00A3196C">
        <w:t>distances</w:t>
      </w:r>
    </w:p>
    <w:p w:rsidR="00000000" w:rsidRPr="00A3196C" w:rsidP="00A3196C">
      <w:pPr>
        <w:pStyle w:val="ListBullet3"/>
      </w:pPr>
      <w:r w:rsidRPr="00A3196C">
        <w:t>limitations</w:t>
      </w:r>
    </w:p>
    <w:p w:rsidR="00000000" w:rsidRPr="00A3196C" w:rsidP="00A3196C">
      <w:pPr>
        <w:pStyle w:val="ListBullet3"/>
      </w:pPr>
      <w:r w:rsidRPr="00A3196C">
        <w:t>National Construction Code (NCC)</w:t>
      </w:r>
    </w:p>
    <w:p w:rsidR="00000000" w:rsidRPr="00A3196C" w:rsidP="00A3196C">
      <w:pPr>
        <w:pStyle w:val="ListBullet3"/>
      </w:pPr>
      <w:r w:rsidRPr="00A3196C">
        <w:t>other regulatory requirements</w:t>
      </w:r>
    </w:p>
    <w:p w:rsidR="00000000" w:rsidRPr="00A3196C" w:rsidP="00A3196C">
      <w:pPr>
        <w:pStyle w:val="ListBullet"/>
      </w:pPr>
      <w:r w:rsidRPr="00A3196C">
        <w:t>Inspection reports requirements:</w:t>
      </w:r>
    </w:p>
    <w:p w:rsidR="00000000" w:rsidRPr="00A3196C" w:rsidP="00A3196C">
      <w:pPr>
        <w:pStyle w:val="ListBullet2"/>
      </w:pPr>
      <w:r w:rsidRPr="00A3196C">
        <w:t xml:space="preserve">defect </w:t>
      </w:r>
    </w:p>
    <w:p w:rsidR="00000000" w:rsidRPr="00A3196C" w:rsidP="00A3196C">
      <w:pPr>
        <w:pStyle w:val="ListBullet2"/>
      </w:pPr>
      <w:r w:rsidRPr="00A3196C">
        <w:t>inspection</w:t>
      </w:r>
    </w:p>
    <w:p w:rsidR="00000000" w:rsidRPr="00A3196C" w:rsidP="00A3196C">
      <w:pPr>
        <w:pStyle w:val="ListBullet2"/>
      </w:pPr>
      <w:r w:rsidRPr="00A3196C">
        <w:t>performance</w:t>
      </w:r>
    </w:p>
    <w:p w:rsidR="00000000" w:rsidRPr="00A3196C" w:rsidP="00A3196C">
      <w:pPr>
        <w:pStyle w:val="ListBullet2"/>
      </w:pPr>
      <w:r w:rsidRPr="00A3196C">
        <w:t>quality assurance</w:t>
      </w:r>
    </w:p>
    <w:p w:rsidR="00000000" w:rsidRPr="00A3196C" w:rsidP="00A3196C">
      <w:pPr>
        <w:pStyle w:val="ListBullet"/>
      </w:pPr>
      <w:r w:rsidRPr="00A3196C">
        <w:t>as-constructed plans including layout of:</w:t>
      </w:r>
    </w:p>
    <w:p w:rsidR="00000000" w:rsidRPr="00A3196C" w:rsidP="00A3196C">
      <w:pPr>
        <w:pStyle w:val="ListBullet2"/>
      </w:pPr>
      <w:r w:rsidRPr="00A3196C">
        <w:t>fire services pipework</w:t>
      </w:r>
    </w:p>
    <w:p w:rsidR="00000000" w:rsidRPr="00A3196C" w:rsidP="00A3196C">
      <w:pPr>
        <w:pStyle w:val="ListBullet2"/>
      </w:pPr>
      <w:r w:rsidRPr="00A3196C">
        <w:t>gas pipework</w:t>
      </w:r>
    </w:p>
    <w:p w:rsidR="00000000" w:rsidRPr="00A3196C" w:rsidP="00A3196C">
      <w:pPr>
        <w:pStyle w:val="ListBullet2"/>
      </w:pPr>
      <w:r w:rsidRPr="00A3196C">
        <w:t>mechanical services pipework</w:t>
      </w:r>
    </w:p>
    <w:p w:rsidR="00000000" w:rsidRPr="00A3196C" w:rsidP="00A3196C">
      <w:pPr>
        <w:pStyle w:val="ListBullet2"/>
      </w:pPr>
      <w:r w:rsidRPr="00A3196C">
        <w:t>sanitary plumbing and drainage pipework</w:t>
      </w:r>
    </w:p>
    <w:p w:rsidR="00000000" w:rsidRPr="00A3196C" w:rsidP="00A3196C">
      <w:pPr>
        <w:pStyle w:val="ListBullet2"/>
      </w:pPr>
      <w:r w:rsidRPr="00A3196C">
        <w:t>stormwater pipework</w:t>
      </w:r>
    </w:p>
    <w:p w:rsidR="00000000" w:rsidRPr="00A3196C" w:rsidP="00A3196C">
      <w:pPr>
        <w:pStyle w:val="ListBullet2"/>
      </w:pPr>
      <w:r w:rsidRPr="00A3196C">
        <w:t>trade waste drainage systems</w:t>
      </w:r>
    </w:p>
    <w:p w:rsidR="00000000" w:rsidRPr="00A3196C" w:rsidP="00A3196C">
      <w:pPr>
        <w:pStyle w:val="ListBullet2"/>
      </w:pPr>
      <w:r w:rsidRPr="00A3196C">
        <w:t>water supply pipework</w:t>
      </w:r>
    </w:p>
    <w:p w:rsidR="00000000" w:rsidRPr="00A3196C" w:rsidP="00A3196C">
      <w:pPr>
        <w:pStyle w:val="ListBullet"/>
      </w:pPr>
      <w:r w:rsidRPr="00A3196C">
        <w:t>effective dispute resolution techniq</w:t>
      </w:r>
      <w:r w:rsidRPr="00A3196C">
        <w:t>ues when non-compliance is identified:</w:t>
      </w:r>
    </w:p>
    <w:p w:rsidR="00000000" w:rsidRPr="00A3196C" w:rsidP="00A3196C">
      <w:pPr>
        <w:pStyle w:val="ListBullet2"/>
      </w:pPr>
      <w:r w:rsidRPr="00A3196C">
        <w:t>active listening techniques</w:t>
      </w:r>
    </w:p>
    <w:p w:rsidR="00000000" w:rsidRPr="00A3196C" w:rsidP="00A3196C">
      <w:pPr>
        <w:pStyle w:val="ListBullet2"/>
      </w:pPr>
      <w:r w:rsidRPr="00A3196C">
        <w:t>non-threatening body language</w:t>
      </w:r>
    </w:p>
    <w:p w:rsidR="00000000" w:rsidRPr="00A3196C" w:rsidP="00A3196C">
      <w:pPr>
        <w:pStyle w:val="ListBullet2"/>
      </w:pPr>
      <w:r w:rsidRPr="00A3196C">
        <w:t>power neutral relationships</w:t>
      </w:r>
    </w:p>
    <w:p w:rsidR="00000000" w:rsidRPr="00A3196C" w:rsidP="00A3196C">
      <w:pPr>
        <w:pStyle w:val="ListBullet2"/>
      </w:pPr>
      <w:r w:rsidRPr="00A3196C">
        <w:t>other recognised dispute avoidance and resolution techniques</w:t>
      </w:r>
    </w:p>
    <w:p w:rsidR="00000000" w:rsidRPr="00A3196C" w:rsidP="00A3196C">
      <w:pPr>
        <w:pStyle w:val="ListBullet"/>
      </w:pPr>
      <w:r w:rsidRPr="00A3196C">
        <w:t>testing procedures:</w:t>
      </w:r>
    </w:p>
    <w:p w:rsidR="00000000" w:rsidRPr="00A3196C" w:rsidP="00A3196C">
      <w:pPr>
        <w:pStyle w:val="ListBullet2"/>
      </w:pPr>
      <w:r w:rsidRPr="00A3196C">
        <w:t>air pressure tests</w:t>
      </w:r>
    </w:p>
    <w:p w:rsidR="00000000" w:rsidRPr="00A3196C" w:rsidP="00A3196C">
      <w:pPr>
        <w:pStyle w:val="ListBullet2"/>
      </w:pPr>
      <w:r w:rsidRPr="00A3196C">
        <w:t>compliance checklist</w:t>
      </w:r>
    </w:p>
    <w:p w:rsidR="00000000" w:rsidRPr="00A3196C" w:rsidP="00A3196C">
      <w:pPr>
        <w:pStyle w:val="ListBullet2"/>
      </w:pPr>
      <w:r w:rsidRPr="00A3196C">
        <w:t>gas leak detection</w:t>
      </w:r>
    </w:p>
    <w:p w:rsidR="00000000" w:rsidRPr="00A3196C" w:rsidP="00A3196C">
      <w:pPr>
        <w:pStyle w:val="ListBullet2"/>
      </w:pPr>
      <w:r w:rsidRPr="00A3196C">
        <w:t>hydrostatic tests</w:t>
      </w:r>
    </w:p>
    <w:p w:rsidR="00000000" w:rsidRPr="00A3196C" w:rsidP="00A3196C">
      <w:pPr>
        <w:pStyle w:val="ListBullet2"/>
      </w:pPr>
      <w:r w:rsidRPr="00A3196C">
        <w:t>mirror tests</w:t>
      </w:r>
    </w:p>
    <w:p w:rsidR="00000000" w:rsidRPr="00A3196C" w:rsidP="00A3196C">
      <w:pPr>
        <w:pStyle w:val="ListBullet2"/>
      </w:pPr>
      <w:r w:rsidRPr="00A3196C">
        <w:t>quality assurance (QA) audit</w:t>
      </w:r>
    </w:p>
    <w:p w:rsidR="00000000" w:rsidRPr="00A3196C" w:rsidP="00A3196C">
      <w:pPr>
        <w:pStyle w:val="ListBullet2"/>
      </w:pPr>
      <w:r w:rsidRPr="00A3196C">
        <w:t>sound testing</w:t>
      </w:r>
    </w:p>
    <w:p w:rsidR="00000000" w:rsidRPr="00A3196C" w:rsidP="00A3196C">
      <w:pPr>
        <w:pStyle w:val="ListBullet"/>
      </w:pPr>
      <w:r w:rsidRPr="00A3196C">
        <w:t>enforcement action implemented in the case of non-compliances:</w:t>
      </w:r>
    </w:p>
    <w:p w:rsidR="00000000" w:rsidRPr="00A3196C" w:rsidP="00A3196C">
      <w:pPr>
        <w:pStyle w:val="ListBullet2"/>
      </w:pPr>
      <w:r w:rsidRPr="00A3196C">
        <w:t>fines</w:t>
      </w:r>
    </w:p>
    <w:p w:rsidR="00000000" w:rsidRPr="00A3196C" w:rsidP="00A3196C">
      <w:pPr>
        <w:pStyle w:val="ListBullet2"/>
      </w:pPr>
      <w:r w:rsidRPr="00A3196C">
        <w:t>legal action</w:t>
      </w:r>
    </w:p>
    <w:p w:rsidR="00000000" w:rsidRPr="00A3196C" w:rsidP="00A3196C">
      <w:pPr>
        <w:pStyle w:val="ListBullet2"/>
      </w:pPr>
      <w:r w:rsidRPr="00A3196C">
        <w:t>notification to plumbing licensing body</w:t>
      </w:r>
    </w:p>
    <w:p w:rsidR="00000000" w:rsidRPr="00A3196C" w:rsidP="00A3196C">
      <w:pPr>
        <w:pStyle w:val="ListBullet2"/>
      </w:pPr>
      <w:r w:rsidRPr="00A3196C">
        <w:t>penalties</w:t>
      </w:r>
    </w:p>
    <w:p w:rsidR="00000000" w:rsidRPr="00A3196C" w:rsidP="00A3196C">
      <w:pPr>
        <w:pStyle w:val="ListBullet"/>
      </w:pPr>
      <w:r w:rsidRPr="00A3196C">
        <w:t>sustainability principles and concepts:</w:t>
      </w:r>
    </w:p>
    <w:p w:rsidR="00000000" w:rsidRPr="00A3196C" w:rsidP="00A3196C">
      <w:pPr>
        <w:pStyle w:val="ListBullet2"/>
      </w:pPr>
      <w:r w:rsidRPr="00A3196C">
        <w:t>selecting appropriate components and materials</w:t>
      </w:r>
    </w:p>
    <w:p w:rsidR="00000000" w:rsidRPr="00A3196C" w:rsidP="00A3196C">
      <w:pPr>
        <w:pStyle w:val="ListBullet2"/>
      </w:pPr>
      <w:r w:rsidRPr="00A3196C">
        <w:t>choosing efficient products</w:t>
      </w:r>
    </w:p>
    <w:p w:rsidR="00000000" w:rsidRPr="00A3196C" w:rsidP="00A3196C">
      <w:pPr>
        <w:pStyle w:val="ListBullet2"/>
      </w:pPr>
      <w:r w:rsidRPr="00A3196C">
        <w:t>using material efficiently</w:t>
      </w:r>
    </w:p>
    <w:p w:rsidR="00000000" w:rsidRPr="00A3196C" w:rsidP="00A3196C">
      <w:pPr>
        <w:pStyle w:val="ListBullet2"/>
      </w:pPr>
      <w:r w:rsidRPr="00A3196C">
        <w:t>storing and disposing of hazardous material to ensure minimal environmental impact.</w:t>
      </w:r>
    </w:p>
    <w:p w:rsidR="00000000" w:rsidRPr="00A3196C" w:rsidP="00A3196C">
      <w:pPr>
        <w:pStyle w:val="AllowPageBreak"/>
      </w:pPr>
    </w:p>
    <w:p w:rsidR="00000000" w:rsidRPr="00A3196C" w:rsidP="00A3196C">
      <w:pPr>
        <w:pStyle w:val="Heading1"/>
      </w:pPr>
      <w:bookmarkStart w:id="4" w:name="O_1135179"/>
      <w:bookmarkEnd w:id="4"/>
      <w:r w:rsidRPr="00A3196C">
        <w:t>Assessment</w:t>
      </w:r>
      <w:r w:rsidRPr="00A3196C">
        <w:t xml:space="preserve"> Conditions</w:t>
      </w:r>
    </w:p>
    <w:p w:rsidR="00000000" w:rsidRPr="00A3196C" w:rsidP="00CC6EC4">
      <w:pPr>
        <w:pStyle w:val="BodyText"/>
      </w:pPr>
      <w:r w:rsidRPr="00A3196C">
        <w:t>Assessors must meet the requirements for assessors contained in the Standards for Registered Training Organisations.</w:t>
      </w:r>
    </w:p>
    <w:p w:rsidR="00000000" w:rsidRPr="00A3196C" w:rsidP="00CC6EC4">
      <w:pPr>
        <w:pStyle w:val="BodyText"/>
      </w:pPr>
      <w:r w:rsidRPr="00A3196C">
        <w:t xml:space="preserve">This unit must be assessed in the workplace or a close simulation using realistic workplace conditions, materials, activities, </w:t>
      </w:r>
      <w:r w:rsidRPr="00A3196C">
        <w:t>responsibilities, procedures, safety requirements and environmental considerations.</w:t>
      </w:r>
    </w:p>
    <w:p w:rsidR="00000000" w:rsidRPr="00A3196C" w:rsidP="00A3196C">
      <w:pPr>
        <w:pStyle w:val="Heading1"/>
      </w:pPr>
      <w:bookmarkStart w:id="5" w:name="O_1135177"/>
      <w:bookmarkEnd w:id="5"/>
      <w:r w:rsidRPr="00A3196C">
        <w:t>Links</w:t>
      </w:r>
    </w:p>
    <w:p w:rsidR="00000000" w:rsidRPr="00A3196C" w:rsidP="00CC6EC4">
      <w:pPr>
        <w:pStyle w:val="BodyText"/>
      </w:pPr>
      <w:r w:rsidRPr="00A3196C">
        <w:t>Companion volumes to this train</w:t>
      </w:r>
      <w:r w:rsidRPr="00A3196C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58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3196C" w:rsidP="00A3196C"/>
    <w:sectPr w:rsidSect="00A319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C" w:rsidRPr="00CC6EC4" w:rsidP="00CC6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C4" w:rsidP="00A31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EC4" w:rsidP="00A31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C6EC4" w:rsidP="00A31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96C" w:rsidRPr="00CC6EC4" w:rsidP="00CC6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C4" w:rsidRPr="002D2AF8" w:rsidP="00A31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CPCPPS5015 Inspect plumbing and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C6EC4" w:rsidP="00A31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729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9C6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AF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96C"/>
  </w:style>
  <w:style w:type="character" w:customStyle="1" w:styleId="Heading1Char">
    <w:name w:val="Heading 1 Char"/>
    <w:basedOn w:val="DefaultParagraphFont"/>
    <w:link w:val="Heading1"/>
    <w:rsid w:val="00A31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9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19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19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1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96C"/>
    <w:rPr>
      <w:b/>
      <w:spacing w:val="0"/>
    </w:rPr>
  </w:style>
  <w:style w:type="paragraph" w:customStyle="1" w:styleId="SuperTitle">
    <w:name w:val="SuperTitle"/>
    <w:basedOn w:val="Title"/>
    <w:rsid w:val="00A31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96C"/>
    <w:rPr>
      <w:i/>
    </w:rPr>
  </w:style>
  <w:style w:type="paragraph" w:styleId="Caption">
    <w:name w:val="caption"/>
    <w:basedOn w:val="BodyText"/>
    <w:next w:val="Normal"/>
    <w:qFormat/>
    <w:rsid w:val="00A31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96C"/>
  </w:style>
  <w:style w:type="paragraph" w:styleId="TableofFigures">
    <w:name w:val="table of figures"/>
    <w:basedOn w:val="Normal"/>
    <w:next w:val="Normal"/>
    <w:semiHidden/>
    <w:rsid w:val="00A31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9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196C"/>
    <w:rPr>
      <w:rFonts w:ascii="Wingdings" w:hAnsi="Wingdings"/>
    </w:rPr>
  </w:style>
  <w:style w:type="paragraph" w:customStyle="1" w:styleId="TableHeading">
    <w:name w:val="Table Heading"/>
    <w:basedOn w:val="HeadingBase"/>
    <w:rsid w:val="00A31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96C"/>
    <w:rPr>
      <w:color w:val="0033CC"/>
      <w:u w:val="none"/>
    </w:rPr>
  </w:style>
  <w:style w:type="paragraph" w:customStyle="1" w:styleId="BodyTextRight">
    <w:name w:val="Body Text Right"/>
    <w:basedOn w:val="BodyText"/>
    <w:rsid w:val="00A31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9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96C"/>
    <w:rPr>
      <w:sz w:val="32"/>
    </w:rPr>
  </w:style>
  <w:style w:type="paragraph" w:customStyle="1" w:styleId="HeadingProcedure">
    <w:name w:val="Heading Procedure"/>
    <w:basedOn w:val="HeadingBase"/>
    <w:next w:val="Normal"/>
    <w:rsid w:val="00A31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96C"/>
    <w:pPr>
      <w:spacing w:before="60" w:after="60"/>
    </w:pPr>
  </w:style>
  <w:style w:type="paragraph" w:styleId="ListContinue">
    <w:name w:val="List Continue"/>
    <w:basedOn w:val="List"/>
    <w:rsid w:val="00A3196C"/>
    <w:pPr>
      <w:ind w:firstLine="0"/>
    </w:pPr>
  </w:style>
  <w:style w:type="paragraph" w:customStyle="1" w:styleId="ListNote">
    <w:name w:val="List Note"/>
    <w:basedOn w:val="List"/>
    <w:rsid w:val="00A31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96C"/>
    <w:rPr>
      <w:rFonts w:ascii="Courier New" w:hAnsi="Courier New"/>
    </w:rPr>
  </w:style>
  <w:style w:type="paragraph" w:customStyle="1" w:styleId="NoteBullet">
    <w:name w:val="Note Bullet"/>
    <w:basedOn w:val="Note"/>
    <w:rsid w:val="00A31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9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1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96C"/>
    <w:rPr>
      <w:b/>
      <w:smallCaps/>
    </w:rPr>
  </w:style>
  <w:style w:type="paragraph" w:customStyle="1" w:styleId="TableListNumber">
    <w:name w:val="Table List Number"/>
    <w:basedOn w:val="ListNumber"/>
    <w:rsid w:val="00A31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96C"/>
    <w:pPr>
      <w:numPr>
        <w:numId w:val="10"/>
      </w:numPr>
    </w:pPr>
  </w:style>
  <w:style w:type="paragraph" w:customStyle="1" w:styleId="ListAlpha2">
    <w:name w:val="List Alpha 2"/>
    <w:basedOn w:val="List2"/>
    <w:rsid w:val="00A3196C"/>
    <w:pPr>
      <w:numPr>
        <w:numId w:val="9"/>
      </w:numPr>
    </w:pPr>
  </w:style>
  <w:style w:type="paragraph" w:styleId="List2">
    <w:name w:val="List 2"/>
    <w:basedOn w:val="BodyText"/>
    <w:rsid w:val="00A31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9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19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196C"/>
    <w:pPr>
      <w:numPr>
        <w:numId w:val="5"/>
      </w:numPr>
    </w:pPr>
  </w:style>
  <w:style w:type="paragraph" w:styleId="ListContinue2">
    <w:name w:val="List Continue 2"/>
    <w:basedOn w:val="List2"/>
    <w:rsid w:val="00A3196C"/>
    <w:pPr>
      <w:ind w:firstLine="0"/>
    </w:pPr>
  </w:style>
  <w:style w:type="paragraph" w:styleId="ListContinue3">
    <w:name w:val="List Continue 3"/>
    <w:basedOn w:val="List3"/>
    <w:rsid w:val="00A3196C"/>
    <w:pPr>
      <w:ind w:left="1021" w:firstLine="0"/>
    </w:pPr>
  </w:style>
  <w:style w:type="paragraph" w:styleId="ListContinue4">
    <w:name w:val="List Continue 4"/>
    <w:basedOn w:val="List4"/>
    <w:rsid w:val="00A3196C"/>
    <w:pPr>
      <w:ind w:firstLine="0"/>
    </w:pPr>
  </w:style>
  <w:style w:type="paragraph" w:styleId="ListContinue5">
    <w:name w:val="List Continue 5"/>
    <w:basedOn w:val="List5"/>
    <w:rsid w:val="00A3196C"/>
    <w:pPr>
      <w:ind w:firstLine="0"/>
    </w:pPr>
  </w:style>
  <w:style w:type="paragraph" w:styleId="ListNumber3">
    <w:name w:val="List Number 3"/>
    <w:basedOn w:val="List3"/>
    <w:rsid w:val="00A3196C"/>
    <w:pPr>
      <w:numPr>
        <w:numId w:val="6"/>
      </w:numPr>
    </w:pPr>
  </w:style>
  <w:style w:type="paragraph" w:styleId="ListNumber4">
    <w:name w:val="List Number 4"/>
    <w:basedOn w:val="List4"/>
    <w:rsid w:val="00A3196C"/>
    <w:pPr>
      <w:numPr>
        <w:numId w:val="7"/>
      </w:numPr>
    </w:pPr>
  </w:style>
  <w:style w:type="paragraph" w:styleId="ListNumber5">
    <w:name w:val="List Number 5"/>
    <w:basedOn w:val="List5"/>
    <w:rsid w:val="00A3196C"/>
    <w:pPr>
      <w:numPr>
        <w:numId w:val="8"/>
      </w:numPr>
    </w:pPr>
  </w:style>
  <w:style w:type="paragraph" w:styleId="BlockText">
    <w:name w:val="Block Text"/>
    <w:basedOn w:val="Normal"/>
    <w:rsid w:val="00A31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96C"/>
    <w:rPr>
      <w:sz w:val="16"/>
      <w:vertAlign w:val="superscript"/>
    </w:rPr>
  </w:style>
  <w:style w:type="character" w:customStyle="1" w:styleId="Symbols">
    <w:name w:val="Symbols"/>
    <w:basedOn w:val="DefaultParagraphFont"/>
    <w:rsid w:val="00A3196C"/>
    <w:rPr>
      <w:rFonts w:ascii="Symbol" w:hAnsi="Symbol"/>
    </w:rPr>
  </w:style>
  <w:style w:type="character" w:customStyle="1" w:styleId="MenuOptions">
    <w:name w:val="Menu Options"/>
    <w:basedOn w:val="DefaultParagraphFont"/>
    <w:rsid w:val="00A31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96C"/>
    <w:rPr>
      <w:b/>
    </w:rPr>
  </w:style>
  <w:style w:type="character" w:customStyle="1" w:styleId="Underlined">
    <w:name w:val="Underlined"/>
    <w:basedOn w:val="DefaultParagraphFont"/>
    <w:rsid w:val="00A3196C"/>
    <w:rPr>
      <w:u w:val="single"/>
    </w:rPr>
  </w:style>
  <w:style w:type="paragraph" w:customStyle="1" w:styleId="TableBodyTextRight">
    <w:name w:val="Table Body Text Right"/>
    <w:basedOn w:val="TableBodyText"/>
    <w:rsid w:val="00A31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96C"/>
    <w:rPr>
      <w:sz w:val="18"/>
    </w:rPr>
  </w:style>
  <w:style w:type="paragraph" w:customStyle="1" w:styleId="BodySmallRight">
    <w:name w:val="Body Small Right"/>
    <w:basedOn w:val="BodyTextRight"/>
    <w:rsid w:val="00A3196C"/>
    <w:rPr>
      <w:sz w:val="18"/>
      <w:szCs w:val="18"/>
    </w:rPr>
  </w:style>
  <w:style w:type="paragraph" w:customStyle="1" w:styleId="MarginEdition">
    <w:name w:val="Margin Edition"/>
    <w:basedOn w:val="MarginNote"/>
    <w:rsid w:val="00A31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96C"/>
    <w:rPr>
      <w:sz w:val="2"/>
      <w:szCs w:val="2"/>
    </w:rPr>
  </w:style>
  <w:style w:type="character" w:customStyle="1" w:styleId="Small">
    <w:name w:val="Small"/>
    <w:basedOn w:val="DefaultParagraphFont"/>
    <w:rsid w:val="00A3196C"/>
    <w:rPr>
      <w:sz w:val="16"/>
    </w:rPr>
  </w:style>
  <w:style w:type="paragraph" w:customStyle="1" w:styleId="WideTable">
    <w:name w:val="Wide Table"/>
    <w:basedOn w:val="Normal"/>
    <w:rsid w:val="00A31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96C"/>
  </w:style>
  <w:style w:type="paragraph" w:styleId="Quote">
    <w:name w:val="Quote"/>
    <w:basedOn w:val="Heading1"/>
    <w:link w:val="QuoteChar"/>
    <w:qFormat/>
    <w:rsid w:val="00A31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96C"/>
    <w:pPr>
      <w:pageBreakBefore/>
    </w:pPr>
  </w:style>
  <w:style w:type="paragraph" w:customStyle="1" w:styleId="Border">
    <w:name w:val="Border"/>
    <w:basedOn w:val="Normal"/>
    <w:qFormat/>
    <w:rsid w:val="00A31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96C"/>
    <w:rPr>
      <w:u w:val="single"/>
    </w:rPr>
  </w:style>
  <w:style w:type="character" w:customStyle="1" w:styleId="BoldandItalics">
    <w:name w:val="Bold and Italics"/>
    <w:qFormat/>
    <w:rsid w:val="00A3196C"/>
    <w:rPr>
      <w:b/>
      <w:i/>
      <w:u w:val="none"/>
    </w:rPr>
  </w:style>
  <w:style w:type="paragraph" w:styleId="BalloonText">
    <w:name w:val="Balloon Text"/>
    <w:basedOn w:val="Normal"/>
    <w:link w:val="BalloonTextChar"/>
    <w:rsid w:val="00A31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96C"/>
    <w:pPr>
      <w:spacing w:before="0" w:after="0"/>
    </w:pPr>
  </w:style>
  <w:style w:type="paragraph" w:customStyle="1" w:styleId="BodyTextBold">
    <w:name w:val="Body Text Bold"/>
    <w:basedOn w:val="BodyText"/>
    <w:qFormat/>
    <w:rsid w:val="00A3196C"/>
    <w:rPr>
      <w:b/>
    </w:rPr>
  </w:style>
  <w:style w:type="character" w:styleId="Hyperlink">
    <w:name w:val="Hyperlink"/>
    <w:basedOn w:val="DefaultParagraphFont"/>
    <w:uiPriority w:val="99"/>
    <w:unhideWhenUsed/>
    <w:rsid w:val="00CC6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</Words>
  <Characters>2940</Characters>
  <Application>Microsoft Office Word</Application>
  <DocSecurity>0</DocSecurity>
  <Lines>105</Lines>
  <Paragraphs>92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CPCPPS5015 Inspect plumbing and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