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6ED" w:rsidP="00725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CPCPPS5000 Design gas bulk storage systems</w:t>
      </w:r>
      <w:r>
        <w:fldChar w:fldCharType="end"/>
      </w:r>
    </w:p>
    <w:p w:rsidR="007256ED" w:rsidP="007256ED">
      <w:pPr>
        <w:pStyle w:val="Version"/>
        <w:sectPr w:rsidSect="00BE6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6A10" w:rsidP="00BE6A10">
      <w:pPr>
        <w:pStyle w:val="SuperHeading"/>
      </w:pPr>
      <w:r w:rsidRPr="00BE6A10">
        <w:t>CPCPPS5000 Design gas bulk storage systems</w:t>
      </w:r>
    </w:p>
    <w:p w:rsidR="00000000" w:rsidRPr="00BE6A10" w:rsidP="00BE6A10">
      <w:pPr>
        <w:pStyle w:val="Heading1"/>
      </w:pPr>
      <w:bookmarkStart w:id="1" w:name="O_1160342"/>
      <w:bookmarkEnd w:id="1"/>
      <w:r w:rsidRPr="00BE6A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10" w:rsidP="00BE6A10">
            <w:pPr>
              <w:pStyle w:val="BodyText"/>
            </w:pPr>
            <w:r w:rsidRPr="00BE6A10">
              <w:t>This version first released with CPC Construction, Plumbing and Services Training Package Release 5.1.</w:t>
            </w:r>
          </w:p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Element and Performance Criteria 2.9 rewritten for clarity.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10" w:rsidP="00BE6A10">
            <w:pPr>
              <w:pStyle w:val="BodyText"/>
            </w:pPr>
            <w:r w:rsidRPr="00BE6A10">
              <w:t xml:space="preserve">This version first released with CPC Construction, </w:t>
            </w:r>
            <w:r w:rsidRPr="00BE6A10">
              <w:t>Plumbing and Services Training Package Release 5.0.</w:t>
            </w:r>
          </w:p>
          <w:p w:rsidR="00000000" w:rsidRPr="00BE6A10" w:rsidP="00BE6A10">
            <w:pPr>
              <w:pStyle w:val="BodyText"/>
            </w:pPr>
            <w:r w:rsidRPr="00BE6A10">
              <w:t>Supersedes and is equivalent to CPCPPS5000B Design gas bulk storage systems.  Updated to meet the Standards for Training Packages 2012.</w:t>
            </w:r>
          </w:p>
        </w:tc>
      </w:tr>
    </w:tbl>
    <w:p w:rsidR="00000000" w:rsidRPr="00BE6A10" w:rsidP="00BE6A10">
      <w:pPr>
        <w:pStyle w:val="BodyText"/>
      </w:pPr>
    </w:p>
    <w:p w:rsidR="00000000" w:rsidRPr="00BE6A10" w:rsidP="00BE6A10">
      <w:pPr>
        <w:pStyle w:val="AllowPageBreak"/>
      </w:pPr>
    </w:p>
    <w:p w:rsidR="00000000" w:rsidRPr="00BE6A10" w:rsidP="00BE6A10">
      <w:pPr>
        <w:pStyle w:val="Heading1"/>
      </w:pPr>
      <w:bookmarkStart w:id="2" w:name="O_1160341"/>
      <w:bookmarkEnd w:id="2"/>
      <w:r w:rsidRPr="00BE6A10">
        <w:t>Application</w:t>
      </w:r>
    </w:p>
    <w:p w:rsidR="00000000" w:rsidRPr="00BE6A10" w:rsidP="007256ED">
      <w:pPr>
        <w:pStyle w:val="BodyText"/>
      </w:pPr>
      <w:r w:rsidRPr="00BE6A10">
        <w:t xml:space="preserve">This unit specifies the skills and </w:t>
      </w:r>
      <w:r w:rsidRPr="00BE6A10">
        <w:t>knowledge required to design gas bulk storage systems for residential, commercial and industrial buildings.</w:t>
      </w:r>
    </w:p>
    <w:p w:rsidR="00000000" w:rsidRPr="00BE6A10" w:rsidP="007256ED">
      <w:pPr>
        <w:pStyle w:val="BodyText"/>
      </w:pPr>
      <w:r w:rsidRPr="00BE6A10">
        <w:t xml:space="preserve">The unit covers determining installation requirements, preparing plans and system specifications, producing testing and commissioning schedules and </w:t>
      </w:r>
      <w:r w:rsidRPr="00BE6A10">
        <w:t>creating maintenance and operation manuals.</w:t>
      </w:r>
    </w:p>
    <w:p w:rsidR="00000000" w:rsidRPr="00BE6A10" w:rsidP="007256ED">
      <w:pPr>
        <w:pStyle w:val="BodyText"/>
      </w:pPr>
      <w:r w:rsidRPr="00BE6A10">
        <w:t>The role may involve interaction with architects, builders, suppliers, clients and relevant planning authorities and requires a sound understanding of applicable legislation, standards and codes.</w:t>
      </w:r>
    </w:p>
    <w:p w:rsidR="00000000" w:rsidRPr="00BE6A10" w:rsidP="007256ED">
      <w:pPr>
        <w:pStyle w:val="BodyText"/>
      </w:pPr>
      <w:r w:rsidRPr="00BE6A10">
        <w:t>This unit applie</w:t>
      </w:r>
      <w:r w:rsidRPr="00BE6A10">
        <w:t>s to experienced people such as hydraulic design consultants, plumbers or persons in a supervisory capacity who work in plumbing services on a new or existing site.</w:t>
      </w:r>
    </w:p>
    <w:p w:rsidR="00000000" w:rsidRPr="00BE6A10" w:rsidP="007256ED">
      <w:pPr>
        <w:pStyle w:val="BodyText"/>
      </w:pPr>
      <w:r w:rsidRPr="00BE6A10">
        <w:t>In some jurisdictions, this unit of competency may form part of accreditation, licensing, l</w:t>
      </w:r>
      <w:r w:rsidRPr="00BE6A10">
        <w:t>egislative, regulatory or certification requirements.</w:t>
      </w:r>
    </w:p>
    <w:p w:rsidR="00000000" w:rsidRPr="00BE6A10" w:rsidP="00BE6A10">
      <w:pPr>
        <w:pStyle w:val="Heading1"/>
      </w:pPr>
      <w:bookmarkStart w:id="3" w:name="O_1160340"/>
      <w:bookmarkEnd w:id="3"/>
      <w:r w:rsidRPr="00BE6A10">
        <w:t>Pre-requisite Unit</w:t>
      </w:r>
    </w:p>
    <w:p w:rsidR="00000000" w:rsidRPr="00BE6A10" w:rsidP="007256ED">
      <w:pPr>
        <w:pStyle w:val="BodyText"/>
      </w:pPr>
      <w:r w:rsidRPr="00BE6A10">
        <w:t>Nil.</w:t>
      </w:r>
    </w:p>
    <w:p w:rsidR="00000000" w:rsidRPr="00BE6A10" w:rsidP="00BE6A10">
      <w:pPr>
        <w:pStyle w:val="Heading1"/>
      </w:pPr>
      <w:bookmarkStart w:id="4" w:name="O_1160339"/>
      <w:bookmarkEnd w:id="4"/>
      <w:r w:rsidRPr="00BE6A10">
        <w:t>Unit Sector</w:t>
      </w:r>
    </w:p>
    <w:p w:rsidR="00000000" w:rsidRPr="00BE6A10" w:rsidP="007256ED">
      <w:pPr>
        <w:pStyle w:val="BodyText"/>
      </w:pPr>
      <w:r w:rsidRPr="00BE6A10">
        <w:t>Plumbing and Fire Services</w:t>
      </w:r>
    </w:p>
    <w:p w:rsidR="00000000" w:rsidRPr="00BE6A10" w:rsidP="00BE6A10">
      <w:pPr>
        <w:pStyle w:val="Heading1"/>
      </w:pPr>
      <w:bookmarkStart w:id="5" w:name="O_1160338"/>
      <w:bookmarkEnd w:id="5"/>
      <w:r w:rsidRPr="00BE6A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Elements describe the </w:t>
            </w:r>
            <w:r w:rsidRPr="00BE6A10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Performance criteria describe what needs to be done to </w:t>
            </w:r>
            <w:r w:rsidRPr="00BE6A10">
              <w:t>demonstrate achievement of the element.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Establish scope of work for gas bulk storage systems.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Establish system performance requirements.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Determine design requirements from plans, specifications and client brief.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Review and analyse statutory and regulatory requirements and Australian and New Zealand Standards for the design of gas bulk storage systems.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Conduct research, including a desktop study to identify a range of system options.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Interpret manufacturer requirements and trade and technical manuals for installing gas bulk storage systems.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Conduct a cost-benefit analysis to compare a rang</w:t>
            </w:r>
            <w:r w:rsidRPr="00BE6A10">
              <w:t>e materials and system designs.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Determine layout of a liquefied petroleum gas (LPG) bulk storage installation according to regulatory authorities.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Prepare site plans for bulk installations, including layout of pipework systems.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Specify fire protection systems according to Australian and New Zealand standards and provide detail of deluge systems.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Plan and detail control valves and fittings.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Analyse and locate content gauges according to code requirements and specify meters and regulators.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Evaluate and specify vaporisers and calculate vaporisation rates.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Perform system calculations for a range of applications according to regulations and manufacturer requirements.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Determine pipe fixings for a range of applications.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Specify approved materials, jointing methods and installation requirements f</w:t>
            </w:r>
            <w:r w:rsidRPr="00BE6A10">
              <w:t>or gas bulk storage systems.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Design complex gas bulk storage systems using plans and details of system components and established design parameters.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Design a range of suitable system approaches.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Design and size systems using computer software packages.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Prepare system plans.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 xml:space="preserve">Prepare system specifications. 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Prepare system testing and commissioning schedule.</w:t>
            </w:r>
          </w:p>
        </w:tc>
      </w:tr>
      <w:tr w:rsidTr="00BE6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0">
            <w:pPr>
              <w:pStyle w:val="BodyText"/>
              <w:rPr>
                <w:lang w:val="en-NZ"/>
              </w:rPr>
            </w:pPr>
            <w:r w:rsidRPr="00BE6A1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10" w:rsidP="00BE6A10">
            <w:pPr>
              <w:pStyle w:val="BodyText"/>
            </w:pPr>
            <w:r w:rsidRPr="00BE6A10">
              <w:t>Produce operation and maintenance manual.</w:t>
            </w:r>
          </w:p>
        </w:tc>
      </w:tr>
    </w:tbl>
    <w:p w:rsidR="00000000" w:rsidRPr="00BE6A10" w:rsidP="00BE6A10">
      <w:pPr>
        <w:pStyle w:val="BodyText"/>
      </w:pPr>
    </w:p>
    <w:p w:rsidR="00000000" w:rsidRPr="00BE6A10" w:rsidP="00BE6A10">
      <w:pPr>
        <w:pStyle w:val="AllowPageBreak"/>
      </w:pPr>
    </w:p>
    <w:p w:rsidR="00000000" w:rsidRPr="00BE6A10" w:rsidP="00BE6A10">
      <w:pPr>
        <w:pStyle w:val="Heading1"/>
      </w:pPr>
      <w:bookmarkStart w:id="6" w:name="O_1160337"/>
      <w:bookmarkEnd w:id="6"/>
      <w:r w:rsidRPr="00BE6A10">
        <w:t>Foundation Skills</w:t>
      </w:r>
    </w:p>
    <w:p w:rsidR="00000000" w:rsidRPr="00BE6A10" w:rsidP="007256ED">
      <w:pPr>
        <w:pStyle w:val="BodyText"/>
      </w:pPr>
      <w:r w:rsidRPr="00BE6A10">
        <w:t xml:space="preserve">Foundation skills essential to performance are explicit in the performance criteria of this unit of competency. </w:t>
      </w:r>
    </w:p>
    <w:p w:rsidR="00000000" w:rsidRPr="00BE6A10" w:rsidP="00BE6A10">
      <w:pPr>
        <w:pStyle w:val="Heading1"/>
      </w:pPr>
      <w:bookmarkStart w:id="7" w:name="O_1160336"/>
      <w:bookmarkEnd w:id="7"/>
      <w:r w:rsidRPr="00BE6A10">
        <w:t>Unit Mapping Information</w:t>
      </w:r>
    </w:p>
    <w:p w:rsidR="00000000" w:rsidRPr="00BE6A10" w:rsidP="007256ED">
      <w:pPr>
        <w:pStyle w:val="BodyText"/>
      </w:pPr>
      <w:r w:rsidRPr="00BE6A10">
        <w:t>Supersedes and is equivalent to CPCPPS5000B Design gas bulk storage systems.</w:t>
      </w:r>
    </w:p>
    <w:p w:rsidR="00000000" w:rsidRPr="00BE6A10" w:rsidP="00BE6A10">
      <w:pPr>
        <w:pStyle w:val="Heading1"/>
      </w:pPr>
      <w:bookmarkStart w:id="8" w:name="O_1160343"/>
      <w:bookmarkEnd w:id="8"/>
      <w:r w:rsidRPr="00BE6A10">
        <w:t>Links</w:t>
      </w:r>
    </w:p>
    <w:p w:rsidR="00000000" w:rsidRPr="00BE6A10" w:rsidP="007256ED">
      <w:pPr>
        <w:pStyle w:val="BodyText"/>
      </w:pPr>
      <w:r w:rsidRPr="00BE6A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B06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E6A10" w:rsidP="00BE6A10"/>
    <w:sectPr w:rsidSect="00BE6A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0" w:rsidRPr="007256ED" w:rsidP="00725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ED" w:rsidP="00BE6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6ED" w:rsidP="00BE6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256ED" w:rsidP="00BE6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A10" w:rsidRPr="007256ED" w:rsidP="007256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ED" w:rsidRPr="002D2AF8" w:rsidP="00BE6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CPCPPS5000 Design gas bulk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256ED" w:rsidP="00BE6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A10"/>
  </w:style>
  <w:style w:type="character" w:customStyle="1" w:styleId="Heading1Char">
    <w:name w:val="Heading 1 Char"/>
    <w:basedOn w:val="DefaultParagraphFont"/>
    <w:link w:val="Heading1"/>
    <w:rsid w:val="00BE6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A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E6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A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6A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6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6A10"/>
    <w:rPr>
      <w:b/>
      <w:spacing w:val="0"/>
    </w:rPr>
  </w:style>
  <w:style w:type="paragraph" w:customStyle="1" w:styleId="SuperTitle">
    <w:name w:val="SuperTitle"/>
    <w:basedOn w:val="Title"/>
    <w:rsid w:val="00BE6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A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A10"/>
    <w:rPr>
      <w:i/>
    </w:rPr>
  </w:style>
  <w:style w:type="paragraph" w:styleId="Caption">
    <w:name w:val="caption"/>
    <w:basedOn w:val="BodyText"/>
    <w:next w:val="Normal"/>
    <w:qFormat/>
    <w:rsid w:val="00BE6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A10"/>
  </w:style>
  <w:style w:type="paragraph" w:styleId="TableofFigures">
    <w:name w:val="table of figures"/>
    <w:basedOn w:val="Normal"/>
    <w:next w:val="Normal"/>
    <w:semiHidden/>
    <w:rsid w:val="00BE6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A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6A10"/>
    <w:rPr>
      <w:rFonts w:ascii="Wingdings" w:hAnsi="Wingdings"/>
    </w:rPr>
  </w:style>
  <w:style w:type="paragraph" w:customStyle="1" w:styleId="TableHeading">
    <w:name w:val="Table Heading"/>
    <w:basedOn w:val="HeadingBase"/>
    <w:rsid w:val="00BE6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A10"/>
    <w:rPr>
      <w:color w:val="0033CC"/>
      <w:u w:val="none"/>
    </w:rPr>
  </w:style>
  <w:style w:type="paragraph" w:customStyle="1" w:styleId="BodyTextRight">
    <w:name w:val="Body Text Right"/>
    <w:basedOn w:val="BodyText"/>
    <w:rsid w:val="00BE6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A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A10"/>
    <w:rPr>
      <w:sz w:val="32"/>
    </w:rPr>
  </w:style>
  <w:style w:type="paragraph" w:customStyle="1" w:styleId="HeadingProcedure">
    <w:name w:val="Heading Procedure"/>
    <w:basedOn w:val="HeadingBase"/>
    <w:next w:val="Normal"/>
    <w:rsid w:val="00BE6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A10"/>
    <w:pPr>
      <w:spacing w:before="60" w:after="60"/>
    </w:pPr>
  </w:style>
  <w:style w:type="paragraph" w:styleId="ListContinue">
    <w:name w:val="List Continue"/>
    <w:basedOn w:val="List"/>
    <w:rsid w:val="00BE6A10"/>
    <w:pPr>
      <w:ind w:firstLine="0"/>
    </w:pPr>
  </w:style>
  <w:style w:type="paragraph" w:customStyle="1" w:styleId="ListNote">
    <w:name w:val="List Note"/>
    <w:basedOn w:val="List"/>
    <w:rsid w:val="00BE6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A10"/>
    <w:rPr>
      <w:rFonts w:ascii="Courier New" w:hAnsi="Courier New"/>
    </w:rPr>
  </w:style>
  <w:style w:type="paragraph" w:customStyle="1" w:styleId="NoteBullet">
    <w:name w:val="Note Bullet"/>
    <w:basedOn w:val="Note"/>
    <w:rsid w:val="00BE6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A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6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A10"/>
    <w:rPr>
      <w:b/>
      <w:smallCaps/>
    </w:rPr>
  </w:style>
  <w:style w:type="paragraph" w:customStyle="1" w:styleId="TableListNumber">
    <w:name w:val="Table List Number"/>
    <w:basedOn w:val="ListNumber"/>
    <w:rsid w:val="00BE6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A10"/>
    <w:pPr>
      <w:numPr>
        <w:numId w:val="7"/>
      </w:numPr>
    </w:pPr>
  </w:style>
  <w:style w:type="paragraph" w:customStyle="1" w:styleId="ListAlpha2">
    <w:name w:val="List Alpha 2"/>
    <w:basedOn w:val="List2"/>
    <w:rsid w:val="00BE6A10"/>
    <w:pPr>
      <w:numPr>
        <w:numId w:val="6"/>
      </w:numPr>
    </w:pPr>
  </w:style>
  <w:style w:type="paragraph" w:styleId="List2">
    <w:name w:val="List 2"/>
    <w:basedOn w:val="BodyText"/>
    <w:rsid w:val="00BE6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A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A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6A10"/>
    <w:pPr>
      <w:numPr>
        <w:numId w:val="2"/>
      </w:numPr>
    </w:pPr>
  </w:style>
  <w:style w:type="paragraph" w:styleId="ListContinue2">
    <w:name w:val="List Continue 2"/>
    <w:basedOn w:val="List2"/>
    <w:rsid w:val="00BE6A10"/>
    <w:pPr>
      <w:ind w:firstLine="0"/>
    </w:pPr>
  </w:style>
  <w:style w:type="paragraph" w:styleId="ListContinue3">
    <w:name w:val="List Continue 3"/>
    <w:basedOn w:val="List3"/>
    <w:rsid w:val="00BE6A10"/>
    <w:pPr>
      <w:ind w:left="1021" w:firstLine="0"/>
    </w:pPr>
  </w:style>
  <w:style w:type="paragraph" w:styleId="ListContinue4">
    <w:name w:val="List Continue 4"/>
    <w:basedOn w:val="List4"/>
    <w:rsid w:val="00BE6A10"/>
    <w:pPr>
      <w:ind w:firstLine="0"/>
    </w:pPr>
  </w:style>
  <w:style w:type="paragraph" w:styleId="ListContinue5">
    <w:name w:val="List Continue 5"/>
    <w:basedOn w:val="List5"/>
    <w:rsid w:val="00BE6A10"/>
    <w:pPr>
      <w:ind w:firstLine="0"/>
    </w:pPr>
  </w:style>
  <w:style w:type="paragraph" w:styleId="ListNumber3">
    <w:name w:val="List Number 3"/>
    <w:basedOn w:val="List3"/>
    <w:rsid w:val="00BE6A10"/>
    <w:pPr>
      <w:numPr>
        <w:numId w:val="3"/>
      </w:numPr>
    </w:pPr>
  </w:style>
  <w:style w:type="paragraph" w:styleId="ListNumber4">
    <w:name w:val="List Number 4"/>
    <w:basedOn w:val="List4"/>
    <w:rsid w:val="00BE6A10"/>
    <w:pPr>
      <w:numPr>
        <w:numId w:val="4"/>
      </w:numPr>
    </w:pPr>
  </w:style>
  <w:style w:type="paragraph" w:styleId="ListNumber5">
    <w:name w:val="List Number 5"/>
    <w:basedOn w:val="List5"/>
    <w:rsid w:val="00BE6A10"/>
    <w:pPr>
      <w:numPr>
        <w:numId w:val="5"/>
      </w:numPr>
    </w:pPr>
  </w:style>
  <w:style w:type="paragraph" w:styleId="BlockText">
    <w:name w:val="Block Text"/>
    <w:basedOn w:val="Normal"/>
    <w:rsid w:val="00BE6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A10"/>
    <w:rPr>
      <w:sz w:val="16"/>
      <w:vertAlign w:val="superscript"/>
    </w:rPr>
  </w:style>
  <w:style w:type="character" w:customStyle="1" w:styleId="Symbols">
    <w:name w:val="Symbols"/>
    <w:basedOn w:val="DefaultParagraphFont"/>
    <w:rsid w:val="00BE6A10"/>
    <w:rPr>
      <w:rFonts w:ascii="Symbol" w:hAnsi="Symbol"/>
    </w:rPr>
  </w:style>
  <w:style w:type="character" w:customStyle="1" w:styleId="MenuOptions">
    <w:name w:val="Menu Options"/>
    <w:basedOn w:val="DefaultParagraphFont"/>
    <w:rsid w:val="00BE6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A10"/>
    <w:rPr>
      <w:b/>
    </w:rPr>
  </w:style>
  <w:style w:type="character" w:customStyle="1" w:styleId="Underlined">
    <w:name w:val="Underlined"/>
    <w:basedOn w:val="DefaultParagraphFont"/>
    <w:rsid w:val="00BE6A10"/>
    <w:rPr>
      <w:u w:val="single"/>
    </w:rPr>
  </w:style>
  <w:style w:type="paragraph" w:customStyle="1" w:styleId="TableBodyTextRight">
    <w:name w:val="Table Body Text Right"/>
    <w:basedOn w:val="TableBodyText"/>
    <w:rsid w:val="00BE6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A10"/>
    <w:rPr>
      <w:sz w:val="18"/>
    </w:rPr>
  </w:style>
  <w:style w:type="paragraph" w:customStyle="1" w:styleId="BodySmallRight">
    <w:name w:val="Body Small Right"/>
    <w:basedOn w:val="BodyTextRight"/>
    <w:rsid w:val="00BE6A10"/>
    <w:rPr>
      <w:sz w:val="18"/>
      <w:szCs w:val="18"/>
    </w:rPr>
  </w:style>
  <w:style w:type="paragraph" w:customStyle="1" w:styleId="MarginEdition">
    <w:name w:val="Margin Edition"/>
    <w:basedOn w:val="MarginNote"/>
    <w:rsid w:val="00BE6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A10"/>
    <w:rPr>
      <w:sz w:val="2"/>
      <w:szCs w:val="2"/>
    </w:rPr>
  </w:style>
  <w:style w:type="character" w:customStyle="1" w:styleId="Small">
    <w:name w:val="Small"/>
    <w:basedOn w:val="DefaultParagraphFont"/>
    <w:rsid w:val="00BE6A10"/>
    <w:rPr>
      <w:sz w:val="16"/>
    </w:rPr>
  </w:style>
  <w:style w:type="paragraph" w:customStyle="1" w:styleId="WideTable">
    <w:name w:val="Wide Table"/>
    <w:basedOn w:val="Normal"/>
    <w:rsid w:val="00BE6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A10"/>
  </w:style>
  <w:style w:type="paragraph" w:styleId="Quote">
    <w:name w:val="Quote"/>
    <w:basedOn w:val="Heading1"/>
    <w:link w:val="QuoteChar"/>
    <w:qFormat/>
    <w:rsid w:val="00BE6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A10"/>
    <w:pPr>
      <w:pageBreakBefore/>
    </w:pPr>
  </w:style>
  <w:style w:type="paragraph" w:customStyle="1" w:styleId="Border">
    <w:name w:val="Border"/>
    <w:basedOn w:val="Normal"/>
    <w:qFormat/>
    <w:rsid w:val="00BE6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A10"/>
    <w:rPr>
      <w:u w:val="single"/>
    </w:rPr>
  </w:style>
  <w:style w:type="character" w:customStyle="1" w:styleId="BoldandItalics">
    <w:name w:val="Bold and Italics"/>
    <w:qFormat/>
    <w:rsid w:val="00BE6A10"/>
    <w:rPr>
      <w:b/>
      <w:i/>
      <w:u w:val="none"/>
    </w:rPr>
  </w:style>
  <w:style w:type="paragraph" w:styleId="BalloonText">
    <w:name w:val="Balloon Text"/>
    <w:basedOn w:val="Normal"/>
    <w:link w:val="BalloonTextChar"/>
    <w:rsid w:val="00BE6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A10"/>
    <w:pPr>
      <w:spacing w:before="0" w:after="0"/>
    </w:pPr>
  </w:style>
  <w:style w:type="paragraph" w:customStyle="1" w:styleId="BodyTextBold">
    <w:name w:val="Body Text Bold"/>
    <w:basedOn w:val="BodyText"/>
    <w:qFormat/>
    <w:rsid w:val="00BE6A10"/>
    <w:rPr>
      <w:b/>
    </w:rPr>
  </w:style>
  <w:style w:type="character" w:styleId="Hyperlink">
    <w:name w:val="Hyperlink"/>
    <w:basedOn w:val="DefaultParagraphFont"/>
    <w:uiPriority w:val="99"/>
    <w:unhideWhenUsed/>
    <w:rsid w:val="00725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3683</Characters>
  <Application>Microsoft Office Word</Application>
  <DocSecurity>0</DocSecurity>
  <Lines>184</Lines>
  <Paragraphs>101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CPCPPS5000 Design gas bulk storage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