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752" w:rsidP="002C07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CPCPGS3053 Disconnect and reconnect Type A gas appliances</w:t>
      </w:r>
      <w:r>
        <w:fldChar w:fldCharType="end"/>
      </w:r>
    </w:p>
    <w:p w:rsidR="002C0752" w:rsidP="002C0752">
      <w:pPr>
        <w:pStyle w:val="Version"/>
        <w:sectPr w:rsidSect="00C72A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72A86" w:rsidP="00C72A86">
      <w:pPr>
        <w:pStyle w:val="SuperHeading"/>
      </w:pPr>
      <w:r w:rsidRPr="00C72A86">
        <w:t>CPCPGS3053 Disconnect and reconnect Type A gas appliances</w:t>
      </w:r>
    </w:p>
    <w:p w:rsidR="00000000" w:rsidRPr="00C72A86" w:rsidP="00C72A86">
      <w:pPr>
        <w:pStyle w:val="Heading1"/>
      </w:pPr>
      <w:bookmarkStart w:id="1" w:name="O_1204941"/>
      <w:bookmarkEnd w:id="1"/>
      <w:r w:rsidRPr="00C72A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A86" w:rsidP="00C72A86">
            <w:pPr>
              <w:pStyle w:val="BodyText"/>
            </w:pPr>
            <w:r w:rsidRPr="00C72A86">
              <w:t>This version first released with CPC Construction, Plumbing and Services Training Package Release 6.5.</w:t>
            </w:r>
          </w:p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Amended Knowledge Evidence.</w:t>
            </w:r>
          </w:p>
        </w:tc>
      </w:tr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A86" w:rsidP="00C72A86">
            <w:pPr>
              <w:pStyle w:val="BodyText"/>
            </w:pPr>
            <w:r w:rsidRPr="00C72A86">
              <w:t>This version first released with CPC Construction, Plumbing and S</w:t>
            </w:r>
            <w:r w:rsidRPr="00C72A86">
              <w:t>ervices Training Package Release 6.2.</w:t>
            </w:r>
          </w:p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 xml:space="preserve">Removed reference to ‘power supply’ in Knowledge Evidence, duplicates ‘electrical supply including direct wired appliances’ already noted in Knowledge Evidence. </w:t>
            </w:r>
          </w:p>
        </w:tc>
      </w:tr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A86" w:rsidP="00C72A86">
            <w:pPr>
              <w:pStyle w:val="BodyText"/>
            </w:pPr>
            <w:r w:rsidRPr="00C72A86">
              <w:t>This version first released with CPC Construc</w:t>
            </w:r>
            <w:r w:rsidRPr="00C72A86">
              <w:t>tion, Plumbing and Services Training Package Release 5.0.</w:t>
            </w:r>
          </w:p>
          <w:p w:rsidR="00000000" w:rsidRPr="00C72A86" w:rsidP="00C72A86">
            <w:pPr>
              <w:pStyle w:val="BodyText"/>
            </w:pPr>
            <w:r w:rsidRPr="00C72A86">
              <w:t>Supersedes and is equivalent to CPCPGS3053A Disconnect and reconnect Type A gas appliances.  Updated to meet the Standards for Training Packages 2012.</w:t>
            </w:r>
          </w:p>
        </w:tc>
      </w:tr>
    </w:tbl>
    <w:p w:rsidR="00000000" w:rsidRPr="00C72A86" w:rsidP="00C72A86">
      <w:pPr>
        <w:pStyle w:val="BodyText"/>
      </w:pPr>
    </w:p>
    <w:p w:rsidR="00000000" w:rsidRPr="00C72A86" w:rsidP="00C72A86">
      <w:pPr>
        <w:pStyle w:val="AllowPageBreak"/>
      </w:pPr>
    </w:p>
    <w:p w:rsidR="00000000" w:rsidRPr="00C72A86" w:rsidP="00C72A86">
      <w:pPr>
        <w:pStyle w:val="Heading1"/>
      </w:pPr>
      <w:bookmarkStart w:id="2" w:name="O_1204940"/>
      <w:bookmarkEnd w:id="2"/>
      <w:r w:rsidRPr="00C72A86">
        <w:t>Application</w:t>
      </w:r>
    </w:p>
    <w:p w:rsidR="00000000" w:rsidRPr="00C72A86" w:rsidP="002C0752">
      <w:pPr>
        <w:pStyle w:val="BodyText"/>
      </w:pPr>
      <w:r w:rsidRPr="00C72A86">
        <w:t>This unit spec</w:t>
      </w:r>
      <w:r w:rsidRPr="00C72A86">
        <w:t>ifies the skills and knowledge required to disconnect and reconnect Type A gas appliances operating on natural gas (NG) or liquefied petroleum gas (LPG). The work is confined to disconnecting and reconnecting the appliance.</w:t>
      </w:r>
    </w:p>
    <w:p w:rsidR="00000000" w:rsidRPr="00C72A86" w:rsidP="002C0752">
      <w:pPr>
        <w:pStyle w:val="BodyText"/>
      </w:pPr>
      <w:r w:rsidRPr="00C72A86">
        <w:t>In some jurisdictions, this unit</w:t>
      </w:r>
      <w:r w:rsidRPr="00C72A86">
        <w:t xml:space="preserve"> of competency may form part of accreditation, licensing, legislative, regulatory or certification requirements.</w:t>
      </w:r>
    </w:p>
    <w:p w:rsidR="00000000" w:rsidRPr="00C72A86" w:rsidP="00C72A86">
      <w:pPr>
        <w:pStyle w:val="Heading1"/>
      </w:pPr>
      <w:bookmarkStart w:id="3" w:name="O_1204939"/>
      <w:bookmarkEnd w:id="3"/>
      <w:r w:rsidRPr="00C72A86">
        <w:t>Pre-requisite Unit</w:t>
      </w:r>
    </w:p>
    <w:p w:rsidR="00000000" w:rsidRPr="00C72A86" w:rsidP="002C0752">
      <w:pPr>
        <w:pStyle w:val="BodyText"/>
      </w:pPr>
      <w:r w:rsidRPr="00C72A86">
        <w:t>CPCPCM2043 Carry out WHS requirements</w:t>
      </w:r>
    </w:p>
    <w:p w:rsidR="00000000" w:rsidRPr="00C72A86" w:rsidP="00C72A86">
      <w:pPr>
        <w:pStyle w:val="Heading1"/>
      </w:pPr>
      <w:bookmarkStart w:id="4" w:name="O_1204938"/>
      <w:bookmarkEnd w:id="4"/>
      <w:r w:rsidRPr="00C72A86">
        <w:t>Unit Sector</w:t>
      </w:r>
    </w:p>
    <w:p w:rsidR="00000000" w:rsidRPr="00C72A86" w:rsidP="002C0752">
      <w:pPr>
        <w:pStyle w:val="BodyText"/>
      </w:pPr>
      <w:r w:rsidRPr="00C72A86">
        <w:t>Plumbing</w:t>
      </w:r>
    </w:p>
    <w:p w:rsidR="00000000" w:rsidRPr="00C72A86" w:rsidP="00C72A86">
      <w:pPr>
        <w:pStyle w:val="Heading1"/>
      </w:pPr>
      <w:bookmarkStart w:id="5" w:name="O_1204937"/>
      <w:bookmarkEnd w:id="5"/>
      <w:r w:rsidRPr="00C72A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Performance criteria describe what needs to be done to demonstrate achievement of the element.</w:t>
            </w:r>
          </w:p>
        </w:tc>
      </w:tr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Identify disconnect and reconnect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Access, read and determine d</w:t>
            </w:r>
            <w:r w:rsidRPr="00C72A86">
              <w:t>isconnect and reconnect requirements from relevant Job plans and specifications, codes, Australian standards, manufacturer’s specifications and jurisdictional requirements.</w:t>
            </w:r>
          </w:p>
        </w:tc>
      </w:tr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Identify and apply workplace policies and procedures, work health and safety (WHS) and environmental requirements.</w:t>
            </w:r>
          </w:p>
        </w:tc>
      </w:tr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</w:p>
        </w:tc>
      </w:tr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Prepare for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Select appropriate tools and equipment, including personal protective equipment (PPE).</w:t>
            </w:r>
          </w:p>
        </w:tc>
      </w:tr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Locate isolation point(s).</w:t>
            </w:r>
          </w:p>
        </w:tc>
      </w:tr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</w:p>
        </w:tc>
      </w:tr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Disconnect and reconnect appliance.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Isolate services.</w:t>
            </w:r>
          </w:p>
        </w:tc>
      </w:tr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Carry out an electrical safety check and apply electrical safety procedures.</w:t>
            </w:r>
          </w:p>
        </w:tc>
      </w:tr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Disconnect and remove appliance.</w:t>
            </w:r>
          </w:p>
        </w:tc>
      </w:tr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Reconnect appliance to existing services.</w:t>
            </w:r>
          </w:p>
        </w:tc>
      </w:tr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Check for leaks and commission appliance.</w:t>
            </w:r>
          </w:p>
        </w:tc>
      </w:tr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Complete documentation according to regulatory requirements and/or workplace procedures.</w:t>
            </w:r>
          </w:p>
        </w:tc>
      </w:tr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</w:p>
        </w:tc>
      </w:tr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Clear the work area, and dispose of, reuse or recycle materials in accordance with state and territory legislation and workplace policies and procedures.</w:t>
            </w:r>
          </w:p>
        </w:tc>
      </w:tr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A86" w:rsidP="00C72A86">
            <w:pPr>
              <w:pStyle w:val="BodyText"/>
            </w:pPr>
            <w:r w:rsidRPr="00C72A86">
              <w:t>Clean tools and equipment, check for serviceability and report any damage, and store and secure</w:t>
            </w:r>
            <w:r w:rsidRPr="00C72A86">
              <w:t>.</w:t>
            </w:r>
          </w:p>
        </w:tc>
      </w:tr>
    </w:tbl>
    <w:p w:rsidR="00000000" w:rsidRPr="00C72A86" w:rsidP="00C72A86">
      <w:pPr>
        <w:pStyle w:val="BodyText"/>
      </w:pPr>
    </w:p>
    <w:p w:rsidR="00000000" w:rsidRPr="00C72A86" w:rsidP="00C72A86">
      <w:pPr>
        <w:pStyle w:val="AllowPageBreak"/>
      </w:pPr>
    </w:p>
    <w:p w:rsidR="00000000" w:rsidRPr="00C72A86" w:rsidP="00C72A86">
      <w:pPr>
        <w:pStyle w:val="Heading1"/>
      </w:pPr>
      <w:bookmarkStart w:id="6" w:name="O_1204936"/>
      <w:bookmarkEnd w:id="6"/>
      <w:r w:rsidRPr="00C72A86">
        <w:t>Foundation Skills</w:t>
      </w:r>
    </w:p>
    <w:p w:rsidR="00000000" w:rsidRPr="00C72A86" w:rsidP="002C0752">
      <w:pPr>
        <w:pStyle w:val="BodyText"/>
      </w:pPr>
      <w:r w:rsidRPr="00C72A86">
        <w:t xml:space="preserve">Foundation skills essential to performance are explicit in the performance criteria of this unit of competency. </w:t>
      </w:r>
    </w:p>
    <w:p w:rsidR="00000000" w:rsidRPr="00C72A86" w:rsidP="00C72A86">
      <w:pPr>
        <w:pStyle w:val="Heading1"/>
      </w:pPr>
      <w:bookmarkStart w:id="7" w:name="O_1204935"/>
      <w:bookmarkEnd w:id="7"/>
      <w:r w:rsidRPr="00C72A86">
        <w:t>Unit Mapping Information</w:t>
      </w:r>
    </w:p>
    <w:p w:rsidR="00000000" w:rsidRPr="00C72A86" w:rsidP="002C0752">
      <w:pPr>
        <w:pStyle w:val="BodyText"/>
      </w:pPr>
      <w:r w:rsidRPr="00C72A86">
        <w:t>Supersedes and is equivalent to CPCPGS3053A Disconnect and reconnect Type A gas appliances.</w:t>
      </w:r>
    </w:p>
    <w:p w:rsidR="00000000" w:rsidRPr="00C72A86" w:rsidP="00C72A86">
      <w:pPr>
        <w:pStyle w:val="Heading1"/>
      </w:pPr>
      <w:bookmarkStart w:id="8" w:name="O_1204942"/>
      <w:bookmarkEnd w:id="8"/>
      <w:r w:rsidRPr="00C72A86">
        <w:t>Links</w:t>
      </w:r>
    </w:p>
    <w:p w:rsidR="00000000" w:rsidRPr="00C72A86" w:rsidP="002C0752">
      <w:pPr>
        <w:pStyle w:val="BodyText"/>
      </w:pPr>
      <w:r w:rsidRPr="00C72A8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A288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72A86" w:rsidP="002C0752">
      <w:pPr>
        <w:pStyle w:val="BodyText"/>
        <w:sectPr w:rsidSect="00C72A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2A86" w:rsidP="00C72A86">
      <w:pPr>
        <w:pStyle w:val="SuperHeading"/>
      </w:pPr>
      <w:r w:rsidRPr="00C72A86">
        <w:t>Assessment Requirements for CPCPGS3053 Disconnect and reconnect Type A gas appliances</w:t>
      </w:r>
    </w:p>
    <w:p w:rsidR="00000000" w:rsidRPr="00C72A86" w:rsidP="00C72A86">
      <w:pPr>
        <w:pStyle w:val="Heading1"/>
      </w:pPr>
      <w:bookmarkStart w:id="9" w:name="O_1204933"/>
      <w:bookmarkEnd w:id="9"/>
      <w:r w:rsidRPr="00C72A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A86" w:rsidP="00C72A86">
            <w:pPr>
              <w:pStyle w:val="BodyText"/>
            </w:pPr>
            <w:r w:rsidRPr="00C72A86">
              <w:t>This version first released with CPC Constructi</w:t>
            </w:r>
            <w:r w:rsidRPr="00C72A86">
              <w:t>on, Plumbing and Services Training Package Release 6.5.</w:t>
            </w:r>
          </w:p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Amended Knowledge Evidence.</w:t>
            </w:r>
          </w:p>
        </w:tc>
      </w:tr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A86" w:rsidP="00C72A86">
            <w:pPr>
              <w:pStyle w:val="BodyText"/>
            </w:pPr>
            <w:r w:rsidRPr="00C72A86">
              <w:t>This version first released with CPC Construction, Plumbing and Services Training Package Release 6.2.</w:t>
            </w:r>
          </w:p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Removed reference to ‘power supply’</w:t>
            </w:r>
            <w:r w:rsidRPr="00C72A86">
              <w:t xml:space="preserve"> in Knowledge Evidence, duplicates ‘electrical supply including direct wired appliances’ already noted in Knowledge Evidence. </w:t>
            </w:r>
          </w:p>
        </w:tc>
      </w:tr>
      <w:tr w:rsidTr="00C72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86">
            <w:pPr>
              <w:pStyle w:val="BodyText"/>
              <w:rPr>
                <w:lang w:val="en-NZ"/>
              </w:rPr>
            </w:pPr>
            <w:r w:rsidRPr="00C72A8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A86" w:rsidP="00C72A86">
            <w:pPr>
              <w:pStyle w:val="BodyText"/>
            </w:pPr>
            <w:r w:rsidRPr="00C72A86">
              <w:t>This version first released with CPC Construction, Plumbing and Services Training Package Release 5.0.</w:t>
            </w:r>
          </w:p>
          <w:p w:rsidR="00000000" w:rsidRPr="00C72A86" w:rsidP="00C72A86">
            <w:pPr>
              <w:pStyle w:val="BodyText"/>
            </w:pPr>
            <w:r w:rsidRPr="00C72A86">
              <w:t xml:space="preserve">Supersedes and </w:t>
            </w:r>
            <w:r w:rsidRPr="00C72A86">
              <w:t>is equivalent to CPCPGS3053A Disconnect and reconnect Type A gas appliances.  Updated to meet the Standards for Training Packages 2012.</w:t>
            </w:r>
          </w:p>
        </w:tc>
      </w:tr>
    </w:tbl>
    <w:p w:rsidR="00000000" w:rsidRPr="00C72A86" w:rsidP="00C72A86">
      <w:pPr>
        <w:pStyle w:val="BodyText"/>
      </w:pPr>
    </w:p>
    <w:p w:rsidR="00000000" w:rsidRPr="00C72A86" w:rsidP="00C72A86">
      <w:pPr>
        <w:pStyle w:val="AllowPageBreak"/>
      </w:pPr>
    </w:p>
    <w:p w:rsidR="00000000" w:rsidRPr="00C72A86" w:rsidP="00C72A86">
      <w:pPr>
        <w:pStyle w:val="Heading1"/>
      </w:pPr>
      <w:bookmarkStart w:id="10" w:name="O_1204932"/>
      <w:bookmarkEnd w:id="10"/>
      <w:r w:rsidRPr="00C72A86">
        <w:t>Performance Evidence</w:t>
      </w:r>
    </w:p>
    <w:p w:rsidR="00000000" w:rsidRPr="00C72A86" w:rsidP="002C0752">
      <w:pPr>
        <w:pStyle w:val="BodyText"/>
      </w:pPr>
      <w:r w:rsidRPr="00C72A86">
        <w:t xml:space="preserve">To demonstrate competency, a candidate must meet the performance criteria for </w:t>
      </w:r>
      <w:r w:rsidRPr="00C72A86">
        <w:t>this unit by:</w:t>
      </w:r>
    </w:p>
    <w:p w:rsidR="00000000" w:rsidRPr="00C72A86" w:rsidP="00C72A86">
      <w:pPr>
        <w:pStyle w:val="ListBullet"/>
      </w:pPr>
      <w:r w:rsidRPr="00C72A86">
        <w:t>isolating, disconnecting and reconnecting two different Type A gas appliances.</w:t>
      </w:r>
    </w:p>
    <w:p w:rsidR="00000000" w:rsidRPr="00C72A86" w:rsidP="00C72A86">
      <w:pPr>
        <w:pStyle w:val="AllowPageBreak"/>
      </w:pPr>
    </w:p>
    <w:p w:rsidR="00000000" w:rsidRPr="00C72A86" w:rsidP="00C72A86">
      <w:pPr>
        <w:pStyle w:val="Heading1"/>
      </w:pPr>
      <w:bookmarkStart w:id="11" w:name="O_1204931"/>
      <w:bookmarkEnd w:id="11"/>
      <w:r w:rsidRPr="00C72A86">
        <w:t>Knowledge Evidence</w:t>
      </w:r>
    </w:p>
    <w:p w:rsidR="00000000" w:rsidRPr="00C72A86" w:rsidP="002C0752">
      <w:pPr>
        <w:pStyle w:val="BodyText"/>
      </w:pPr>
      <w:r w:rsidRPr="00C72A86">
        <w:t>To be competent in this unit, a candidate must demonstrate knowledge of:</w:t>
      </w:r>
    </w:p>
    <w:p w:rsidR="00000000" w:rsidRPr="00C72A86" w:rsidP="00C72A86">
      <w:pPr>
        <w:pStyle w:val="ListBullet"/>
      </w:pPr>
      <w:r w:rsidRPr="00C72A86">
        <w:t>processes, procedures and techniques for:</w:t>
      </w:r>
    </w:p>
    <w:p w:rsidR="00000000" w:rsidRPr="00C72A86" w:rsidP="00C72A86">
      <w:pPr>
        <w:pStyle w:val="ListBullet2"/>
      </w:pPr>
      <w:r w:rsidRPr="00C72A86">
        <w:t>isolation, disconnection and reconnection of Type A appliances</w:t>
      </w:r>
    </w:p>
    <w:p w:rsidR="00000000" w:rsidRPr="00C72A86" w:rsidP="00C72A86">
      <w:pPr>
        <w:pStyle w:val="ListBullet2"/>
      </w:pPr>
      <w:r w:rsidRPr="00C72A86">
        <w:t>electrical safety requirements</w:t>
      </w:r>
    </w:p>
    <w:p w:rsidR="00000000" w:rsidRPr="00C72A86" w:rsidP="00C72A86">
      <w:pPr>
        <w:pStyle w:val="ListBullet2"/>
      </w:pPr>
      <w:r w:rsidRPr="00C72A86">
        <w:t>gas supply</w:t>
      </w:r>
    </w:p>
    <w:p w:rsidR="00000000" w:rsidRPr="00C72A86" w:rsidP="00C72A86">
      <w:pPr>
        <w:pStyle w:val="ListBullet2"/>
      </w:pPr>
      <w:r w:rsidRPr="00C72A86">
        <w:t>disconnection and reconnection requirements of water supply</w:t>
      </w:r>
    </w:p>
    <w:p w:rsidR="00000000" w:rsidRPr="00C72A86" w:rsidP="00C72A86">
      <w:pPr>
        <w:pStyle w:val="ListBullet2"/>
      </w:pPr>
      <w:r w:rsidRPr="00C72A86">
        <w:t>electrical supply including the difference between direct and indirect wired appliances.</w:t>
      </w:r>
    </w:p>
    <w:p w:rsidR="00000000" w:rsidRPr="00C72A86" w:rsidP="00C72A86">
      <w:pPr>
        <w:pStyle w:val="ListBullet"/>
      </w:pPr>
      <w:r w:rsidRPr="00C72A86">
        <w:t>h</w:t>
      </w:r>
      <w:r w:rsidRPr="00C72A86">
        <w:t xml:space="preserve">ow to access relevant information, including Job plans and specifications, codes, Australian standards, manufacturer’s specifications and jurisdictional requirements tools, materials and equipment used for the disconnection, reconnection and commissioning </w:t>
      </w:r>
      <w:r w:rsidRPr="00C72A86">
        <w:t>of Type A gas appliances</w:t>
      </w:r>
    </w:p>
    <w:p w:rsidR="00000000" w:rsidRPr="00C72A86" w:rsidP="00C72A86">
      <w:pPr>
        <w:pStyle w:val="ListBullet"/>
      </w:pPr>
      <w:r w:rsidRPr="00C72A86">
        <w:t>work health and safety (WHS) requirements for the disconnection, reconnection and commissioning of Type A gas appliances</w:t>
      </w:r>
    </w:p>
    <w:p w:rsidR="00000000" w:rsidRPr="00C72A86" w:rsidP="00C72A86">
      <w:pPr>
        <w:pStyle w:val="ListBullet"/>
      </w:pPr>
      <w:r w:rsidRPr="00C72A86">
        <w:t>properties of gas, gas safety, combustion principles, pressure and flow rates</w:t>
      </w:r>
    </w:p>
    <w:p w:rsidR="00000000" w:rsidRPr="00C72A86" w:rsidP="00C72A86">
      <w:pPr>
        <w:pStyle w:val="ListBullet"/>
      </w:pPr>
      <w:r w:rsidRPr="00C72A86">
        <w:t>documentation relevant to Type A gas appliances disconnection and reconnection.</w:t>
      </w:r>
    </w:p>
    <w:p w:rsidR="00000000" w:rsidRPr="00C72A86" w:rsidP="00C72A86">
      <w:pPr>
        <w:pStyle w:val="AllowPageBreak"/>
      </w:pPr>
    </w:p>
    <w:p w:rsidR="00000000" w:rsidRPr="00C72A86" w:rsidP="00C72A86">
      <w:pPr>
        <w:pStyle w:val="Heading1"/>
      </w:pPr>
      <w:bookmarkStart w:id="12" w:name="O_1204930"/>
      <w:bookmarkEnd w:id="12"/>
      <w:r w:rsidRPr="00C72A86">
        <w:t>Assessment Conditions</w:t>
      </w:r>
    </w:p>
    <w:p w:rsidR="00000000" w:rsidRPr="00C72A86" w:rsidP="002C0752">
      <w:pPr>
        <w:pStyle w:val="BodyText"/>
      </w:pPr>
      <w:r w:rsidRPr="00C72A86">
        <w:t xml:space="preserve">Assessors must satisfy the requirements for assessors listed in the Standards for Registered Training Organisations. </w:t>
      </w:r>
    </w:p>
    <w:p w:rsidR="00000000" w:rsidRPr="00C72A86" w:rsidP="002C0752">
      <w:pPr>
        <w:pStyle w:val="BodyText"/>
      </w:pPr>
      <w:r w:rsidRPr="00C72A86">
        <w:t>This unit must be</w:t>
      </w:r>
      <w:r w:rsidRPr="00C72A86">
        <w:t xml:space="preserve"> assessed in the workplace or a close simulation using realistic workplace conditions, materials, activities, responsibilities, procedures, safety requirements and environmental considerations.</w:t>
      </w:r>
    </w:p>
    <w:p w:rsidR="00000000" w:rsidRPr="00C72A86" w:rsidP="00C72A86">
      <w:pPr>
        <w:pStyle w:val="Heading1"/>
      </w:pPr>
      <w:bookmarkStart w:id="13" w:name="O_1204943"/>
      <w:bookmarkEnd w:id="13"/>
      <w:r w:rsidRPr="00C72A86">
        <w:t>Links</w:t>
      </w:r>
    </w:p>
    <w:p w:rsidR="00000000" w:rsidRPr="00C72A86" w:rsidP="002C0752">
      <w:pPr>
        <w:pStyle w:val="BodyText"/>
      </w:pPr>
      <w:r w:rsidRPr="00C72A86">
        <w:t>Companion volumes to this training pa</w:t>
      </w:r>
      <w:r w:rsidRPr="00C72A86">
        <w:t xml:space="preserve">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A288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72A86" w:rsidP="00C72A86"/>
    <w:sectPr w:rsidSect="00C72A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A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A86" w:rsidRPr="002C0752" w:rsidP="002C07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A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752" w:rsidP="00C72A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0752" w:rsidP="00C72A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C0752" w:rsidP="00C72A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A86" w:rsidP="00C72A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0752">
      <w:t>Approved</w:t>
    </w:r>
    <w:r w:rsidR="002C07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07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0752">
      <w:rPr>
        <w:noProof/>
      </w:rPr>
      <w:t>4</w:t>
    </w:r>
    <w:r>
      <w:rPr>
        <w:noProof/>
      </w:rPr>
      <w:fldChar w:fldCharType="end"/>
    </w:r>
  </w:p>
  <w:p w:rsidR="00C72A86" w:rsidP="00C72A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07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0752">
      <w:t>BuildSkills Australia</w:t>
    </w:r>
    <w:r w:rsidR="002C0752">
      <w:fldChar w:fldCharType="end"/>
    </w:r>
  </w:p>
  <w:p w:rsidR="00C72A86" w:rsidP="00C72A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A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7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A86" w:rsidRPr="002C0752" w:rsidP="002C07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A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752" w:rsidRPr="002D2AF8" w:rsidP="00C72A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CPCPGS3053 Disconnect and reconnect Type A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0752" w:rsidP="00C72A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A86" w:rsidRPr="002D2AF8" w:rsidP="00C72A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0752">
      <w:t>CPCPGS3053 Disconnect and reconnect Type A gas appliances</w:t>
    </w:r>
    <w:r w:rsidR="002C07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0752">
      <w:rPr>
        <w:noProof/>
      </w:rPr>
      <w:t>2 March 2025</w:t>
    </w:r>
    <w:r>
      <w:fldChar w:fldCharType="end"/>
    </w:r>
  </w:p>
  <w:p w:rsidR="00C72A86" w:rsidP="00C72A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5607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B0B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4025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A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A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A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A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A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A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A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A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A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A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A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A86"/>
  </w:style>
  <w:style w:type="character" w:customStyle="1" w:styleId="Heading1Char">
    <w:name w:val="Heading 1 Char"/>
    <w:basedOn w:val="DefaultParagraphFont"/>
    <w:link w:val="Heading1"/>
    <w:rsid w:val="00C72A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A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A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A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2A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2A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A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2A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A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A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A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A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A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A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A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A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A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A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A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A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A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A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A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A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A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A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A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2A86"/>
    <w:rPr>
      <w:b/>
      <w:spacing w:val="0"/>
    </w:rPr>
  </w:style>
  <w:style w:type="paragraph" w:customStyle="1" w:styleId="SuperTitle">
    <w:name w:val="SuperTitle"/>
    <w:basedOn w:val="Title"/>
    <w:rsid w:val="00C72A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A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A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2A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A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A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A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A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A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A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A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A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2A86"/>
    <w:rPr>
      <w:i/>
    </w:rPr>
  </w:style>
  <w:style w:type="paragraph" w:styleId="Caption">
    <w:name w:val="caption"/>
    <w:basedOn w:val="BodyText"/>
    <w:next w:val="Normal"/>
    <w:qFormat/>
    <w:rsid w:val="00C72A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A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A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A86"/>
  </w:style>
  <w:style w:type="paragraph" w:styleId="TableofFigures">
    <w:name w:val="table of figures"/>
    <w:basedOn w:val="Normal"/>
    <w:next w:val="Normal"/>
    <w:semiHidden/>
    <w:rsid w:val="00C72A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A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2A86"/>
    <w:rPr>
      <w:rFonts w:ascii="Wingdings" w:hAnsi="Wingdings"/>
    </w:rPr>
  </w:style>
  <w:style w:type="paragraph" w:customStyle="1" w:styleId="TableHeading">
    <w:name w:val="Table Heading"/>
    <w:basedOn w:val="HeadingBase"/>
    <w:rsid w:val="00C72A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A86"/>
    <w:rPr>
      <w:color w:val="0033CC"/>
      <w:u w:val="none"/>
    </w:rPr>
  </w:style>
  <w:style w:type="paragraph" w:customStyle="1" w:styleId="BodyTextRight">
    <w:name w:val="Body Text Right"/>
    <w:basedOn w:val="BodyText"/>
    <w:rsid w:val="00C72A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A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A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A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A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A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A86"/>
    <w:rPr>
      <w:sz w:val="32"/>
    </w:rPr>
  </w:style>
  <w:style w:type="paragraph" w:customStyle="1" w:styleId="HeadingProcedure">
    <w:name w:val="Heading Procedure"/>
    <w:basedOn w:val="HeadingBase"/>
    <w:next w:val="Normal"/>
    <w:rsid w:val="00C72A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A86"/>
    <w:pPr>
      <w:spacing w:before="60" w:after="60"/>
    </w:pPr>
  </w:style>
  <w:style w:type="paragraph" w:styleId="ListContinue">
    <w:name w:val="List Continue"/>
    <w:basedOn w:val="List"/>
    <w:rsid w:val="00C72A86"/>
    <w:pPr>
      <w:ind w:firstLine="0"/>
    </w:pPr>
  </w:style>
  <w:style w:type="paragraph" w:customStyle="1" w:styleId="ListNote">
    <w:name w:val="List Note"/>
    <w:basedOn w:val="List"/>
    <w:rsid w:val="00C72A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A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A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A86"/>
    <w:rPr>
      <w:rFonts w:ascii="Courier New" w:hAnsi="Courier New"/>
    </w:rPr>
  </w:style>
  <w:style w:type="paragraph" w:customStyle="1" w:styleId="NoteBullet">
    <w:name w:val="Note Bullet"/>
    <w:basedOn w:val="Note"/>
    <w:rsid w:val="00C72A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A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A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A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A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2A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A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A86"/>
    <w:rPr>
      <w:b/>
      <w:smallCaps/>
    </w:rPr>
  </w:style>
  <w:style w:type="paragraph" w:customStyle="1" w:styleId="TableListNumber">
    <w:name w:val="Table List Number"/>
    <w:basedOn w:val="ListNumber"/>
    <w:rsid w:val="00C72A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A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A86"/>
    <w:pPr>
      <w:numPr>
        <w:numId w:val="9"/>
      </w:numPr>
    </w:pPr>
  </w:style>
  <w:style w:type="paragraph" w:customStyle="1" w:styleId="ListAlpha2">
    <w:name w:val="List Alpha 2"/>
    <w:basedOn w:val="List2"/>
    <w:rsid w:val="00C72A86"/>
    <w:pPr>
      <w:numPr>
        <w:numId w:val="8"/>
      </w:numPr>
    </w:pPr>
  </w:style>
  <w:style w:type="paragraph" w:styleId="List2">
    <w:name w:val="List 2"/>
    <w:basedOn w:val="BodyText"/>
    <w:rsid w:val="00C72A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A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A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A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A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A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2A86"/>
    <w:pPr>
      <w:numPr>
        <w:numId w:val="4"/>
      </w:numPr>
    </w:pPr>
  </w:style>
  <w:style w:type="paragraph" w:styleId="ListContinue2">
    <w:name w:val="List Continue 2"/>
    <w:basedOn w:val="List2"/>
    <w:rsid w:val="00C72A86"/>
    <w:pPr>
      <w:ind w:firstLine="0"/>
    </w:pPr>
  </w:style>
  <w:style w:type="paragraph" w:styleId="ListContinue3">
    <w:name w:val="List Continue 3"/>
    <w:basedOn w:val="List3"/>
    <w:rsid w:val="00C72A86"/>
    <w:pPr>
      <w:ind w:left="1021" w:firstLine="0"/>
    </w:pPr>
  </w:style>
  <w:style w:type="paragraph" w:styleId="ListContinue4">
    <w:name w:val="List Continue 4"/>
    <w:basedOn w:val="List4"/>
    <w:rsid w:val="00C72A86"/>
    <w:pPr>
      <w:ind w:firstLine="0"/>
    </w:pPr>
  </w:style>
  <w:style w:type="paragraph" w:styleId="ListContinue5">
    <w:name w:val="List Continue 5"/>
    <w:basedOn w:val="List5"/>
    <w:rsid w:val="00C72A86"/>
    <w:pPr>
      <w:ind w:firstLine="0"/>
    </w:pPr>
  </w:style>
  <w:style w:type="paragraph" w:styleId="ListNumber3">
    <w:name w:val="List Number 3"/>
    <w:basedOn w:val="List3"/>
    <w:rsid w:val="00C72A86"/>
    <w:pPr>
      <w:numPr>
        <w:numId w:val="5"/>
      </w:numPr>
    </w:pPr>
  </w:style>
  <w:style w:type="paragraph" w:styleId="ListNumber4">
    <w:name w:val="List Number 4"/>
    <w:basedOn w:val="List4"/>
    <w:rsid w:val="00C72A86"/>
    <w:pPr>
      <w:numPr>
        <w:numId w:val="6"/>
      </w:numPr>
    </w:pPr>
  </w:style>
  <w:style w:type="paragraph" w:styleId="ListNumber5">
    <w:name w:val="List Number 5"/>
    <w:basedOn w:val="List5"/>
    <w:rsid w:val="00C72A86"/>
    <w:pPr>
      <w:numPr>
        <w:numId w:val="7"/>
      </w:numPr>
    </w:pPr>
  </w:style>
  <w:style w:type="paragraph" w:styleId="BlockText">
    <w:name w:val="Block Text"/>
    <w:basedOn w:val="Normal"/>
    <w:rsid w:val="00C72A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A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A86"/>
    <w:rPr>
      <w:sz w:val="16"/>
      <w:vertAlign w:val="superscript"/>
    </w:rPr>
  </w:style>
  <w:style w:type="character" w:customStyle="1" w:styleId="Symbols">
    <w:name w:val="Symbols"/>
    <w:basedOn w:val="DefaultParagraphFont"/>
    <w:rsid w:val="00C72A86"/>
    <w:rPr>
      <w:rFonts w:ascii="Symbol" w:hAnsi="Symbol"/>
    </w:rPr>
  </w:style>
  <w:style w:type="character" w:customStyle="1" w:styleId="MenuOptions">
    <w:name w:val="Menu Options"/>
    <w:basedOn w:val="DefaultParagraphFont"/>
    <w:rsid w:val="00C72A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A86"/>
    <w:rPr>
      <w:b/>
    </w:rPr>
  </w:style>
  <w:style w:type="character" w:customStyle="1" w:styleId="Underlined">
    <w:name w:val="Underlined"/>
    <w:basedOn w:val="DefaultParagraphFont"/>
    <w:rsid w:val="00C72A86"/>
    <w:rPr>
      <w:u w:val="single"/>
    </w:rPr>
  </w:style>
  <w:style w:type="paragraph" w:customStyle="1" w:styleId="TableBodyTextRight">
    <w:name w:val="Table Body Text Right"/>
    <w:basedOn w:val="TableBodyText"/>
    <w:rsid w:val="00C72A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A86"/>
    <w:rPr>
      <w:sz w:val="18"/>
    </w:rPr>
  </w:style>
  <w:style w:type="paragraph" w:customStyle="1" w:styleId="BodySmallRight">
    <w:name w:val="Body Small Right"/>
    <w:basedOn w:val="BodyTextRight"/>
    <w:rsid w:val="00C72A86"/>
    <w:rPr>
      <w:sz w:val="18"/>
      <w:szCs w:val="18"/>
    </w:rPr>
  </w:style>
  <w:style w:type="paragraph" w:customStyle="1" w:styleId="MarginEdition">
    <w:name w:val="Margin Edition"/>
    <w:basedOn w:val="MarginNote"/>
    <w:rsid w:val="00C72A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A86"/>
    <w:rPr>
      <w:sz w:val="2"/>
      <w:szCs w:val="2"/>
    </w:rPr>
  </w:style>
  <w:style w:type="character" w:customStyle="1" w:styleId="Small">
    <w:name w:val="Small"/>
    <w:basedOn w:val="DefaultParagraphFont"/>
    <w:rsid w:val="00C72A86"/>
    <w:rPr>
      <w:sz w:val="16"/>
    </w:rPr>
  </w:style>
  <w:style w:type="paragraph" w:customStyle="1" w:styleId="WideTable">
    <w:name w:val="Wide Table"/>
    <w:basedOn w:val="Normal"/>
    <w:rsid w:val="00C72A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A86"/>
  </w:style>
  <w:style w:type="paragraph" w:styleId="Quote">
    <w:name w:val="Quote"/>
    <w:basedOn w:val="Heading1"/>
    <w:link w:val="QuoteChar"/>
    <w:qFormat/>
    <w:rsid w:val="00C72A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A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A86"/>
    <w:pPr>
      <w:pageBreakBefore/>
    </w:pPr>
  </w:style>
  <w:style w:type="paragraph" w:customStyle="1" w:styleId="Border">
    <w:name w:val="Border"/>
    <w:basedOn w:val="Normal"/>
    <w:qFormat/>
    <w:rsid w:val="00C72A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A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A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A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A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A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A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A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A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A86"/>
    <w:rPr>
      <w:u w:val="single"/>
    </w:rPr>
  </w:style>
  <w:style w:type="character" w:customStyle="1" w:styleId="BoldandItalics">
    <w:name w:val="Bold and Italics"/>
    <w:qFormat/>
    <w:rsid w:val="00C72A86"/>
    <w:rPr>
      <w:b/>
      <w:i/>
      <w:u w:val="none"/>
    </w:rPr>
  </w:style>
  <w:style w:type="paragraph" w:styleId="BalloonText">
    <w:name w:val="Balloon Text"/>
    <w:basedOn w:val="Normal"/>
    <w:link w:val="BalloonTextChar"/>
    <w:rsid w:val="00C72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A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A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A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A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A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A86"/>
    <w:pPr>
      <w:spacing w:before="0" w:after="0"/>
    </w:pPr>
  </w:style>
  <w:style w:type="paragraph" w:customStyle="1" w:styleId="BodyTextBold">
    <w:name w:val="Body Text Bold"/>
    <w:basedOn w:val="BodyText"/>
    <w:qFormat/>
    <w:rsid w:val="00C72A86"/>
    <w:rPr>
      <w:b/>
    </w:rPr>
  </w:style>
  <w:style w:type="character" w:styleId="Hyperlink">
    <w:name w:val="Hyperlink"/>
    <w:basedOn w:val="DefaultParagraphFont"/>
    <w:uiPriority w:val="99"/>
    <w:unhideWhenUsed/>
    <w:rsid w:val="002C07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5061</Characters>
  <Application>Microsoft Office Word</Application>
  <DocSecurity>0</DocSecurity>
  <Lines>187</Lines>
  <Paragraphs>109</Paragraphs>
  <ScaleCrop>false</ScaleCrop>
  <Company>Author-it Software Corporation Ltd.</Company>
  <LinksUpToDate>false</LinksUpToDate>
  <CharactersWithSpaces>5710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CPCPGS3053 Disconnect and reconnect Type A gas appliances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2025-03-02T02:03:00Z</dcterms:created>
  <dcterms:modified xsi:type="dcterms:W3CDTF">2025-03-02T02:03:00Z</dcterms:modified>
</cp:coreProperties>
</file>