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1848" w:rsidP="005B18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CPCPGS3051 Purge consumer piping</w:t>
      </w:r>
      <w:r>
        <w:fldChar w:fldCharType="end"/>
      </w:r>
    </w:p>
    <w:p w:rsidR="005B1848" w:rsidP="005B1848">
      <w:pPr>
        <w:pStyle w:val="Version"/>
        <w:sectPr w:rsidSect="00E97B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7B27" w:rsidP="00E97B27">
      <w:pPr>
        <w:pStyle w:val="SuperHeading"/>
      </w:pPr>
      <w:r w:rsidRPr="00E97B27">
        <w:t>CPCPGS3051 Purge consumer piping</w:t>
      </w:r>
    </w:p>
    <w:p w:rsidR="00000000" w:rsidRPr="00E97B27" w:rsidP="00E97B27">
      <w:pPr>
        <w:pStyle w:val="Heading1"/>
      </w:pPr>
      <w:bookmarkStart w:id="1" w:name="O_1134229"/>
      <w:bookmarkEnd w:id="1"/>
      <w:r w:rsidRPr="00E97B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E97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27">
            <w:pPr>
              <w:pStyle w:val="BodyText"/>
              <w:rPr>
                <w:lang w:val="en-NZ"/>
              </w:rPr>
            </w:pPr>
            <w:r w:rsidRPr="00E97B27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B27" w:rsidP="00E97B27">
            <w:pPr>
              <w:pStyle w:val="BodyText"/>
            </w:pPr>
            <w:r w:rsidRPr="00E97B27">
              <w:t>This version first released with CPC Construction, Plumbing and Services Training Package Release 5.0.</w:t>
            </w:r>
          </w:p>
          <w:p w:rsidR="00000000" w:rsidRPr="00E97B27" w:rsidP="00E97B27">
            <w:pPr>
              <w:pStyle w:val="BodyText"/>
            </w:pPr>
            <w:r w:rsidRPr="00E97B27">
              <w:t>Supersedes and is equivalent to CPCPGS3051A Purge consumer piping.  Updated to meet the Standards for Training Packages 20</w:t>
            </w:r>
            <w:r w:rsidRPr="00E97B27">
              <w:t>12.</w:t>
            </w:r>
          </w:p>
        </w:tc>
      </w:tr>
    </w:tbl>
    <w:p w:rsidR="00000000" w:rsidRPr="00E97B27" w:rsidP="00E97B27">
      <w:pPr>
        <w:pStyle w:val="BodyText"/>
      </w:pPr>
    </w:p>
    <w:p w:rsidR="00000000" w:rsidRPr="00E97B27" w:rsidP="00E97B27">
      <w:pPr>
        <w:pStyle w:val="AllowPageBreak"/>
      </w:pPr>
    </w:p>
    <w:p w:rsidR="00000000" w:rsidRPr="00E97B27" w:rsidP="00E97B27">
      <w:pPr>
        <w:pStyle w:val="Heading1"/>
      </w:pPr>
      <w:bookmarkStart w:id="2" w:name="O_1134235"/>
      <w:bookmarkEnd w:id="2"/>
      <w:r w:rsidRPr="00E97B27">
        <w:t>Application</w:t>
      </w:r>
    </w:p>
    <w:p w:rsidR="00000000" w:rsidRPr="00E97B27" w:rsidP="005B1848">
      <w:pPr>
        <w:pStyle w:val="BodyText"/>
      </w:pPr>
      <w:r w:rsidRPr="00E97B27">
        <w:t>This unit specifies the skills and knowledge required to purge consumer gas piping systems greater than 0.03 cubic metres (30 L in volume).</w:t>
      </w:r>
    </w:p>
    <w:p w:rsidR="00000000" w:rsidRPr="00E97B27" w:rsidP="005B1848">
      <w:pPr>
        <w:pStyle w:val="BodyText"/>
      </w:pPr>
      <w:r w:rsidRPr="00E97B27">
        <w:t xml:space="preserve">In some jurisdictions, this unit of competency may form part of accreditation, </w:t>
      </w:r>
      <w:r w:rsidRPr="00E97B27">
        <w:t>licensing, legislative, regulatory or certification requirements.</w:t>
      </w:r>
    </w:p>
    <w:p w:rsidR="00000000" w:rsidRPr="00E97B27" w:rsidP="00E97B27">
      <w:pPr>
        <w:pStyle w:val="Heading1"/>
      </w:pPr>
      <w:bookmarkStart w:id="3" w:name="O_1134234"/>
      <w:bookmarkEnd w:id="3"/>
      <w:r w:rsidRPr="00E97B27">
        <w:t>Pre-requisite Unit</w:t>
      </w:r>
    </w:p>
    <w:p w:rsidR="00000000" w:rsidRPr="00E97B27" w:rsidP="005B1848">
      <w:pPr>
        <w:pStyle w:val="BodyText"/>
      </w:pPr>
      <w:r w:rsidRPr="00E97B27">
        <w:t>CPCPCM2043 Carry out WHS requirements.</w:t>
      </w:r>
    </w:p>
    <w:p w:rsidR="00000000" w:rsidRPr="00E97B27" w:rsidP="00E97B27">
      <w:pPr>
        <w:pStyle w:val="Heading1"/>
      </w:pPr>
      <w:bookmarkStart w:id="4" w:name="O_1134233"/>
      <w:bookmarkEnd w:id="4"/>
      <w:r w:rsidRPr="00E97B27">
        <w:t>Unit Sector</w:t>
      </w:r>
    </w:p>
    <w:p w:rsidR="00000000" w:rsidRPr="00E97B27" w:rsidP="005B1848">
      <w:pPr>
        <w:pStyle w:val="BodyText"/>
      </w:pPr>
      <w:r w:rsidRPr="00E97B27">
        <w:t>Plumbing</w:t>
      </w:r>
    </w:p>
    <w:p w:rsidR="00000000" w:rsidRPr="00E97B27" w:rsidP="00E97B27">
      <w:pPr>
        <w:pStyle w:val="Heading1"/>
      </w:pPr>
      <w:bookmarkStart w:id="5" w:name="O_1134232"/>
      <w:bookmarkEnd w:id="5"/>
      <w:r w:rsidRPr="00E97B2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97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27">
            <w:pPr>
              <w:pStyle w:val="BodyText"/>
              <w:rPr>
                <w:lang w:val="en-NZ"/>
              </w:rPr>
            </w:pPr>
            <w:r w:rsidRPr="00E97B27">
              <w:t>Elements describe th</w:t>
            </w:r>
            <w:r w:rsidRPr="00E97B27">
              <w:t>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27">
            <w:pPr>
              <w:pStyle w:val="BodyText"/>
              <w:rPr>
                <w:lang w:val="en-NZ"/>
              </w:rPr>
            </w:pPr>
            <w:r w:rsidRPr="00E97B27">
              <w:t>Performance criteria describe what needs to be done to demonstrate achievement of the element.</w:t>
            </w:r>
          </w:p>
        </w:tc>
      </w:tr>
      <w:tr w:rsidTr="00E97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27">
            <w:pPr>
              <w:pStyle w:val="BodyText"/>
              <w:rPr>
                <w:lang w:val="en-NZ"/>
              </w:rPr>
            </w:pPr>
            <w:r w:rsidRPr="00E97B2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27">
            <w:pPr>
              <w:pStyle w:val="BodyText"/>
              <w:rPr>
                <w:lang w:val="en-NZ"/>
              </w:rPr>
            </w:pPr>
            <w:r w:rsidRPr="00E97B27">
              <w:t>Identify purge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27">
            <w:pPr>
              <w:pStyle w:val="BodyText"/>
              <w:rPr>
                <w:lang w:val="en-NZ"/>
              </w:rPr>
            </w:pPr>
            <w:r w:rsidRPr="00E97B2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27">
            <w:pPr>
              <w:pStyle w:val="BodyText"/>
              <w:rPr>
                <w:lang w:val="en-NZ"/>
              </w:rPr>
            </w:pPr>
            <w:r w:rsidRPr="00E97B27">
              <w:t>Access, read and determine requirements for c</w:t>
            </w:r>
            <w:r w:rsidRPr="00E97B27">
              <w:t xml:space="preserve">onsumer piping requirements from relevant job plans and specifications, codes, Australian Standards, manufacturer’s specifications and jurisdictional requirements. </w:t>
            </w:r>
          </w:p>
        </w:tc>
      </w:tr>
      <w:tr w:rsidTr="00E97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27">
            <w:pPr>
              <w:pStyle w:val="BodyText"/>
              <w:rPr>
                <w:lang w:val="en-NZ"/>
              </w:rPr>
            </w:pPr>
            <w:r w:rsidRPr="00E97B2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27">
            <w:pPr>
              <w:pStyle w:val="BodyText"/>
              <w:rPr>
                <w:lang w:val="en-NZ"/>
              </w:rPr>
            </w:pPr>
            <w:r w:rsidRPr="00E97B27">
              <w:t>Identify and apply organisational work health and safety (WHS) and environmental req</w:t>
            </w:r>
            <w:r w:rsidRPr="00E97B27">
              <w:t>uirements.</w:t>
            </w:r>
          </w:p>
        </w:tc>
      </w:tr>
      <w:tr w:rsidTr="00E97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27">
            <w:pPr>
              <w:pStyle w:val="BodyText"/>
              <w:rPr>
                <w:lang w:val="en-NZ"/>
              </w:rPr>
            </w:pPr>
          </w:p>
        </w:tc>
      </w:tr>
      <w:tr w:rsidTr="00E97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27">
            <w:pPr>
              <w:pStyle w:val="BodyText"/>
              <w:rPr>
                <w:lang w:val="en-NZ"/>
              </w:rPr>
            </w:pPr>
            <w:r w:rsidRPr="00E97B2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27">
            <w:pPr>
              <w:pStyle w:val="BodyText"/>
              <w:rPr>
                <w:lang w:val="en-NZ"/>
              </w:rPr>
            </w:pPr>
            <w:r w:rsidRPr="00E97B27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27">
            <w:pPr>
              <w:pStyle w:val="BodyText"/>
              <w:rPr>
                <w:lang w:val="en-NZ"/>
              </w:rPr>
            </w:pPr>
            <w:r w:rsidRPr="00E97B2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27">
            <w:pPr>
              <w:pStyle w:val="BodyText"/>
              <w:rPr>
                <w:lang w:val="en-NZ"/>
              </w:rPr>
            </w:pPr>
            <w:r w:rsidRPr="00E97B27">
              <w:t xml:space="preserve">Identify potential hazards and determine and implement </w:t>
            </w:r>
            <w:r w:rsidRPr="00E97B27">
              <w:t>control measures including electrical safety.</w:t>
            </w:r>
          </w:p>
        </w:tc>
      </w:tr>
      <w:tr w:rsidTr="00E97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27">
            <w:pPr>
              <w:pStyle w:val="BodyText"/>
              <w:rPr>
                <w:lang w:val="en-NZ"/>
              </w:rPr>
            </w:pPr>
            <w:r w:rsidRPr="00E97B2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27">
            <w:pPr>
              <w:pStyle w:val="BodyText"/>
              <w:rPr>
                <w:lang w:val="en-NZ"/>
              </w:rPr>
            </w:pPr>
            <w:r w:rsidRPr="00E97B27">
              <w:t>Calculate and record volume of the piping system.</w:t>
            </w:r>
          </w:p>
        </w:tc>
      </w:tr>
      <w:tr w:rsidTr="00E97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27">
            <w:pPr>
              <w:pStyle w:val="BodyText"/>
              <w:rPr>
                <w:lang w:val="en-NZ"/>
              </w:rPr>
            </w:pPr>
            <w:r w:rsidRPr="00E97B2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27">
            <w:pPr>
              <w:pStyle w:val="BodyText"/>
              <w:rPr>
                <w:lang w:val="en-NZ"/>
              </w:rPr>
            </w:pPr>
            <w:r w:rsidRPr="00E97B27">
              <w:t>Select medium and method for purging a consumer piping system.</w:t>
            </w:r>
          </w:p>
        </w:tc>
      </w:tr>
      <w:tr w:rsidTr="00E97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27">
            <w:pPr>
              <w:pStyle w:val="BodyText"/>
              <w:rPr>
                <w:lang w:val="en-NZ"/>
              </w:rPr>
            </w:pPr>
            <w:r w:rsidRPr="00E97B27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27">
            <w:pPr>
              <w:pStyle w:val="BodyText"/>
              <w:rPr>
                <w:lang w:val="en-NZ"/>
              </w:rPr>
            </w:pPr>
            <w:r w:rsidRPr="00E97B27">
              <w:t>Select appropriate tools and equipment including personal protective equipment (PPE).</w:t>
            </w:r>
          </w:p>
        </w:tc>
      </w:tr>
      <w:tr w:rsidTr="00E97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27">
            <w:pPr>
              <w:pStyle w:val="BodyText"/>
              <w:rPr>
                <w:lang w:val="en-NZ"/>
              </w:rPr>
            </w:pPr>
          </w:p>
        </w:tc>
      </w:tr>
      <w:tr w:rsidTr="00E97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27">
            <w:pPr>
              <w:pStyle w:val="BodyText"/>
              <w:rPr>
                <w:lang w:val="en-NZ"/>
              </w:rPr>
            </w:pPr>
            <w:r w:rsidRPr="00E97B2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27">
            <w:pPr>
              <w:pStyle w:val="BodyText"/>
              <w:rPr>
                <w:lang w:val="en-NZ"/>
              </w:rPr>
            </w:pPr>
            <w:r w:rsidRPr="00E97B27">
              <w:t>Carry out and test purge operation.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27">
            <w:pPr>
              <w:pStyle w:val="BodyText"/>
              <w:rPr>
                <w:lang w:val="en-NZ"/>
              </w:rPr>
            </w:pPr>
            <w:r w:rsidRPr="00E97B2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27">
            <w:pPr>
              <w:pStyle w:val="BodyText"/>
              <w:rPr>
                <w:lang w:val="en-NZ"/>
              </w:rPr>
            </w:pPr>
            <w:r w:rsidRPr="00E97B27">
              <w:t>Perform purge in accordance with relevant codes, Australian standards and jurisdictional requirements.</w:t>
            </w:r>
          </w:p>
        </w:tc>
      </w:tr>
      <w:tr w:rsidTr="00E97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27">
            <w:pPr>
              <w:pStyle w:val="BodyText"/>
              <w:rPr>
                <w:lang w:val="en-NZ"/>
              </w:rPr>
            </w:pPr>
            <w:r w:rsidRPr="00E97B2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27">
            <w:pPr>
              <w:pStyle w:val="BodyText"/>
              <w:rPr>
                <w:lang w:val="en-NZ"/>
              </w:rPr>
            </w:pPr>
            <w:r w:rsidRPr="00E97B27">
              <w:t>Complete documentation according to regulatory requirements and/or workplace procedure.</w:t>
            </w:r>
          </w:p>
        </w:tc>
      </w:tr>
      <w:tr w:rsidTr="00E97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27">
            <w:pPr>
              <w:pStyle w:val="BodyText"/>
              <w:rPr>
                <w:lang w:val="en-NZ"/>
              </w:rPr>
            </w:pPr>
          </w:p>
        </w:tc>
      </w:tr>
      <w:tr w:rsidTr="00E97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27">
            <w:pPr>
              <w:pStyle w:val="BodyText"/>
              <w:rPr>
                <w:lang w:val="en-NZ"/>
              </w:rPr>
            </w:pPr>
            <w:r w:rsidRPr="00E97B27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27">
            <w:pPr>
              <w:pStyle w:val="BodyText"/>
              <w:rPr>
                <w:lang w:val="en-NZ"/>
              </w:rPr>
            </w:pPr>
            <w:r w:rsidRPr="00E97B27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27">
            <w:pPr>
              <w:pStyle w:val="BodyText"/>
              <w:rPr>
                <w:lang w:val="en-NZ"/>
              </w:rPr>
            </w:pPr>
            <w:r w:rsidRPr="00E97B27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27">
            <w:pPr>
              <w:pStyle w:val="BodyText"/>
              <w:rPr>
                <w:lang w:val="en-NZ"/>
              </w:rPr>
            </w:pPr>
            <w:r w:rsidRPr="00E97B27">
              <w:t>Clear the work area, and dispose of, reuse or recycle materials in accordance with state and territory legislation and workplace policies and procedures.</w:t>
            </w:r>
          </w:p>
        </w:tc>
      </w:tr>
      <w:tr w:rsidTr="00E97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27">
            <w:pPr>
              <w:pStyle w:val="BodyText"/>
              <w:rPr>
                <w:lang w:val="en-NZ"/>
              </w:rPr>
            </w:pPr>
            <w:r w:rsidRPr="00E97B27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B27" w:rsidP="00E97B27">
            <w:pPr>
              <w:pStyle w:val="BodyText"/>
            </w:pPr>
            <w:r w:rsidRPr="00E97B27">
              <w:t>Clean tools and equipment, check for serviceability and report any damage, and store and secure</w:t>
            </w:r>
            <w:r w:rsidRPr="00E97B27">
              <w:t>.</w:t>
            </w:r>
          </w:p>
        </w:tc>
      </w:tr>
    </w:tbl>
    <w:p w:rsidR="00000000" w:rsidRPr="00E97B27" w:rsidP="00E97B27">
      <w:pPr>
        <w:pStyle w:val="BodyText"/>
      </w:pPr>
    </w:p>
    <w:p w:rsidR="00000000" w:rsidRPr="00E97B27" w:rsidP="00E97B27">
      <w:pPr>
        <w:pStyle w:val="AllowPageBreak"/>
      </w:pPr>
    </w:p>
    <w:p w:rsidR="00000000" w:rsidRPr="00E97B27" w:rsidP="00E97B27">
      <w:pPr>
        <w:pStyle w:val="Heading1"/>
      </w:pPr>
      <w:bookmarkStart w:id="6" w:name="O_1134231"/>
      <w:bookmarkEnd w:id="6"/>
      <w:r w:rsidRPr="00E97B27">
        <w:t>Foundation Skills</w:t>
      </w:r>
    </w:p>
    <w:p w:rsidR="00000000" w:rsidRPr="00E97B27" w:rsidP="005B1848">
      <w:pPr>
        <w:pStyle w:val="BodyText"/>
      </w:pPr>
      <w:r w:rsidRPr="00E97B27">
        <w:t xml:space="preserve">Foundation skills essential to performance are explicit in the performance criteria of this unit of competency. </w:t>
      </w:r>
    </w:p>
    <w:p w:rsidR="00000000" w:rsidRPr="00E97B27" w:rsidP="00E97B27">
      <w:pPr>
        <w:pStyle w:val="Heading1"/>
      </w:pPr>
      <w:bookmarkStart w:id="7" w:name="O_1134230"/>
      <w:bookmarkEnd w:id="7"/>
      <w:r w:rsidRPr="00E97B27">
        <w:t>Unit Mapping Information</w:t>
      </w:r>
    </w:p>
    <w:p w:rsidR="00000000" w:rsidRPr="00E97B27" w:rsidP="005B1848">
      <w:pPr>
        <w:pStyle w:val="BodyText"/>
      </w:pPr>
      <w:r w:rsidRPr="00E97B27">
        <w:t>Supersedes and is equivalent to CPCPGS3051A Purge consumer piping.</w:t>
      </w:r>
    </w:p>
    <w:p w:rsidR="00000000" w:rsidRPr="00E97B27" w:rsidP="00E97B27">
      <w:pPr>
        <w:pStyle w:val="Heading1"/>
      </w:pPr>
      <w:bookmarkStart w:id="8" w:name="O_1134223"/>
      <w:bookmarkEnd w:id="8"/>
      <w:r w:rsidRPr="00E97B27">
        <w:t>Links</w:t>
      </w:r>
    </w:p>
    <w:p w:rsidR="00000000" w:rsidRPr="00E97B27" w:rsidP="005B1848">
      <w:pPr>
        <w:pStyle w:val="BodyText"/>
      </w:pPr>
      <w:r w:rsidRPr="00E97B2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C276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97B27" w:rsidP="00E97B27"/>
    <w:sectPr w:rsidSect="00E97B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B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B27" w:rsidRPr="005B1848" w:rsidP="005B18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B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848" w:rsidP="00E97B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1848" w:rsidP="00E97B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B1848" w:rsidP="00E97B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B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8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7B27" w:rsidRPr="005B1848" w:rsidP="005B18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B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848" w:rsidRPr="002D2AF8" w:rsidP="00E97B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CPCPGS3051 Purge consumer piping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B1848" w:rsidP="00E97B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B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7B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7B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7B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7B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7B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7B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7B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7B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7B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7B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7B27"/>
  </w:style>
  <w:style w:type="character" w:customStyle="1" w:styleId="Heading1Char">
    <w:name w:val="Heading 1 Char"/>
    <w:basedOn w:val="DefaultParagraphFont"/>
    <w:link w:val="Heading1"/>
    <w:rsid w:val="00E97B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7B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7B2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97B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7B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7B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7B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7B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7B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7B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7B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7B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7B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7B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7B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7B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7B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7B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7B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7B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7B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7B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7B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7B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7B2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97B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7B27"/>
    <w:rPr>
      <w:b/>
      <w:spacing w:val="0"/>
    </w:rPr>
  </w:style>
  <w:style w:type="paragraph" w:customStyle="1" w:styleId="SuperTitle">
    <w:name w:val="SuperTitle"/>
    <w:basedOn w:val="Title"/>
    <w:rsid w:val="00E97B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7B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7B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7B2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7B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7B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7B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7B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7B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7B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7B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7B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7B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7B27"/>
    <w:rPr>
      <w:i/>
    </w:rPr>
  </w:style>
  <w:style w:type="paragraph" w:styleId="Caption">
    <w:name w:val="caption"/>
    <w:basedOn w:val="BodyText"/>
    <w:next w:val="Normal"/>
    <w:qFormat/>
    <w:rsid w:val="00E97B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7B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7B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7B27"/>
  </w:style>
  <w:style w:type="paragraph" w:styleId="TableofFigures">
    <w:name w:val="table of figures"/>
    <w:basedOn w:val="Normal"/>
    <w:next w:val="Normal"/>
    <w:semiHidden/>
    <w:rsid w:val="00E97B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7B2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97B27"/>
    <w:rPr>
      <w:rFonts w:ascii="Wingdings" w:hAnsi="Wingdings"/>
    </w:rPr>
  </w:style>
  <w:style w:type="paragraph" w:customStyle="1" w:styleId="TableHeading">
    <w:name w:val="Table Heading"/>
    <w:basedOn w:val="HeadingBase"/>
    <w:rsid w:val="00E97B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7B27"/>
    <w:rPr>
      <w:color w:val="0033CC"/>
      <w:u w:val="none"/>
    </w:rPr>
  </w:style>
  <w:style w:type="paragraph" w:customStyle="1" w:styleId="BodyTextRight">
    <w:name w:val="Body Text Right"/>
    <w:basedOn w:val="BodyText"/>
    <w:rsid w:val="00E97B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7B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7B2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7B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7B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7B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7B27"/>
    <w:rPr>
      <w:sz w:val="32"/>
    </w:rPr>
  </w:style>
  <w:style w:type="paragraph" w:customStyle="1" w:styleId="HeadingProcedure">
    <w:name w:val="Heading Procedure"/>
    <w:basedOn w:val="HeadingBase"/>
    <w:next w:val="Normal"/>
    <w:rsid w:val="00E97B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7B27"/>
    <w:pPr>
      <w:spacing w:before="60" w:after="60"/>
    </w:pPr>
  </w:style>
  <w:style w:type="paragraph" w:styleId="ListContinue">
    <w:name w:val="List Continue"/>
    <w:basedOn w:val="List"/>
    <w:rsid w:val="00E97B27"/>
    <w:pPr>
      <w:ind w:firstLine="0"/>
    </w:pPr>
  </w:style>
  <w:style w:type="paragraph" w:customStyle="1" w:styleId="ListNote">
    <w:name w:val="List Note"/>
    <w:basedOn w:val="List"/>
    <w:rsid w:val="00E97B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7B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7B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7B27"/>
    <w:rPr>
      <w:rFonts w:ascii="Courier New" w:hAnsi="Courier New"/>
    </w:rPr>
  </w:style>
  <w:style w:type="paragraph" w:customStyle="1" w:styleId="NoteBullet">
    <w:name w:val="Note Bullet"/>
    <w:basedOn w:val="Note"/>
    <w:rsid w:val="00E97B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7B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7B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7B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7B2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97B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7B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7B27"/>
    <w:rPr>
      <w:b/>
      <w:smallCaps/>
    </w:rPr>
  </w:style>
  <w:style w:type="paragraph" w:customStyle="1" w:styleId="TableListNumber">
    <w:name w:val="Table List Number"/>
    <w:basedOn w:val="ListNumber"/>
    <w:rsid w:val="00E97B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7B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7B27"/>
    <w:pPr>
      <w:numPr>
        <w:numId w:val="7"/>
      </w:numPr>
    </w:pPr>
  </w:style>
  <w:style w:type="paragraph" w:customStyle="1" w:styleId="ListAlpha2">
    <w:name w:val="List Alpha 2"/>
    <w:basedOn w:val="List2"/>
    <w:rsid w:val="00E97B27"/>
    <w:pPr>
      <w:numPr>
        <w:numId w:val="6"/>
      </w:numPr>
    </w:pPr>
  </w:style>
  <w:style w:type="paragraph" w:styleId="List2">
    <w:name w:val="List 2"/>
    <w:basedOn w:val="BodyText"/>
    <w:rsid w:val="00E97B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7B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7B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7B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7B2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7B2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97B27"/>
    <w:pPr>
      <w:numPr>
        <w:numId w:val="2"/>
      </w:numPr>
    </w:pPr>
  </w:style>
  <w:style w:type="paragraph" w:styleId="ListContinue2">
    <w:name w:val="List Continue 2"/>
    <w:basedOn w:val="List2"/>
    <w:rsid w:val="00E97B27"/>
    <w:pPr>
      <w:ind w:firstLine="0"/>
    </w:pPr>
  </w:style>
  <w:style w:type="paragraph" w:styleId="ListContinue3">
    <w:name w:val="List Continue 3"/>
    <w:basedOn w:val="List3"/>
    <w:rsid w:val="00E97B27"/>
    <w:pPr>
      <w:ind w:left="1021" w:firstLine="0"/>
    </w:pPr>
  </w:style>
  <w:style w:type="paragraph" w:styleId="ListContinue4">
    <w:name w:val="List Continue 4"/>
    <w:basedOn w:val="List4"/>
    <w:rsid w:val="00E97B27"/>
    <w:pPr>
      <w:ind w:firstLine="0"/>
    </w:pPr>
  </w:style>
  <w:style w:type="paragraph" w:styleId="ListContinue5">
    <w:name w:val="List Continue 5"/>
    <w:basedOn w:val="List5"/>
    <w:rsid w:val="00E97B27"/>
    <w:pPr>
      <w:ind w:firstLine="0"/>
    </w:pPr>
  </w:style>
  <w:style w:type="paragraph" w:styleId="ListNumber3">
    <w:name w:val="List Number 3"/>
    <w:basedOn w:val="List3"/>
    <w:rsid w:val="00E97B27"/>
    <w:pPr>
      <w:numPr>
        <w:numId w:val="3"/>
      </w:numPr>
    </w:pPr>
  </w:style>
  <w:style w:type="paragraph" w:styleId="ListNumber4">
    <w:name w:val="List Number 4"/>
    <w:basedOn w:val="List4"/>
    <w:rsid w:val="00E97B27"/>
    <w:pPr>
      <w:numPr>
        <w:numId w:val="4"/>
      </w:numPr>
    </w:pPr>
  </w:style>
  <w:style w:type="paragraph" w:styleId="ListNumber5">
    <w:name w:val="List Number 5"/>
    <w:basedOn w:val="List5"/>
    <w:rsid w:val="00E97B27"/>
    <w:pPr>
      <w:numPr>
        <w:numId w:val="5"/>
      </w:numPr>
    </w:pPr>
  </w:style>
  <w:style w:type="paragraph" w:styleId="BlockText">
    <w:name w:val="Block Text"/>
    <w:basedOn w:val="Normal"/>
    <w:rsid w:val="00E97B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7B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7B27"/>
    <w:rPr>
      <w:sz w:val="16"/>
      <w:vertAlign w:val="superscript"/>
    </w:rPr>
  </w:style>
  <w:style w:type="character" w:customStyle="1" w:styleId="Symbols">
    <w:name w:val="Symbols"/>
    <w:basedOn w:val="DefaultParagraphFont"/>
    <w:rsid w:val="00E97B27"/>
    <w:rPr>
      <w:rFonts w:ascii="Symbol" w:hAnsi="Symbol"/>
    </w:rPr>
  </w:style>
  <w:style w:type="character" w:customStyle="1" w:styleId="MenuOptions">
    <w:name w:val="Menu Options"/>
    <w:basedOn w:val="DefaultParagraphFont"/>
    <w:rsid w:val="00E97B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7B27"/>
    <w:rPr>
      <w:b/>
    </w:rPr>
  </w:style>
  <w:style w:type="character" w:customStyle="1" w:styleId="Underlined">
    <w:name w:val="Underlined"/>
    <w:basedOn w:val="DefaultParagraphFont"/>
    <w:rsid w:val="00E97B27"/>
    <w:rPr>
      <w:u w:val="single"/>
    </w:rPr>
  </w:style>
  <w:style w:type="paragraph" w:customStyle="1" w:styleId="TableBodyTextRight">
    <w:name w:val="Table Body Text Right"/>
    <w:basedOn w:val="TableBodyText"/>
    <w:rsid w:val="00E97B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7B27"/>
    <w:rPr>
      <w:sz w:val="18"/>
    </w:rPr>
  </w:style>
  <w:style w:type="paragraph" w:customStyle="1" w:styleId="BodySmallRight">
    <w:name w:val="Body Small Right"/>
    <w:basedOn w:val="BodyTextRight"/>
    <w:rsid w:val="00E97B27"/>
    <w:rPr>
      <w:sz w:val="18"/>
      <w:szCs w:val="18"/>
    </w:rPr>
  </w:style>
  <w:style w:type="paragraph" w:customStyle="1" w:styleId="MarginEdition">
    <w:name w:val="Margin Edition"/>
    <w:basedOn w:val="MarginNote"/>
    <w:rsid w:val="00E97B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7B27"/>
    <w:rPr>
      <w:sz w:val="2"/>
      <w:szCs w:val="2"/>
    </w:rPr>
  </w:style>
  <w:style w:type="character" w:customStyle="1" w:styleId="Small">
    <w:name w:val="Small"/>
    <w:basedOn w:val="DefaultParagraphFont"/>
    <w:rsid w:val="00E97B27"/>
    <w:rPr>
      <w:sz w:val="16"/>
    </w:rPr>
  </w:style>
  <w:style w:type="paragraph" w:customStyle="1" w:styleId="WideTable">
    <w:name w:val="Wide Table"/>
    <w:basedOn w:val="Normal"/>
    <w:rsid w:val="00E97B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7B27"/>
  </w:style>
  <w:style w:type="paragraph" w:styleId="Quote">
    <w:name w:val="Quote"/>
    <w:basedOn w:val="Heading1"/>
    <w:link w:val="QuoteChar"/>
    <w:qFormat/>
    <w:rsid w:val="00E97B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7B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7B27"/>
    <w:pPr>
      <w:pageBreakBefore/>
    </w:pPr>
  </w:style>
  <w:style w:type="paragraph" w:customStyle="1" w:styleId="Border">
    <w:name w:val="Border"/>
    <w:basedOn w:val="Normal"/>
    <w:qFormat/>
    <w:rsid w:val="00E97B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7B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B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B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7B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7B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7B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7B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7B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7B27"/>
    <w:rPr>
      <w:u w:val="single"/>
    </w:rPr>
  </w:style>
  <w:style w:type="character" w:customStyle="1" w:styleId="BoldandItalics">
    <w:name w:val="Bold and Italics"/>
    <w:qFormat/>
    <w:rsid w:val="00E97B27"/>
    <w:rPr>
      <w:b/>
      <w:i/>
      <w:u w:val="none"/>
    </w:rPr>
  </w:style>
  <w:style w:type="paragraph" w:styleId="BalloonText">
    <w:name w:val="Balloon Text"/>
    <w:basedOn w:val="Normal"/>
    <w:link w:val="BalloonTextChar"/>
    <w:rsid w:val="00E97B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7B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7B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7B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7B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7B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7B27"/>
    <w:pPr>
      <w:spacing w:before="0" w:after="0"/>
    </w:pPr>
  </w:style>
  <w:style w:type="paragraph" w:customStyle="1" w:styleId="BodyTextBold">
    <w:name w:val="Body Text Bold"/>
    <w:basedOn w:val="BodyText"/>
    <w:qFormat/>
    <w:rsid w:val="00E97B27"/>
    <w:rPr>
      <w:b/>
    </w:rPr>
  </w:style>
  <w:style w:type="character" w:styleId="Hyperlink">
    <w:name w:val="Hyperlink"/>
    <w:basedOn w:val="DefaultParagraphFont"/>
    <w:uiPriority w:val="99"/>
    <w:unhideWhenUsed/>
    <w:rsid w:val="005B18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355</Words>
  <Characters>2317</Characters>
  <Application>Microsoft Office Word</Application>
  <DocSecurity>0</DocSecurity>
  <Lines>110</Lines>
  <Paragraphs>63</Paragraphs>
  <ScaleCrop>false</ScaleCrop>
  <Company>Author-it Software Corporation Ltd.</Company>
  <LinksUpToDate>false</LinksUpToDate>
  <CharactersWithSpaces>2609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CPCPGS3051 Purge consumer piping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2024-12-24T00:58:00Z</dcterms:created>
  <dcterms:modified xsi:type="dcterms:W3CDTF">2024-12-24T00:58:00Z</dcterms:modified>
</cp:coreProperties>
</file>