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663" w:rsidP="00655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CPCPGS3051 Purge consumer piping</w:t>
      </w:r>
      <w:r>
        <w:fldChar w:fldCharType="end"/>
      </w:r>
    </w:p>
    <w:p w:rsidR="00655663" w:rsidP="00655663">
      <w:pPr>
        <w:pStyle w:val="Version"/>
        <w:sectPr w:rsidSect="00E16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0E6" w:rsidP="00E160E6">
      <w:pPr>
        <w:pStyle w:val="SuperHeading"/>
      </w:pPr>
      <w:r w:rsidRPr="00E160E6">
        <w:t>CPCPGS3051 Purge consumer piping</w:t>
      </w:r>
    </w:p>
    <w:p w:rsidR="00000000" w:rsidRPr="00E160E6" w:rsidP="00E160E6">
      <w:pPr>
        <w:pStyle w:val="Heading1"/>
      </w:pPr>
      <w:bookmarkStart w:id="1" w:name="O_1134229"/>
      <w:bookmarkEnd w:id="1"/>
      <w:r w:rsidRPr="00E160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0E6" w:rsidP="00E160E6">
            <w:pPr>
              <w:pStyle w:val="BodyText"/>
            </w:pPr>
            <w:r w:rsidRPr="00E160E6">
              <w:t>This version first released with CPC Construction, Plumbing and Services Training Package Release 5.0.</w:t>
            </w:r>
          </w:p>
          <w:p w:rsidR="00000000" w:rsidRPr="00E160E6" w:rsidP="00E160E6">
            <w:pPr>
              <w:pStyle w:val="BodyText"/>
            </w:pPr>
            <w:r w:rsidRPr="00E160E6">
              <w:t>Supersedes and is equivalent to CPCPGS3051A Purge consumer piping.  Updated to meet the Standards for Training Packages 20</w:t>
            </w:r>
            <w:r w:rsidRPr="00E160E6">
              <w:t>12.</w:t>
            </w:r>
          </w:p>
        </w:tc>
      </w:tr>
    </w:tbl>
    <w:p w:rsidR="00000000" w:rsidRPr="00E160E6" w:rsidP="00E160E6">
      <w:pPr>
        <w:pStyle w:val="BodyText"/>
      </w:pPr>
    </w:p>
    <w:p w:rsidR="00000000" w:rsidRPr="00E160E6" w:rsidP="00E160E6">
      <w:pPr>
        <w:pStyle w:val="AllowPageBreak"/>
      </w:pPr>
    </w:p>
    <w:p w:rsidR="00000000" w:rsidRPr="00E160E6" w:rsidP="00E160E6">
      <w:pPr>
        <w:pStyle w:val="Heading1"/>
      </w:pPr>
      <w:bookmarkStart w:id="2" w:name="O_1134235"/>
      <w:bookmarkEnd w:id="2"/>
      <w:r w:rsidRPr="00E160E6">
        <w:t>Application</w:t>
      </w:r>
    </w:p>
    <w:p w:rsidR="00000000" w:rsidRPr="00E160E6" w:rsidP="00655663">
      <w:pPr>
        <w:pStyle w:val="BodyText"/>
      </w:pPr>
      <w:r w:rsidRPr="00E160E6">
        <w:t>This unit specifies the skills and knowledge required to purge consumer gas piping systems greater than 0.03 cubic metres (30 L in volume).</w:t>
      </w:r>
    </w:p>
    <w:p w:rsidR="00000000" w:rsidRPr="00E160E6" w:rsidP="00655663">
      <w:pPr>
        <w:pStyle w:val="BodyText"/>
      </w:pPr>
      <w:r w:rsidRPr="00E160E6">
        <w:t xml:space="preserve">In some jurisdictions, this unit of competency may form part of accreditation, </w:t>
      </w:r>
      <w:r w:rsidRPr="00E160E6">
        <w:t>licensing, legislative, regulatory or certification requirements.</w:t>
      </w:r>
    </w:p>
    <w:p w:rsidR="00000000" w:rsidRPr="00E160E6" w:rsidP="00E160E6">
      <w:pPr>
        <w:pStyle w:val="Heading1"/>
      </w:pPr>
      <w:bookmarkStart w:id="3" w:name="O_1134234"/>
      <w:bookmarkEnd w:id="3"/>
      <w:r w:rsidRPr="00E160E6">
        <w:t>Pre-requisite Unit</w:t>
      </w:r>
    </w:p>
    <w:p w:rsidR="00000000" w:rsidRPr="00E160E6" w:rsidP="00655663">
      <w:pPr>
        <w:pStyle w:val="BodyText"/>
      </w:pPr>
      <w:r w:rsidRPr="00E160E6">
        <w:t>CPCPCM2043 Carry out WHS requirements.</w:t>
      </w:r>
    </w:p>
    <w:p w:rsidR="00000000" w:rsidRPr="00E160E6" w:rsidP="00E160E6">
      <w:pPr>
        <w:pStyle w:val="Heading1"/>
      </w:pPr>
      <w:bookmarkStart w:id="4" w:name="O_1134233"/>
      <w:bookmarkEnd w:id="4"/>
      <w:r w:rsidRPr="00E160E6">
        <w:t>Unit Sector</w:t>
      </w:r>
    </w:p>
    <w:p w:rsidR="00000000" w:rsidRPr="00E160E6" w:rsidP="00655663">
      <w:pPr>
        <w:pStyle w:val="BodyText"/>
      </w:pPr>
      <w:r w:rsidRPr="00E160E6">
        <w:t>Plumbing</w:t>
      </w:r>
    </w:p>
    <w:p w:rsidR="00000000" w:rsidRPr="00E160E6" w:rsidP="00E160E6">
      <w:pPr>
        <w:pStyle w:val="Heading1"/>
      </w:pPr>
      <w:bookmarkStart w:id="5" w:name="O_1134232"/>
      <w:bookmarkEnd w:id="5"/>
      <w:r w:rsidRPr="00E160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Elements describe th</w:t>
            </w:r>
            <w:r w:rsidRPr="00E160E6">
              <w:t>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Performance criteria describe what needs to be done to demonstrate achievement of the element.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Identify purge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 xml:space="preserve">Access, read and determine requirements for consumer piping requirements from relevant job plans and specifications, codes, Australian Standards, manufacturer’s specifications and jurisdictional requirements. 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 xml:space="preserve">Identify and apply organisational work </w:t>
            </w:r>
            <w:r w:rsidRPr="00E160E6">
              <w:t>health and safety (WHS) and environmental requirements.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 xml:space="preserve">Identify potential hazards and determine and implement </w:t>
            </w:r>
            <w:r w:rsidRPr="00E160E6">
              <w:t>control measures including electrical safety.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Calculate and record volume of the piping system.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Select medium and method for purging a consumer piping system.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Select appropriate tools and equipment including personal protective equipment (PPE).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Carry out and test purge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Perform purge in accordance with relevant codes, Australian standards and jurisdictional requirements.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Complete documentation according to regulatory requirements and/or workplace procedure.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Clear the work area, and dispose of, reuse or recycle materials in accordance with state and territory legislation and workplace policies and procedures.</w:t>
            </w:r>
          </w:p>
        </w:tc>
      </w:tr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0E6" w:rsidP="00E160E6">
            <w:pPr>
              <w:pStyle w:val="BodyText"/>
            </w:pPr>
            <w:r w:rsidRPr="00E160E6">
              <w:t>Clean tools and equipment, check for serviceability and report any damage, and store and secure</w:t>
            </w:r>
            <w:r w:rsidRPr="00E160E6">
              <w:t>.</w:t>
            </w:r>
          </w:p>
        </w:tc>
      </w:tr>
    </w:tbl>
    <w:p w:rsidR="00000000" w:rsidRPr="00E160E6" w:rsidP="00E160E6">
      <w:pPr>
        <w:pStyle w:val="BodyText"/>
      </w:pPr>
    </w:p>
    <w:p w:rsidR="00000000" w:rsidRPr="00E160E6" w:rsidP="00E160E6">
      <w:pPr>
        <w:pStyle w:val="AllowPageBreak"/>
      </w:pPr>
    </w:p>
    <w:p w:rsidR="00000000" w:rsidRPr="00E160E6" w:rsidP="00E160E6">
      <w:pPr>
        <w:pStyle w:val="Heading1"/>
      </w:pPr>
      <w:bookmarkStart w:id="6" w:name="O_1134231"/>
      <w:bookmarkEnd w:id="6"/>
      <w:r w:rsidRPr="00E160E6">
        <w:t>Foundation Skills</w:t>
      </w:r>
    </w:p>
    <w:p w:rsidR="00000000" w:rsidRPr="00E160E6" w:rsidP="00655663">
      <w:pPr>
        <w:pStyle w:val="BodyText"/>
      </w:pPr>
      <w:r w:rsidRPr="00E160E6">
        <w:t xml:space="preserve">Foundation skills essential to performance are explicit in the performance criteria of this unit of competency. </w:t>
      </w:r>
    </w:p>
    <w:p w:rsidR="00000000" w:rsidRPr="00E160E6" w:rsidP="00E160E6">
      <w:pPr>
        <w:pStyle w:val="Heading1"/>
      </w:pPr>
      <w:bookmarkStart w:id="7" w:name="O_1134230"/>
      <w:bookmarkEnd w:id="7"/>
      <w:r w:rsidRPr="00E160E6">
        <w:t>Unit Mapping Information</w:t>
      </w:r>
    </w:p>
    <w:p w:rsidR="00000000" w:rsidRPr="00E160E6" w:rsidP="00655663">
      <w:pPr>
        <w:pStyle w:val="BodyText"/>
      </w:pPr>
      <w:r w:rsidRPr="00E160E6">
        <w:t>Supersedes and is equivalent to CPCPGS3051A Purge consumer piping.</w:t>
      </w:r>
    </w:p>
    <w:p w:rsidR="00000000" w:rsidRPr="00E160E6" w:rsidP="00E160E6">
      <w:pPr>
        <w:pStyle w:val="Heading1"/>
      </w:pPr>
      <w:bookmarkStart w:id="8" w:name="O_1134223"/>
      <w:bookmarkEnd w:id="8"/>
      <w:r w:rsidRPr="00E160E6">
        <w:t>Links</w:t>
      </w:r>
    </w:p>
    <w:p w:rsidR="00000000" w:rsidRPr="00E160E6" w:rsidP="00655663">
      <w:pPr>
        <w:pStyle w:val="BodyText"/>
      </w:pPr>
      <w:r w:rsidRPr="00E160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03A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60E6" w:rsidP="00655663">
      <w:pPr>
        <w:pStyle w:val="BodyText"/>
        <w:sectPr w:rsidSect="00E16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0E6" w:rsidP="00E160E6">
      <w:pPr>
        <w:pStyle w:val="SuperHeading"/>
      </w:pPr>
      <w:r w:rsidRPr="00E160E6">
        <w:t>Assessment Requirements for CPCPGS3051 Purge consumer piping</w:t>
      </w:r>
    </w:p>
    <w:p w:rsidR="00000000" w:rsidRPr="00E160E6" w:rsidP="00E160E6">
      <w:pPr>
        <w:pStyle w:val="Heading1"/>
      </w:pPr>
      <w:bookmarkStart w:id="9" w:name="O_1134225"/>
      <w:bookmarkEnd w:id="9"/>
      <w:r w:rsidRPr="00E160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16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0E6">
            <w:pPr>
              <w:pStyle w:val="BodyText"/>
              <w:rPr>
                <w:lang w:val="en-NZ"/>
              </w:rPr>
            </w:pPr>
            <w:r w:rsidRPr="00E160E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0E6" w:rsidP="00E160E6">
            <w:pPr>
              <w:pStyle w:val="BodyText"/>
            </w:pPr>
            <w:r w:rsidRPr="00E160E6">
              <w:t>This version first released with CPC Construction, Plumbing and Services Training Package Release</w:t>
            </w:r>
            <w:r w:rsidRPr="00E160E6">
              <w:t xml:space="preserve"> 5.0.</w:t>
            </w:r>
          </w:p>
          <w:p w:rsidR="00000000" w:rsidRPr="00E160E6" w:rsidP="00E160E6">
            <w:pPr>
              <w:pStyle w:val="BodyText"/>
            </w:pPr>
            <w:r w:rsidRPr="00E160E6">
              <w:t>Supersedes and is equivalent to CPCPGS3051A Purge consumer piping.  Updated to meet the Standards for Training Packages 2012.</w:t>
            </w:r>
          </w:p>
        </w:tc>
      </w:tr>
    </w:tbl>
    <w:p w:rsidR="00000000" w:rsidRPr="00E160E6" w:rsidP="00E160E6">
      <w:pPr>
        <w:pStyle w:val="BodyText"/>
      </w:pPr>
    </w:p>
    <w:p w:rsidR="00000000" w:rsidRPr="00E160E6" w:rsidP="00E160E6">
      <w:pPr>
        <w:pStyle w:val="AllowPageBreak"/>
      </w:pPr>
    </w:p>
    <w:p w:rsidR="00000000" w:rsidRPr="00E160E6" w:rsidP="00E160E6">
      <w:pPr>
        <w:pStyle w:val="Heading1"/>
      </w:pPr>
      <w:bookmarkStart w:id="10" w:name="O_1134228"/>
      <w:bookmarkEnd w:id="10"/>
      <w:r w:rsidRPr="00E160E6">
        <w:t>Performance Evidence</w:t>
      </w:r>
    </w:p>
    <w:p w:rsidR="00000000" w:rsidRPr="00E160E6" w:rsidP="00655663">
      <w:pPr>
        <w:pStyle w:val="BodyText"/>
      </w:pPr>
      <w:r w:rsidRPr="00E160E6">
        <w:t>To demonstrate competency, a candidate must meet the performance criteria for this unit by:</w:t>
      </w:r>
    </w:p>
    <w:p w:rsidR="00000000" w:rsidRPr="00E160E6" w:rsidP="00E160E6">
      <w:pPr>
        <w:pStyle w:val="ListBullet"/>
      </w:pPr>
      <w:r w:rsidRPr="00E160E6">
        <w:t>undertaking purge operations for a consumer gas piping system of greater than 0.03 cubic metres (30 L in volume) which includes a subsidiary meter including:</w:t>
      </w:r>
    </w:p>
    <w:p w:rsidR="00000000" w:rsidRPr="00E160E6" w:rsidP="00E160E6">
      <w:pPr>
        <w:pStyle w:val="ListBullet2"/>
      </w:pPr>
      <w:r w:rsidRPr="00E160E6">
        <w:t xml:space="preserve">one </w:t>
      </w:r>
      <w:r w:rsidRPr="00E160E6">
        <w:t xml:space="preserve">fuel gas purge </w:t>
      </w:r>
    </w:p>
    <w:p w:rsidR="00000000" w:rsidRPr="00E160E6" w:rsidP="00E160E6">
      <w:pPr>
        <w:pStyle w:val="ListBullet2"/>
      </w:pPr>
      <w:r w:rsidRPr="00E160E6">
        <w:t>one inert gas purge.</w:t>
      </w:r>
    </w:p>
    <w:p w:rsidR="00000000" w:rsidRPr="00E160E6" w:rsidP="00E160E6">
      <w:pPr>
        <w:pStyle w:val="AllowPageBreak"/>
      </w:pPr>
    </w:p>
    <w:p w:rsidR="00000000" w:rsidRPr="00E160E6" w:rsidP="00E160E6">
      <w:pPr>
        <w:pStyle w:val="Heading1"/>
      </w:pPr>
      <w:bookmarkStart w:id="11" w:name="O_1134227"/>
      <w:bookmarkEnd w:id="11"/>
      <w:r w:rsidRPr="00E160E6">
        <w:t>Knowledge Evidence</w:t>
      </w:r>
    </w:p>
    <w:p w:rsidR="00000000" w:rsidRPr="00E160E6" w:rsidP="00655663">
      <w:pPr>
        <w:pStyle w:val="BodyText"/>
      </w:pPr>
      <w:r w:rsidRPr="00E160E6">
        <w:t>To be competent in this unit, a candidate must demonstrate knowledge of:</w:t>
      </w:r>
    </w:p>
    <w:p w:rsidR="00000000" w:rsidRPr="00E160E6" w:rsidP="00E160E6">
      <w:pPr>
        <w:pStyle w:val="ListBullet"/>
      </w:pPr>
      <w:r w:rsidRPr="00E160E6">
        <w:t>characteristics of gases used in the purging process, including:</w:t>
      </w:r>
    </w:p>
    <w:p w:rsidR="00000000" w:rsidRPr="00E160E6" w:rsidP="00E160E6">
      <w:pPr>
        <w:pStyle w:val="ListBullet2"/>
      </w:pPr>
      <w:r w:rsidRPr="00E160E6">
        <w:t>inert gas</w:t>
      </w:r>
    </w:p>
    <w:p w:rsidR="00000000" w:rsidRPr="00E160E6" w:rsidP="00E160E6">
      <w:pPr>
        <w:pStyle w:val="ListBullet2"/>
      </w:pPr>
      <w:r w:rsidRPr="00E160E6">
        <w:t>fuel gas</w:t>
      </w:r>
    </w:p>
    <w:p w:rsidR="00000000" w:rsidRPr="00E160E6" w:rsidP="00E160E6">
      <w:pPr>
        <w:pStyle w:val="ListBullet"/>
      </w:pPr>
      <w:r w:rsidRPr="00E160E6">
        <w:t>electrical safety and required precautions</w:t>
      </w:r>
    </w:p>
    <w:p w:rsidR="00000000" w:rsidRPr="00E160E6" w:rsidP="00E160E6">
      <w:pPr>
        <w:pStyle w:val="ListBullet"/>
      </w:pPr>
      <w:r w:rsidRPr="00E160E6">
        <w:t>procedures for purging gas piping systems, including isolation processes and procedures</w:t>
      </w:r>
    </w:p>
    <w:p w:rsidR="00000000" w:rsidRPr="00E160E6" w:rsidP="00E160E6">
      <w:pPr>
        <w:pStyle w:val="ListBullet"/>
      </w:pPr>
      <w:r w:rsidRPr="00E160E6">
        <w:t>properties of gas, gas safety, combustion and ignition principles, purge pressure and flow rates</w:t>
      </w:r>
    </w:p>
    <w:p w:rsidR="00000000" w:rsidRPr="00E160E6" w:rsidP="00E160E6">
      <w:pPr>
        <w:pStyle w:val="ListBullet"/>
      </w:pPr>
      <w:r w:rsidRPr="00E160E6">
        <w:t>tools, materials and equipme</w:t>
      </w:r>
      <w:r w:rsidRPr="00E160E6">
        <w:t>nt used to purge consumer piping:</w:t>
      </w:r>
    </w:p>
    <w:p w:rsidR="00000000" w:rsidRPr="00E160E6" w:rsidP="00E160E6">
      <w:pPr>
        <w:pStyle w:val="ListBullet2"/>
      </w:pPr>
      <w:r w:rsidRPr="00E160E6">
        <w:t>purge stack</w:t>
      </w:r>
    </w:p>
    <w:p w:rsidR="00000000" w:rsidRPr="00E160E6" w:rsidP="00E160E6">
      <w:pPr>
        <w:pStyle w:val="ListBullet2"/>
      </w:pPr>
      <w:r w:rsidRPr="00E160E6">
        <w:t>gas detector</w:t>
      </w:r>
    </w:p>
    <w:p w:rsidR="00000000" w:rsidRPr="00E160E6" w:rsidP="00E160E6">
      <w:pPr>
        <w:pStyle w:val="ListBullet2"/>
      </w:pPr>
      <w:r w:rsidRPr="00E160E6">
        <w:t>purge bucket</w:t>
      </w:r>
    </w:p>
    <w:p w:rsidR="00000000" w:rsidRPr="00E160E6" w:rsidP="00E160E6">
      <w:pPr>
        <w:pStyle w:val="ListBullet"/>
      </w:pPr>
      <w:r w:rsidRPr="00E160E6">
        <w:t xml:space="preserve">safe work practices associated with purging consumer piping systems </w:t>
      </w:r>
    </w:p>
    <w:p w:rsidR="00000000" w:rsidRPr="00E160E6" w:rsidP="00E160E6">
      <w:pPr>
        <w:pStyle w:val="ListBullet"/>
      </w:pPr>
      <w:r w:rsidRPr="00E160E6">
        <w:t>how to access relevant information, including Job plans and specifications, codes, Australian standards, manufacturer’s specifications and jurisdictional requirements</w:t>
      </w:r>
    </w:p>
    <w:p w:rsidR="00000000" w:rsidRPr="00E160E6" w:rsidP="00E160E6">
      <w:pPr>
        <w:pStyle w:val="ListBullet"/>
      </w:pPr>
      <w:r w:rsidRPr="00E160E6">
        <w:t>work health and safety (WHS) requirements for purging consumer gas piping systems.</w:t>
      </w:r>
    </w:p>
    <w:p w:rsidR="00000000" w:rsidRPr="00E160E6" w:rsidP="00E160E6">
      <w:pPr>
        <w:pStyle w:val="AllowPageBreak"/>
      </w:pPr>
    </w:p>
    <w:p w:rsidR="00000000" w:rsidRPr="00E160E6" w:rsidP="00E160E6">
      <w:pPr>
        <w:pStyle w:val="Heading1"/>
      </w:pPr>
      <w:bookmarkStart w:id="12" w:name="O_1134226"/>
      <w:bookmarkEnd w:id="12"/>
      <w:r w:rsidRPr="00E160E6">
        <w:t>Assessment Conditions</w:t>
      </w:r>
    </w:p>
    <w:p w:rsidR="00000000" w:rsidRPr="00E160E6" w:rsidP="00655663">
      <w:pPr>
        <w:pStyle w:val="BodyText"/>
      </w:pPr>
      <w:r w:rsidRPr="00E160E6">
        <w:t xml:space="preserve">Assessors must satisfy the requirements for assessors listed in the Standards for Registered Training Organisations. </w:t>
      </w:r>
    </w:p>
    <w:p w:rsidR="00000000" w:rsidRPr="00E160E6" w:rsidP="00655663">
      <w:pPr>
        <w:pStyle w:val="BodyText"/>
      </w:pPr>
      <w:r w:rsidRPr="00E160E6">
        <w:t>This unit must be assessed in the workplace or a close simulation using realistic workplace conditions,</w:t>
      </w:r>
      <w:r w:rsidRPr="00E160E6">
        <w:t xml:space="preserve"> materials, activities, responsibilities, procedures, safety requirements and environmental considerations.</w:t>
      </w:r>
    </w:p>
    <w:p w:rsidR="00000000" w:rsidRPr="00E160E6" w:rsidP="00E160E6">
      <w:pPr>
        <w:pStyle w:val="Heading1"/>
      </w:pPr>
      <w:bookmarkStart w:id="13" w:name="O_1134224"/>
      <w:bookmarkEnd w:id="13"/>
      <w:r w:rsidRPr="00E160E6">
        <w:t>Links</w:t>
      </w:r>
    </w:p>
    <w:p w:rsidR="00000000" w:rsidRPr="00E160E6" w:rsidP="00655663">
      <w:pPr>
        <w:pStyle w:val="BodyText"/>
      </w:pPr>
      <w:r w:rsidRPr="00E160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03A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60E6" w:rsidP="00E160E6"/>
    <w:sectPr w:rsidSect="00E16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 w:rsidRPr="00655663" w:rsidP="00655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63" w:rsidP="00E16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663" w:rsidP="00E16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5663" w:rsidP="00E16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 w:rsidP="00E16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663">
      <w:t>Approved</w:t>
    </w:r>
    <w:r w:rsidR="006556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6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663">
      <w:rPr>
        <w:noProof/>
      </w:rPr>
      <w:t>4</w:t>
    </w:r>
    <w:r>
      <w:rPr>
        <w:noProof/>
      </w:rPr>
      <w:fldChar w:fldCharType="end"/>
    </w:r>
  </w:p>
  <w:p w:rsidR="00E160E6" w:rsidP="00E16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6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663">
      <w:t>BuildSkills Australia</w:t>
    </w:r>
    <w:r w:rsidR="00655663">
      <w:fldChar w:fldCharType="end"/>
    </w:r>
  </w:p>
  <w:p w:rsidR="00E160E6" w:rsidP="00E16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0E6" w:rsidRPr="00655663" w:rsidP="00655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63" w:rsidRPr="002D2AF8" w:rsidP="00E16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CPCPGS3051 Purge consumer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5663" w:rsidP="00E16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6" w:rsidRPr="002D2AF8" w:rsidP="00E16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663">
      <w:t>CPCPGS3051 Purge consumer piping</w:t>
    </w:r>
    <w:r w:rsidR="006556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663">
      <w:rPr>
        <w:noProof/>
      </w:rPr>
      <w:t>2 March 2025</w:t>
    </w:r>
    <w:r>
      <w:fldChar w:fldCharType="end"/>
    </w:r>
  </w:p>
  <w:p w:rsidR="00E160E6" w:rsidP="00E16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A8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47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E7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0E6"/>
  </w:style>
  <w:style w:type="character" w:customStyle="1" w:styleId="Heading1Char">
    <w:name w:val="Heading 1 Char"/>
    <w:basedOn w:val="DefaultParagraphFont"/>
    <w:link w:val="Heading1"/>
    <w:rsid w:val="00E16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0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0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0E6"/>
    <w:rPr>
      <w:b/>
      <w:spacing w:val="0"/>
    </w:rPr>
  </w:style>
  <w:style w:type="paragraph" w:customStyle="1" w:styleId="SuperTitle">
    <w:name w:val="SuperTitle"/>
    <w:basedOn w:val="Title"/>
    <w:rsid w:val="00E16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0E6"/>
    <w:rPr>
      <w:i/>
    </w:rPr>
  </w:style>
  <w:style w:type="paragraph" w:styleId="Caption">
    <w:name w:val="caption"/>
    <w:basedOn w:val="BodyText"/>
    <w:next w:val="Normal"/>
    <w:qFormat/>
    <w:rsid w:val="00E16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0E6"/>
  </w:style>
  <w:style w:type="paragraph" w:styleId="TableofFigures">
    <w:name w:val="table of figures"/>
    <w:basedOn w:val="Normal"/>
    <w:next w:val="Normal"/>
    <w:semiHidden/>
    <w:rsid w:val="00E16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0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0E6"/>
    <w:rPr>
      <w:rFonts w:ascii="Wingdings" w:hAnsi="Wingdings"/>
    </w:rPr>
  </w:style>
  <w:style w:type="paragraph" w:customStyle="1" w:styleId="TableHeading">
    <w:name w:val="Table Heading"/>
    <w:basedOn w:val="HeadingBase"/>
    <w:rsid w:val="00E16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0E6"/>
    <w:rPr>
      <w:color w:val="0033CC"/>
      <w:u w:val="none"/>
    </w:rPr>
  </w:style>
  <w:style w:type="paragraph" w:customStyle="1" w:styleId="BodyTextRight">
    <w:name w:val="Body Text Right"/>
    <w:basedOn w:val="BodyText"/>
    <w:rsid w:val="00E16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0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0E6"/>
    <w:rPr>
      <w:sz w:val="32"/>
    </w:rPr>
  </w:style>
  <w:style w:type="paragraph" w:customStyle="1" w:styleId="HeadingProcedure">
    <w:name w:val="Heading Procedure"/>
    <w:basedOn w:val="HeadingBase"/>
    <w:next w:val="Normal"/>
    <w:rsid w:val="00E16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0E6"/>
    <w:pPr>
      <w:spacing w:before="60" w:after="60"/>
    </w:pPr>
  </w:style>
  <w:style w:type="paragraph" w:styleId="ListContinue">
    <w:name w:val="List Continue"/>
    <w:basedOn w:val="List"/>
    <w:rsid w:val="00E160E6"/>
    <w:pPr>
      <w:ind w:firstLine="0"/>
    </w:pPr>
  </w:style>
  <w:style w:type="paragraph" w:customStyle="1" w:styleId="ListNote">
    <w:name w:val="List Note"/>
    <w:basedOn w:val="List"/>
    <w:rsid w:val="00E16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0E6"/>
    <w:rPr>
      <w:rFonts w:ascii="Courier New" w:hAnsi="Courier New"/>
    </w:rPr>
  </w:style>
  <w:style w:type="paragraph" w:customStyle="1" w:styleId="NoteBullet">
    <w:name w:val="Note Bullet"/>
    <w:basedOn w:val="Note"/>
    <w:rsid w:val="00E16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0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0E6"/>
    <w:rPr>
      <w:b/>
      <w:smallCaps/>
    </w:rPr>
  </w:style>
  <w:style w:type="paragraph" w:customStyle="1" w:styleId="TableListNumber">
    <w:name w:val="Table List Number"/>
    <w:basedOn w:val="ListNumber"/>
    <w:rsid w:val="00E16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0E6"/>
    <w:pPr>
      <w:numPr>
        <w:numId w:val="9"/>
      </w:numPr>
    </w:pPr>
  </w:style>
  <w:style w:type="paragraph" w:customStyle="1" w:styleId="ListAlpha2">
    <w:name w:val="List Alpha 2"/>
    <w:basedOn w:val="List2"/>
    <w:rsid w:val="00E160E6"/>
    <w:pPr>
      <w:numPr>
        <w:numId w:val="8"/>
      </w:numPr>
    </w:pPr>
  </w:style>
  <w:style w:type="paragraph" w:styleId="List2">
    <w:name w:val="List 2"/>
    <w:basedOn w:val="BodyText"/>
    <w:rsid w:val="00E16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0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0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0E6"/>
    <w:pPr>
      <w:numPr>
        <w:numId w:val="4"/>
      </w:numPr>
    </w:pPr>
  </w:style>
  <w:style w:type="paragraph" w:styleId="ListContinue2">
    <w:name w:val="List Continue 2"/>
    <w:basedOn w:val="List2"/>
    <w:rsid w:val="00E160E6"/>
    <w:pPr>
      <w:ind w:firstLine="0"/>
    </w:pPr>
  </w:style>
  <w:style w:type="paragraph" w:styleId="ListContinue3">
    <w:name w:val="List Continue 3"/>
    <w:basedOn w:val="List3"/>
    <w:rsid w:val="00E160E6"/>
    <w:pPr>
      <w:ind w:left="1021" w:firstLine="0"/>
    </w:pPr>
  </w:style>
  <w:style w:type="paragraph" w:styleId="ListContinue4">
    <w:name w:val="List Continue 4"/>
    <w:basedOn w:val="List4"/>
    <w:rsid w:val="00E160E6"/>
    <w:pPr>
      <w:ind w:firstLine="0"/>
    </w:pPr>
  </w:style>
  <w:style w:type="paragraph" w:styleId="ListContinue5">
    <w:name w:val="List Continue 5"/>
    <w:basedOn w:val="List5"/>
    <w:rsid w:val="00E160E6"/>
    <w:pPr>
      <w:ind w:firstLine="0"/>
    </w:pPr>
  </w:style>
  <w:style w:type="paragraph" w:styleId="ListNumber3">
    <w:name w:val="List Number 3"/>
    <w:basedOn w:val="List3"/>
    <w:rsid w:val="00E160E6"/>
    <w:pPr>
      <w:numPr>
        <w:numId w:val="5"/>
      </w:numPr>
    </w:pPr>
  </w:style>
  <w:style w:type="paragraph" w:styleId="ListNumber4">
    <w:name w:val="List Number 4"/>
    <w:basedOn w:val="List4"/>
    <w:rsid w:val="00E160E6"/>
    <w:pPr>
      <w:numPr>
        <w:numId w:val="6"/>
      </w:numPr>
    </w:pPr>
  </w:style>
  <w:style w:type="paragraph" w:styleId="ListNumber5">
    <w:name w:val="List Number 5"/>
    <w:basedOn w:val="List5"/>
    <w:rsid w:val="00E160E6"/>
    <w:pPr>
      <w:numPr>
        <w:numId w:val="7"/>
      </w:numPr>
    </w:pPr>
  </w:style>
  <w:style w:type="paragraph" w:styleId="BlockText">
    <w:name w:val="Block Text"/>
    <w:basedOn w:val="Normal"/>
    <w:rsid w:val="00E16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0E6"/>
    <w:rPr>
      <w:sz w:val="16"/>
      <w:vertAlign w:val="superscript"/>
    </w:rPr>
  </w:style>
  <w:style w:type="character" w:customStyle="1" w:styleId="Symbols">
    <w:name w:val="Symbols"/>
    <w:basedOn w:val="DefaultParagraphFont"/>
    <w:rsid w:val="00E160E6"/>
    <w:rPr>
      <w:rFonts w:ascii="Symbol" w:hAnsi="Symbol"/>
    </w:rPr>
  </w:style>
  <w:style w:type="character" w:customStyle="1" w:styleId="MenuOptions">
    <w:name w:val="Menu Options"/>
    <w:basedOn w:val="DefaultParagraphFont"/>
    <w:rsid w:val="00E16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0E6"/>
    <w:rPr>
      <w:b/>
    </w:rPr>
  </w:style>
  <w:style w:type="character" w:customStyle="1" w:styleId="Underlined">
    <w:name w:val="Underlined"/>
    <w:basedOn w:val="DefaultParagraphFont"/>
    <w:rsid w:val="00E160E6"/>
    <w:rPr>
      <w:u w:val="single"/>
    </w:rPr>
  </w:style>
  <w:style w:type="paragraph" w:customStyle="1" w:styleId="TableBodyTextRight">
    <w:name w:val="Table Body Text Right"/>
    <w:basedOn w:val="TableBodyText"/>
    <w:rsid w:val="00E16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0E6"/>
    <w:rPr>
      <w:sz w:val="18"/>
    </w:rPr>
  </w:style>
  <w:style w:type="paragraph" w:customStyle="1" w:styleId="BodySmallRight">
    <w:name w:val="Body Small Right"/>
    <w:basedOn w:val="BodyTextRight"/>
    <w:rsid w:val="00E160E6"/>
    <w:rPr>
      <w:sz w:val="18"/>
      <w:szCs w:val="18"/>
    </w:rPr>
  </w:style>
  <w:style w:type="paragraph" w:customStyle="1" w:styleId="MarginEdition">
    <w:name w:val="Margin Edition"/>
    <w:basedOn w:val="MarginNote"/>
    <w:rsid w:val="00E16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0E6"/>
    <w:rPr>
      <w:sz w:val="2"/>
      <w:szCs w:val="2"/>
    </w:rPr>
  </w:style>
  <w:style w:type="character" w:customStyle="1" w:styleId="Small">
    <w:name w:val="Small"/>
    <w:basedOn w:val="DefaultParagraphFont"/>
    <w:rsid w:val="00E160E6"/>
    <w:rPr>
      <w:sz w:val="16"/>
    </w:rPr>
  </w:style>
  <w:style w:type="paragraph" w:customStyle="1" w:styleId="WideTable">
    <w:name w:val="Wide Table"/>
    <w:basedOn w:val="Normal"/>
    <w:rsid w:val="00E16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0E6"/>
  </w:style>
  <w:style w:type="paragraph" w:styleId="Quote">
    <w:name w:val="Quote"/>
    <w:basedOn w:val="Heading1"/>
    <w:link w:val="QuoteChar"/>
    <w:qFormat/>
    <w:rsid w:val="00E16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0E6"/>
    <w:pPr>
      <w:pageBreakBefore/>
    </w:pPr>
  </w:style>
  <w:style w:type="paragraph" w:customStyle="1" w:styleId="Border">
    <w:name w:val="Border"/>
    <w:basedOn w:val="Normal"/>
    <w:qFormat/>
    <w:rsid w:val="00E16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0E6"/>
    <w:rPr>
      <w:u w:val="single"/>
    </w:rPr>
  </w:style>
  <w:style w:type="character" w:customStyle="1" w:styleId="BoldandItalics">
    <w:name w:val="Bold and Italics"/>
    <w:qFormat/>
    <w:rsid w:val="00E160E6"/>
    <w:rPr>
      <w:b/>
      <w:i/>
      <w:u w:val="none"/>
    </w:rPr>
  </w:style>
  <w:style w:type="paragraph" w:styleId="BalloonText">
    <w:name w:val="Balloon Text"/>
    <w:basedOn w:val="Normal"/>
    <w:link w:val="BalloonTextChar"/>
    <w:rsid w:val="00E16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0E6"/>
    <w:pPr>
      <w:spacing w:before="0" w:after="0"/>
    </w:pPr>
  </w:style>
  <w:style w:type="paragraph" w:customStyle="1" w:styleId="BodyTextBold">
    <w:name w:val="Body Text Bold"/>
    <w:basedOn w:val="BodyText"/>
    <w:qFormat/>
    <w:rsid w:val="00E160E6"/>
    <w:rPr>
      <w:b/>
    </w:rPr>
  </w:style>
  <w:style w:type="character" w:styleId="Hyperlink">
    <w:name w:val="Hyperlink"/>
    <w:basedOn w:val="DefaultParagraphFont"/>
    <w:uiPriority w:val="99"/>
    <w:unhideWhenUsed/>
    <w:rsid w:val="00655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4130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CPCPGS3051 Purge consumer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