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48B" w:rsidP="00F1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CPCPFS4025 Commission fire alarm and detection system interface devices</w:t>
      </w:r>
      <w:r>
        <w:fldChar w:fldCharType="end"/>
      </w:r>
    </w:p>
    <w:p w:rsidR="00F1048B" w:rsidP="00F1048B">
      <w:pPr>
        <w:pStyle w:val="Version"/>
        <w:sectPr w:rsidSect="00066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5EA" w:rsidP="000665EA">
      <w:pPr>
        <w:pStyle w:val="SuperHeading"/>
      </w:pPr>
      <w:r w:rsidRPr="000665EA">
        <w:t>CPCPFS4025 Commission fire alarm and detection system interface devices</w:t>
      </w:r>
    </w:p>
    <w:p w:rsidR="00000000" w:rsidRPr="000665EA" w:rsidP="000665EA">
      <w:pPr>
        <w:pStyle w:val="Heading1"/>
      </w:pPr>
      <w:bookmarkStart w:id="1" w:name="O_1160118"/>
      <w:bookmarkEnd w:id="1"/>
      <w:r w:rsidRPr="000665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EA" w:rsidP="000665EA">
            <w:pPr>
              <w:pStyle w:val="BodyText"/>
            </w:pPr>
            <w:r w:rsidRPr="000665EA">
              <w:t>This version first released with CPC Construction, Plumbing and Services Training Package Release 5.1.</w:t>
            </w:r>
          </w:p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Performance Evidence formatted for clarity.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EA" w:rsidP="000665EA">
            <w:pPr>
              <w:pStyle w:val="BodyText"/>
            </w:pPr>
            <w:r w:rsidRPr="000665EA">
              <w:t>This version first released with CPC Construction, Plumbing and Services Training Package Release 5.0.</w:t>
            </w:r>
          </w:p>
          <w:p w:rsidR="00000000" w:rsidRPr="000665EA" w:rsidP="000665EA">
            <w:pPr>
              <w:pStyle w:val="BodyText"/>
            </w:pPr>
            <w:r w:rsidRPr="000665EA">
              <w:t>Supersedes and is equivalent to CPCPFS4025A Commission fire alarm and detection system interface d</w:t>
            </w:r>
            <w:r w:rsidRPr="000665EA">
              <w:t>evices.  Updated to meet the Standards for Training Packages 2012.</w:t>
            </w:r>
          </w:p>
        </w:tc>
      </w:tr>
    </w:tbl>
    <w:p w:rsidR="00000000" w:rsidRPr="000665EA" w:rsidP="000665EA">
      <w:pPr>
        <w:pStyle w:val="BodyText"/>
      </w:pPr>
    </w:p>
    <w:p w:rsidR="00000000" w:rsidRPr="000665EA" w:rsidP="000665EA">
      <w:pPr>
        <w:pStyle w:val="AllowPageBreak"/>
      </w:pPr>
    </w:p>
    <w:p w:rsidR="00000000" w:rsidRPr="000665EA" w:rsidP="000665EA">
      <w:pPr>
        <w:pStyle w:val="Heading1"/>
      </w:pPr>
      <w:bookmarkStart w:id="2" w:name="O_1160117"/>
      <w:bookmarkEnd w:id="2"/>
      <w:r w:rsidRPr="000665EA">
        <w:t>Application</w:t>
      </w:r>
    </w:p>
    <w:p w:rsidR="00000000" w:rsidRPr="000665EA" w:rsidP="00F1048B">
      <w:pPr>
        <w:pStyle w:val="BodyText"/>
      </w:pPr>
      <w:r w:rsidRPr="000665EA">
        <w:t xml:space="preserve">This unit specifies the skills and knowledge required to commission fire alarm and detection interface systems. </w:t>
      </w:r>
    </w:p>
    <w:p w:rsidR="00000000" w:rsidRPr="000665EA" w:rsidP="00F1048B">
      <w:pPr>
        <w:pStyle w:val="BodyText"/>
      </w:pPr>
      <w:r w:rsidRPr="000665EA">
        <w:t>It covers preparation for the work, identif</w:t>
      </w:r>
      <w:r w:rsidRPr="000665EA">
        <w:t>ication and confirmation of system specifications and requirements, physical testing and commissioning of the system interface devices, and work finalisation processes, including records and documentation.</w:t>
      </w:r>
    </w:p>
    <w:p w:rsidR="00000000" w:rsidRPr="000665EA" w:rsidP="00F1048B">
      <w:pPr>
        <w:pStyle w:val="BodyText"/>
      </w:pPr>
      <w:r w:rsidRPr="000665EA">
        <w:t xml:space="preserve">The role may involve interaction with architects, </w:t>
      </w:r>
      <w:r w:rsidRPr="000665EA">
        <w:t>builders, suppliers and relevant planning authorities and requires a sound understanding of applicable legislation including work health and safety (WHS).</w:t>
      </w:r>
    </w:p>
    <w:p w:rsidR="00000000" w:rsidRPr="000665EA" w:rsidP="00F1048B">
      <w:pPr>
        <w:pStyle w:val="BodyText"/>
      </w:pPr>
      <w:r w:rsidRPr="000665EA">
        <w:t>This units’ requirements may be carried out by experienced tradespeople such as hydraulic design cons</w:t>
      </w:r>
      <w:r w:rsidRPr="000665EA">
        <w:t>ultants, plumbers or plumbing contractors who employ a team of plumbers.</w:t>
      </w:r>
    </w:p>
    <w:p w:rsidR="00000000" w:rsidRPr="000665EA" w:rsidP="00F1048B">
      <w:pPr>
        <w:pStyle w:val="BodyText"/>
      </w:pPr>
      <w:r w:rsidRPr="000665EA">
        <w:t>Site location for work application may be a new work site or an existing structure.</w:t>
      </w:r>
    </w:p>
    <w:p w:rsidR="00000000" w:rsidRPr="000665EA" w:rsidP="00F1048B">
      <w:pPr>
        <w:pStyle w:val="BodyText"/>
      </w:pPr>
      <w:r w:rsidRPr="000665EA">
        <w:t xml:space="preserve">The skills and knowledge described in this unit require a licence to practice in a workplace where </w:t>
      </w:r>
      <w:r w:rsidRPr="000665EA">
        <w:t>plant and equipment interface devices operate at voltages above extra low voltage (above 50 V AC or 120 V DC).</w:t>
      </w:r>
    </w:p>
    <w:p w:rsidR="00000000" w:rsidRPr="000665EA" w:rsidP="00F1048B">
      <w:pPr>
        <w:pStyle w:val="BodyText"/>
      </w:pPr>
      <w:r w:rsidRPr="000665EA">
        <w:t xml:space="preserve">Other regulations related to electrical and plumbing work may apply in some jurisdictions. </w:t>
      </w:r>
    </w:p>
    <w:p w:rsidR="00000000" w:rsidRPr="000665EA" w:rsidP="00F1048B">
      <w:pPr>
        <w:pStyle w:val="BodyText"/>
      </w:pPr>
      <w:r w:rsidRPr="000665EA">
        <w:t>Practice in the workplace and during training is also</w:t>
      </w:r>
      <w:r w:rsidRPr="000665EA">
        <w:t xml:space="preserve"> subject to work health and safety regulations and contractual training obligations, such as those required under apprenticeship agreements.</w:t>
      </w:r>
    </w:p>
    <w:p w:rsidR="00000000" w:rsidRPr="000665EA" w:rsidP="000665EA">
      <w:pPr>
        <w:pStyle w:val="Heading1"/>
      </w:pPr>
      <w:bookmarkStart w:id="3" w:name="O_1160116"/>
      <w:bookmarkEnd w:id="3"/>
      <w:r w:rsidRPr="000665EA">
        <w:t>Pre-requisite Unit</w:t>
      </w:r>
    </w:p>
    <w:p w:rsidR="00000000" w:rsidRPr="000665EA" w:rsidP="00F1048B">
      <w:pPr>
        <w:pStyle w:val="BodyText"/>
      </w:pPr>
      <w:r w:rsidRPr="000665EA">
        <w:t>Nil.</w:t>
      </w:r>
    </w:p>
    <w:p w:rsidR="00000000" w:rsidRPr="000665EA" w:rsidP="000665EA">
      <w:pPr>
        <w:pStyle w:val="Heading1"/>
      </w:pPr>
      <w:bookmarkStart w:id="4" w:name="O_1160115"/>
      <w:bookmarkEnd w:id="4"/>
      <w:r w:rsidRPr="000665EA">
        <w:t>Unit Sector</w:t>
      </w:r>
    </w:p>
    <w:p w:rsidR="00000000" w:rsidRPr="000665EA" w:rsidP="00F1048B">
      <w:pPr>
        <w:pStyle w:val="BodyText"/>
      </w:pPr>
      <w:r w:rsidRPr="000665EA">
        <w:t>Plumbing</w:t>
      </w:r>
    </w:p>
    <w:p w:rsidR="00000000" w:rsidRPr="000665EA" w:rsidP="000665EA">
      <w:pPr>
        <w:pStyle w:val="Heading1"/>
      </w:pPr>
      <w:bookmarkStart w:id="5" w:name="O_1160114"/>
      <w:bookmarkEnd w:id="5"/>
      <w:r w:rsidRPr="000665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Performance criteria describe what needs to be done to demonstrate achievement of the element.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Obtain current approved plans and specifications.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Identify and apply workplace policies and procedures, work health and safety (WHS) and sustainability principles.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Apply quality assurance requirements to comply with internal and external policies, procedures, standards and authorities.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Consu</w:t>
            </w:r>
            <w:r w:rsidRPr="000665EA">
              <w:t>lt with all associated persons to plan and sequence tasks.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Select and check the serviceability of appropriate tools, equipment and personal protective equipment (PPE).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Prepare work area to support effective commissioning process.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Identify and confirm system design requirements from job specifications according to standards.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 xml:space="preserve">Identify and determine system commissioning requirements using relevant Australian standards, statutory and regulatory </w:t>
            </w:r>
            <w:r w:rsidRPr="000665EA">
              <w:t>authorities’ requirements and job specifications.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 xml:space="preserve">Check fire alarm and detection system interface devices to ensure type and installation conform to relevant Australian standard, job specifications, manufacturer </w:t>
            </w:r>
            <w:r w:rsidRPr="000665EA">
              <w:t>recommendations and authorities</w:t>
            </w:r>
            <w:r>
              <w:t>’</w:t>
            </w:r>
            <w:r w:rsidRPr="000665EA">
              <w:t xml:space="preserve"> requirements.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Test operation of system interface devices and adjust as required according to Australian standard, job specifications, manufacturer recommendations and authorities</w:t>
            </w:r>
            <w:r>
              <w:t>’</w:t>
            </w:r>
            <w:r w:rsidRPr="000665EA">
              <w:t xml:space="preserve"> requirements.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Commission and maintain system interface devices to ensure correct operation according to relevant standards, and manufacturer and job specifications.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Clean tools and equipment, check for damage and malfunction and store accordin</w:t>
            </w:r>
            <w:r w:rsidRPr="000665EA">
              <w:t>g to manufacturer recommendations and workplace procedures.</w:t>
            </w:r>
          </w:p>
        </w:tc>
      </w:tr>
      <w:tr w:rsidTr="00066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EA">
            <w:pPr>
              <w:pStyle w:val="BodyText"/>
              <w:rPr>
                <w:lang w:val="en-NZ"/>
              </w:rPr>
            </w:pPr>
            <w:r w:rsidRPr="000665E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EA" w:rsidP="000665EA">
            <w:pPr>
              <w:pStyle w:val="BodyText"/>
            </w:pPr>
            <w:r w:rsidRPr="000665EA">
              <w:t>Access information to complete documentation according to workplace requirements and submit within specified timeframes.</w:t>
            </w:r>
          </w:p>
        </w:tc>
      </w:tr>
    </w:tbl>
    <w:p w:rsidR="00000000" w:rsidRPr="000665EA" w:rsidP="000665EA">
      <w:pPr>
        <w:pStyle w:val="BodyText"/>
      </w:pPr>
    </w:p>
    <w:p w:rsidR="00000000" w:rsidRPr="000665EA" w:rsidP="000665EA">
      <w:pPr>
        <w:pStyle w:val="AllowPageBreak"/>
      </w:pPr>
    </w:p>
    <w:p w:rsidR="00000000" w:rsidRPr="000665EA" w:rsidP="000665EA">
      <w:pPr>
        <w:pStyle w:val="Heading1"/>
      </w:pPr>
      <w:bookmarkStart w:id="6" w:name="O_1160113"/>
      <w:bookmarkEnd w:id="6"/>
      <w:r w:rsidRPr="000665EA">
        <w:t>Foundation Skills</w:t>
      </w:r>
    </w:p>
    <w:p w:rsidR="00000000" w:rsidRPr="000665EA" w:rsidP="00F1048B">
      <w:pPr>
        <w:pStyle w:val="BodyText"/>
      </w:pPr>
      <w:r w:rsidRPr="000665EA">
        <w:t xml:space="preserve">Foundation skills essential to performance are explicit in the performance criteria of this unit of competency. </w:t>
      </w:r>
    </w:p>
    <w:p w:rsidR="00000000" w:rsidRPr="000665EA" w:rsidP="000665EA">
      <w:pPr>
        <w:pStyle w:val="Heading1"/>
      </w:pPr>
      <w:bookmarkStart w:id="7" w:name="O_1160112"/>
      <w:bookmarkEnd w:id="7"/>
      <w:r w:rsidRPr="000665EA">
        <w:t>Unit Mapping Information</w:t>
      </w:r>
    </w:p>
    <w:p w:rsidR="00000000" w:rsidRPr="000665EA" w:rsidP="00F1048B">
      <w:pPr>
        <w:pStyle w:val="BodyText"/>
      </w:pPr>
      <w:r w:rsidRPr="000665EA">
        <w:t>Supersedes and is equivalent to CPCPFS4025A Commission fire alarm and detection system interface de</w:t>
      </w:r>
      <w:r w:rsidRPr="000665EA">
        <w:t>vices.</w:t>
      </w:r>
    </w:p>
    <w:p w:rsidR="00000000" w:rsidRPr="000665EA" w:rsidP="000665EA">
      <w:pPr>
        <w:pStyle w:val="Heading1"/>
      </w:pPr>
      <w:bookmarkStart w:id="8" w:name="O_1160119"/>
      <w:bookmarkEnd w:id="8"/>
      <w:r w:rsidRPr="000665EA">
        <w:t>Links</w:t>
      </w:r>
    </w:p>
    <w:p w:rsidR="00000000" w:rsidRPr="000665EA" w:rsidP="00F1048B">
      <w:pPr>
        <w:pStyle w:val="BodyText"/>
      </w:pPr>
      <w:r w:rsidRPr="000665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25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665EA" w:rsidP="000665EA"/>
    <w:sectPr w:rsidSect="00066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EA" w:rsidRPr="00F1048B" w:rsidP="00F1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8B" w:rsidP="00066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48B" w:rsidP="00066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048B" w:rsidP="00066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5EA" w:rsidRPr="00F1048B" w:rsidP="00F10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8B" w:rsidRPr="002D2AF8" w:rsidP="00066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CPCPFS4025 Commission fire alarm and detection system interface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1048B" w:rsidP="00066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5EA"/>
  </w:style>
  <w:style w:type="character" w:customStyle="1" w:styleId="Heading1Char">
    <w:name w:val="Heading 1 Char"/>
    <w:basedOn w:val="DefaultParagraphFont"/>
    <w:link w:val="Heading1"/>
    <w:rsid w:val="00066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5E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6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5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5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6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5EA"/>
    <w:rPr>
      <w:b/>
      <w:spacing w:val="0"/>
    </w:rPr>
  </w:style>
  <w:style w:type="paragraph" w:customStyle="1" w:styleId="SuperTitle">
    <w:name w:val="SuperTitle"/>
    <w:basedOn w:val="Title"/>
    <w:rsid w:val="00066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5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5EA"/>
    <w:rPr>
      <w:i/>
    </w:rPr>
  </w:style>
  <w:style w:type="paragraph" w:styleId="Caption">
    <w:name w:val="caption"/>
    <w:basedOn w:val="BodyText"/>
    <w:next w:val="Normal"/>
    <w:qFormat/>
    <w:rsid w:val="00066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5EA"/>
  </w:style>
  <w:style w:type="paragraph" w:styleId="TableofFigures">
    <w:name w:val="table of figures"/>
    <w:basedOn w:val="Normal"/>
    <w:next w:val="Normal"/>
    <w:semiHidden/>
    <w:rsid w:val="00066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5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65EA"/>
    <w:rPr>
      <w:rFonts w:ascii="Wingdings" w:hAnsi="Wingdings"/>
    </w:rPr>
  </w:style>
  <w:style w:type="paragraph" w:customStyle="1" w:styleId="TableHeading">
    <w:name w:val="Table Heading"/>
    <w:basedOn w:val="HeadingBase"/>
    <w:rsid w:val="00066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5EA"/>
    <w:rPr>
      <w:color w:val="0033CC"/>
      <w:u w:val="none"/>
    </w:rPr>
  </w:style>
  <w:style w:type="paragraph" w:customStyle="1" w:styleId="BodyTextRight">
    <w:name w:val="Body Text Right"/>
    <w:basedOn w:val="BodyText"/>
    <w:rsid w:val="00066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5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5EA"/>
    <w:rPr>
      <w:sz w:val="32"/>
    </w:rPr>
  </w:style>
  <w:style w:type="paragraph" w:customStyle="1" w:styleId="HeadingProcedure">
    <w:name w:val="Heading Procedure"/>
    <w:basedOn w:val="HeadingBase"/>
    <w:next w:val="Normal"/>
    <w:rsid w:val="00066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5EA"/>
    <w:pPr>
      <w:spacing w:before="60" w:after="60"/>
    </w:pPr>
  </w:style>
  <w:style w:type="paragraph" w:styleId="ListContinue">
    <w:name w:val="List Continue"/>
    <w:basedOn w:val="List"/>
    <w:rsid w:val="000665EA"/>
    <w:pPr>
      <w:ind w:firstLine="0"/>
    </w:pPr>
  </w:style>
  <w:style w:type="paragraph" w:customStyle="1" w:styleId="ListNote">
    <w:name w:val="List Note"/>
    <w:basedOn w:val="List"/>
    <w:rsid w:val="00066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5EA"/>
    <w:rPr>
      <w:rFonts w:ascii="Courier New" w:hAnsi="Courier New"/>
    </w:rPr>
  </w:style>
  <w:style w:type="paragraph" w:customStyle="1" w:styleId="NoteBullet">
    <w:name w:val="Note Bullet"/>
    <w:basedOn w:val="Note"/>
    <w:rsid w:val="00066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5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6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5EA"/>
    <w:rPr>
      <w:b/>
      <w:smallCaps/>
    </w:rPr>
  </w:style>
  <w:style w:type="paragraph" w:customStyle="1" w:styleId="TableListNumber">
    <w:name w:val="Table List Number"/>
    <w:basedOn w:val="ListNumber"/>
    <w:rsid w:val="00066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5EA"/>
    <w:pPr>
      <w:numPr>
        <w:numId w:val="7"/>
      </w:numPr>
    </w:pPr>
  </w:style>
  <w:style w:type="paragraph" w:customStyle="1" w:styleId="ListAlpha2">
    <w:name w:val="List Alpha 2"/>
    <w:basedOn w:val="List2"/>
    <w:rsid w:val="000665EA"/>
    <w:pPr>
      <w:numPr>
        <w:numId w:val="6"/>
      </w:numPr>
    </w:pPr>
  </w:style>
  <w:style w:type="paragraph" w:styleId="List2">
    <w:name w:val="List 2"/>
    <w:basedOn w:val="BodyText"/>
    <w:rsid w:val="00066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5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5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65EA"/>
    <w:pPr>
      <w:numPr>
        <w:numId w:val="2"/>
      </w:numPr>
    </w:pPr>
  </w:style>
  <w:style w:type="paragraph" w:styleId="ListContinue2">
    <w:name w:val="List Continue 2"/>
    <w:basedOn w:val="List2"/>
    <w:rsid w:val="000665EA"/>
    <w:pPr>
      <w:ind w:firstLine="0"/>
    </w:pPr>
  </w:style>
  <w:style w:type="paragraph" w:styleId="ListContinue3">
    <w:name w:val="List Continue 3"/>
    <w:basedOn w:val="List3"/>
    <w:rsid w:val="000665EA"/>
    <w:pPr>
      <w:ind w:left="1021" w:firstLine="0"/>
    </w:pPr>
  </w:style>
  <w:style w:type="paragraph" w:styleId="ListContinue4">
    <w:name w:val="List Continue 4"/>
    <w:basedOn w:val="List4"/>
    <w:rsid w:val="000665EA"/>
    <w:pPr>
      <w:ind w:firstLine="0"/>
    </w:pPr>
  </w:style>
  <w:style w:type="paragraph" w:styleId="ListContinue5">
    <w:name w:val="List Continue 5"/>
    <w:basedOn w:val="List5"/>
    <w:rsid w:val="000665EA"/>
    <w:pPr>
      <w:ind w:firstLine="0"/>
    </w:pPr>
  </w:style>
  <w:style w:type="paragraph" w:styleId="ListNumber3">
    <w:name w:val="List Number 3"/>
    <w:basedOn w:val="List3"/>
    <w:rsid w:val="000665EA"/>
    <w:pPr>
      <w:numPr>
        <w:numId w:val="3"/>
      </w:numPr>
    </w:pPr>
  </w:style>
  <w:style w:type="paragraph" w:styleId="ListNumber4">
    <w:name w:val="List Number 4"/>
    <w:basedOn w:val="List4"/>
    <w:rsid w:val="000665EA"/>
    <w:pPr>
      <w:numPr>
        <w:numId w:val="4"/>
      </w:numPr>
    </w:pPr>
  </w:style>
  <w:style w:type="paragraph" w:styleId="ListNumber5">
    <w:name w:val="List Number 5"/>
    <w:basedOn w:val="List5"/>
    <w:rsid w:val="000665EA"/>
    <w:pPr>
      <w:numPr>
        <w:numId w:val="5"/>
      </w:numPr>
    </w:pPr>
  </w:style>
  <w:style w:type="paragraph" w:styleId="BlockText">
    <w:name w:val="Block Text"/>
    <w:basedOn w:val="Normal"/>
    <w:rsid w:val="00066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5EA"/>
    <w:rPr>
      <w:sz w:val="16"/>
      <w:vertAlign w:val="superscript"/>
    </w:rPr>
  </w:style>
  <w:style w:type="character" w:customStyle="1" w:styleId="Symbols">
    <w:name w:val="Symbols"/>
    <w:basedOn w:val="DefaultParagraphFont"/>
    <w:rsid w:val="000665EA"/>
    <w:rPr>
      <w:rFonts w:ascii="Symbol" w:hAnsi="Symbol"/>
    </w:rPr>
  </w:style>
  <w:style w:type="character" w:customStyle="1" w:styleId="MenuOptions">
    <w:name w:val="Menu Options"/>
    <w:basedOn w:val="DefaultParagraphFont"/>
    <w:rsid w:val="00066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5EA"/>
    <w:rPr>
      <w:b/>
    </w:rPr>
  </w:style>
  <w:style w:type="character" w:customStyle="1" w:styleId="Underlined">
    <w:name w:val="Underlined"/>
    <w:basedOn w:val="DefaultParagraphFont"/>
    <w:rsid w:val="000665EA"/>
    <w:rPr>
      <w:u w:val="single"/>
    </w:rPr>
  </w:style>
  <w:style w:type="paragraph" w:customStyle="1" w:styleId="TableBodyTextRight">
    <w:name w:val="Table Body Text Right"/>
    <w:basedOn w:val="TableBodyText"/>
    <w:rsid w:val="00066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5EA"/>
    <w:rPr>
      <w:sz w:val="18"/>
    </w:rPr>
  </w:style>
  <w:style w:type="paragraph" w:customStyle="1" w:styleId="BodySmallRight">
    <w:name w:val="Body Small Right"/>
    <w:basedOn w:val="BodyTextRight"/>
    <w:rsid w:val="000665EA"/>
    <w:rPr>
      <w:sz w:val="18"/>
      <w:szCs w:val="18"/>
    </w:rPr>
  </w:style>
  <w:style w:type="paragraph" w:customStyle="1" w:styleId="MarginEdition">
    <w:name w:val="Margin Edition"/>
    <w:basedOn w:val="MarginNote"/>
    <w:rsid w:val="00066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5EA"/>
    <w:rPr>
      <w:sz w:val="2"/>
      <w:szCs w:val="2"/>
    </w:rPr>
  </w:style>
  <w:style w:type="character" w:customStyle="1" w:styleId="Small">
    <w:name w:val="Small"/>
    <w:basedOn w:val="DefaultParagraphFont"/>
    <w:rsid w:val="000665EA"/>
    <w:rPr>
      <w:sz w:val="16"/>
    </w:rPr>
  </w:style>
  <w:style w:type="paragraph" w:customStyle="1" w:styleId="WideTable">
    <w:name w:val="Wide Table"/>
    <w:basedOn w:val="Normal"/>
    <w:rsid w:val="00066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5EA"/>
  </w:style>
  <w:style w:type="paragraph" w:styleId="Quote">
    <w:name w:val="Quote"/>
    <w:basedOn w:val="Heading1"/>
    <w:link w:val="QuoteChar"/>
    <w:qFormat/>
    <w:rsid w:val="00066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5EA"/>
    <w:pPr>
      <w:pageBreakBefore/>
    </w:pPr>
  </w:style>
  <w:style w:type="paragraph" w:customStyle="1" w:styleId="Border">
    <w:name w:val="Border"/>
    <w:basedOn w:val="Normal"/>
    <w:qFormat/>
    <w:rsid w:val="00066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5EA"/>
    <w:rPr>
      <w:u w:val="single"/>
    </w:rPr>
  </w:style>
  <w:style w:type="character" w:customStyle="1" w:styleId="BoldandItalics">
    <w:name w:val="Bold and Italics"/>
    <w:qFormat/>
    <w:rsid w:val="000665EA"/>
    <w:rPr>
      <w:b/>
      <w:i/>
      <w:u w:val="none"/>
    </w:rPr>
  </w:style>
  <w:style w:type="paragraph" w:styleId="BalloonText">
    <w:name w:val="Balloon Text"/>
    <w:basedOn w:val="Normal"/>
    <w:link w:val="BalloonTextChar"/>
    <w:rsid w:val="00066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5EA"/>
    <w:pPr>
      <w:spacing w:before="0" w:after="0"/>
    </w:pPr>
  </w:style>
  <w:style w:type="paragraph" w:customStyle="1" w:styleId="BodyTextBold">
    <w:name w:val="Body Text Bold"/>
    <w:basedOn w:val="BodyText"/>
    <w:qFormat/>
    <w:rsid w:val="000665EA"/>
    <w:rPr>
      <w:b/>
    </w:rPr>
  </w:style>
  <w:style w:type="character" w:styleId="Hyperlink">
    <w:name w:val="Hyperlink"/>
    <w:basedOn w:val="DefaultParagraphFont"/>
    <w:uiPriority w:val="99"/>
    <w:unhideWhenUsed/>
    <w:rsid w:val="00F10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4096</Characters>
  <Application>Microsoft Office Word</Application>
  <DocSecurity>0</DocSecurity>
  <Lines>157</Lines>
  <Paragraphs>81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CPCPFS4025 Commission fire alarm and detection system interface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