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6FB" w:rsidP="00AB66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CPCPFS3036 Install special hazard systems</w:t>
      </w:r>
      <w:r>
        <w:fldChar w:fldCharType="end"/>
      </w:r>
    </w:p>
    <w:p w:rsidR="00AB66FB" w:rsidP="00AB66FB">
      <w:pPr>
        <w:pStyle w:val="Version"/>
        <w:sectPr w:rsidSect="00C613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613C0" w:rsidP="00C613C0">
      <w:pPr>
        <w:pStyle w:val="SuperHeading"/>
      </w:pPr>
      <w:r w:rsidRPr="00C613C0">
        <w:t>CPCPFS3036 Install special hazard systems</w:t>
      </w:r>
    </w:p>
    <w:p w:rsidR="00000000" w:rsidRPr="00C613C0" w:rsidP="00C613C0">
      <w:pPr>
        <w:pStyle w:val="Heading1"/>
      </w:pPr>
      <w:bookmarkStart w:id="1" w:name="O_1204781"/>
      <w:bookmarkEnd w:id="1"/>
      <w:r w:rsidRPr="00C613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3C0" w:rsidP="00C613C0">
            <w:pPr>
              <w:pStyle w:val="BodyText"/>
            </w:pPr>
            <w:r w:rsidRPr="00C613C0">
              <w:t>This version first released with CPC Construction, Plumbing and Services Training Package Release 6.5.</w:t>
            </w:r>
          </w:p>
          <w:p w:rsidR="00000000" w:rsidRPr="00C613C0" w:rsidP="00C613C0">
            <w:pPr>
              <w:pStyle w:val="ListBullet"/>
            </w:pPr>
            <w:r w:rsidRPr="00C613C0">
              <w:t>Sprinkler and delivery systems removed from the Knowledge Evidence.</w:t>
            </w:r>
          </w:p>
          <w:p w:rsidR="00000000" w:rsidP="00C613C0">
            <w:pPr>
              <w:pStyle w:val="ListBullet"/>
              <w:rPr>
                <w:lang w:val="en-NZ"/>
              </w:rPr>
            </w:pPr>
            <w:r w:rsidRPr="00C613C0">
              <w:t xml:space="preserve">The word </w:t>
            </w:r>
            <w:r>
              <w:t>‘</w:t>
            </w:r>
            <w:r w:rsidRPr="00C613C0">
              <w:t>purging</w:t>
            </w:r>
            <w:r>
              <w:t>’</w:t>
            </w:r>
            <w:r w:rsidRPr="00C613C0">
              <w:t xml:space="preserve"> replaced by </w:t>
            </w:r>
            <w:r>
              <w:t>‘</w:t>
            </w:r>
            <w:r w:rsidRPr="00C613C0">
              <w:t>cleaning</w:t>
            </w:r>
            <w:r>
              <w:t>’</w:t>
            </w:r>
            <w:r w:rsidRPr="00C613C0">
              <w:t xml:space="preserve"> in the Know</w:t>
            </w:r>
            <w:r w:rsidRPr="00C613C0">
              <w:t>ledge Evidence.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3C0" w:rsidP="00C613C0">
            <w:pPr>
              <w:pStyle w:val="BodyText"/>
            </w:pPr>
            <w:r w:rsidRPr="00C613C0">
              <w:t>This version first released with CPC Construction, Plumbing and Services Training Package Release 5.1.</w:t>
            </w:r>
          </w:p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Change to Elements and Performance Criteria 2.3.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3C0" w:rsidP="00C613C0">
            <w:pPr>
              <w:pStyle w:val="BodyText"/>
            </w:pPr>
            <w:r w:rsidRPr="00C613C0">
              <w:t>This version first released with CPC Construction, Plumbing and Se</w:t>
            </w:r>
            <w:r w:rsidRPr="00C613C0">
              <w:t>rvices Training Package Release 5.0.</w:t>
            </w:r>
          </w:p>
          <w:p w:rsidR="00000000" w:rsidRPr="00C613C0" w:rsidP="00C613C0">
            <w:pPr>
              <w:pStyle w:val="BodyText"/>
            </w:pPr>
            <w:r w:rsidRPr="00C613C0">
              <w:t>Supersedes and is equivalent to CPCPFS3036A Install special hazard systems.  Updated to meet the Standards for Training Packages 2012.</w:t>
            </w:r>
          </w:p>
        </w:tc>
      </w:tr>
    </w:tbl>
    <w:p w:rsidR="00000000" w:rsidRPr="00C613C0" w:rsidP="00C613C0">
      <w:pPr>
        <w:pStyle w:val="BodyText"/>
      </w:pPr>
    </w:p>
    <w:p w:rsidR="00000000" w:rsidRPr="00C613C0" w:rsidP="00C613C0">
      <w:pPr>
        <w:pStyle w:val="AllowPageBreak"/>
      </w:pPr>
    </w:p>
    <w:p w:rsidR="00000000" w:rsidRPr="00C613C0" w:rsidP="00C613C0">
      <w:pPr>
        <w:pStyle w:val="Heading1"/>
      </w:pPr>
      <w:bookmarkStart w:id="2" w:name="O_1204780"/>
      <w:bookmarkEnd w:id="2"/>
      <w:r w:rsidRPr="00C613C0">
        <w:t>Application</w:t>
      </w:r>
    </w:p>
    <w:p w:rsidR="00000000" w:rsidRPr="00C613C0" w:rsidP="00AB66FB">
      <w:pPr>
        <w:pStyle w:val="BodyText"/>
      </w:pPr>
      <w:r w:rsidRPr="00C613C0">
        <w:t>This unit specifies the skills and knowledge required to install special hazard extinguishing systems, including decommissioning gaseous agent containers and actuation devices.</w:t>
      </w:r>
    </w:p>
    <w:p w:rsidR="00000000" w:rsidRPr="00C613C0" w:rsidP="00AB66FB">
      <w:pPr>
        <w:pStyle w:val="BodyText"/>
      </w:pPr>
      <w:r w:rsidRPr="00C613C0">
        <w:t>All technicians performing work described in this unit that involves the handli</w:t>
      </w:r>
      <w:r w:rsidRPr="00C613C0">
        <w:t>ng of prescribed ozone depleting substances (ODS) and synthetic greenhouse gases (SGG) extinguishing agents must hold an appropriate extinguishing agent handling licence (EAHL).</w:t>
      </w:r>
    </w:p>
    <w:p w:rsidR="00000000" w:rsidRPr="00C613C0" w:rsidP="00AB66FB">
      <w:pPr>
        <w:pStyle w:val="BodyText"/>
      </w:pPr>
      <w:r w:rsidRPr="00C613C0">
        <w:t>In some jurisdictions, this unit of competency may form part of accreditation,</w:t>
      </w:r>
      <w:r w:rsidRPr="00C613C0">
        <w:t xml:space="preserve"> licensing, legislative, regulatory or certification requirements.</w:t>
      </w:r>
    </w:p>
    <w:p w:rsidR="00000000" w:rsidRPr="00C613C0" w:rsidP="00C613C0">
      <w:pPr>
        <w:pStyle w:val="Heading1"/>
      </w:pPr>
      <w:bookmarkStart w:id="3" w:name="O_1204779"/>
      <w:bookmarkEnd w:id="3"/>
      <w:r w:rsidRPr="00C613C0">
        <w:t>Pre-requisite Unit</w:t>
      </w:r>
    </w:p>
    <w:p w:rsidR="00000000" w:rsidRPr="00C613C0" w:rsidP="00AB66FB">
      <w:pPr>
        <w:pStyle w:val="BodyText"/>
      </w:pPr>
      <w:r w:rsidRPr="00C613C0">
        <w:t xml:space="preserve">CPCPCM2043 Carry out WHS requirements </w:t>
      </w:r>
    </w:p>
    <w:p w:rsidR="00000000" w:rsidRPr="00C613C0" w:rsidP="00C613C0">
      <w:pPr>
        <w:pStyle w:val="Heading1"/>
      </w:pPr>
      <w:bookmarkStart w:id="4" w:name="O_1204778"/>
      <w:bookmarkEnd w:id="4"/>
      <w:r w:rsidRPr="00C613C0">
        <w:t>Unit Sector</w:t>
      </w:r>
    </w:p>
    <w:p w:rsidR="00000000" w:rsidRPr="00C613C0" w:rsidP="00AB66FB">
      <w:pPr>
        <w:pStyle w:val="BodyText"/>
      </w:pPr>
      <w:r w:rsidRPr="00C613C0">
        <w:t>Plumbing</w:t>
      </w:r>
    </w:p>
    <w:p w:rsidR="00000000" w:rsidRPr="00C613C0" w:rsidP="00C613C0">
      <w:pPr>
        <w:pStyle w:val="Heading1"/>
      </w:pPr>
      <w:bookmarkStart w:id="5" w:name="O_1204777"/>
      <w:bookmarkEnd w:id="5"/>
      <w:r w:rsidRPr="00C613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Elements describe t</w:t>
            </w:r>
            <w:r w:rsidRPr="00C613C0">
              <w:t>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Performance criteria describe what needs to be done to demonstrate achievement of the element.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Obtain, read and apply special hazard systems requirements from relevant job plans and specifications, codes, Australian Standards, manufacturer’s specifications and jurisdictional requirements.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 xml:space="preserve">Identify and apply workplace policies and procedures, </w:t>
            </w:r>
            <w:r w:rsidRPr="00C613C0">
              <w:t>organisational work health and safety (WHS) and environmental requirements.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Create a materials list and collect components.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Select and check the serviceability of appropriate tools and equipment including personal protective equipment (PPE).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Prepare work area to support efficient installation of special hazard extinguishing systems.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Decommission gaseous agent containers and actuation devices.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Confirm and isolate all interface systems and put in place appropriate signage, lock-off and documentation.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 xml:space="preserve">Physically disconnect manual, electrical and mechanical actuation devices. 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Identify and disconnect pneumatic actuation devices and pilot and slave tubes and fittings.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Connect transport caps on all outlets, plugs and locking devices, according to manufacturer’s specifications.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 xml:space="preserve">Disconnect container bank manifold connection components. 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Install transport caps on valve outlets.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Organise removal and transportation of gaseous agent containers to storage or reclaim facility.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Complete documentation and decommissioning sign-off requirements and confirm with relevant persons.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Install and test special hazard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Set out system and install fixings.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 xml:space="preserve">Check pipe supports and install pipes, fittings, nozzles </w:t>
            </w:r>
            <w:r w:rsidRPr="00C613C0">
              <w:t>and components.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Perform piping system pressure testing.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Connect cylinder manifold and cylinder hoses.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Connect cylinder supports and cylinders and secure in brackets.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Remove transport caps and connect cylinder hoses.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 xml:space="preserve">Connect actuators. 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4.8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Complete documentation according to relevant regulatory requirements.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Clear the work area, and dispose of, reuse or recycle materials in accordance with state and territory legislation and workplace policies and procedures.</w:t>
            </w:r>
          </w:p>
        </w:tc>
      </w:tr>
      <w:tr w:rsidTr="00C613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3C0">
            <w:pPr>
              <w:pStyle w:val="BodyText"/>
              <w:rPr>
                <w:lang w:val="en-NZ"/>
              </w:rPr>
            </w:pPr>
            <w:r w:rsidRPr="00C613C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3C0" w:rsidP="00C613C0">
            <w:pPr>
              <w:pStyle w:val="BodyText"/>
            </w:pPr>
            <w:r w:rsidRPr="00C613C0">
              <w:t>Clean tools and equipment, check for serviceability, and report any damage, and store and secure.</w:t>
            </w:r>
          </w:p>
        </w:tc>
      </w:tr>
    </w:tbl>
    <w:p w:rsidR="00000000" w:rsidRPr="00C613C0" w:rsidP="00C613C0">
      <w:pPr>
        <w:pStyle w:val="BodyText"/>
      </w:pPr>
    </w:p>
    <w:p w:rsidR="00000000" w:rsidRPr="00C613C0" w:rsidP="00C613C0">
      <w:pPr>
        <w:pStyle w:val="AllowPageBreak"/>
      </w:pPr>
    </w:p>
    <w:p w:rsidR="00000000" w:rsidRPr="00C613C0" w:rsidP="00C613C0">
      <w:pPr>
        <w:pStyle w:val="Heading1"/>
      </w:pPr>
      <w:bookmarkStart w:id="6" w:name="O_1204776"/>
      <w:bookmarkEnd w:id="6"/>
      <w:r w:rsidRPr="00C613C0">
        <w:t>Foundation Skills</w:t>
      </w:r>
    </w:p>
    <w:p w:rsidR="00000000" w:rsidRPr="00C613C0" w:rsidP="00AB66FB">
      <w:pPr>
        <w:pStyle w:val="BodyText"/>
      </w:pPr>
      <w:r w:rsidRPr="00C613C0">
        <w:t xml:space="preserve">Foundation skills essential to performance are explicit in the performance criteria of this unit of competency. </w:t>
      </w:r>
    </w:p>
    <w:p w:rsidR="00000000" w:rsidRPr="00C613C0" w:rsidP="00C613C0">
      <w:pPr>
        <w:pStyle w:val="Heading1"/>
      </w:pPr>
      <w:bookmarkStart w:id="7" w:name="O_1204775"/>
      <w:bookmarkEnd w:id="7"/>
      <w:r w:rsidRPr="00C613C0">
        <w:t>Unit Mapping Information</w:t>
      </w:r>
    </w:p>
    <w:p w:rsidR="00000000" w:rsidRPr="00C613C0" w:rsidP="00AB66FB">
      <w:pPr>
        <w:pStyle w:val="BodyText"/>
      </w:pPr>
      <w:r w:rsidRPr="00C613C0">
        <w:t>Supersedes and is equivalent to CPCPFS3036A Install special hazard systems.</w:t>
      </w:r>
    </w:p>
    <w:p w:rsidR="00000000" w:rsidRPr="00C613C0" w:rsidP="00C613C0">
      <w:pPr>
        <w:pStyle w:val="Heading1"/>
      </w:pPr>
      <w:bookmarkStart w:id="8" w:name="O_1204782"/>
      <w:bookmarkEnd w:id="8"/>
      <w:r w:rsidRPr="00C613C0">
        <w:t>Links</w:t>
      </w:r>
    </w:p>
    <w:p w:rsidR="00000000" w:rsidRPr="00C613C0" w:rsidP="00AB66FB">
      <w:pPr>
        <w:pStyle w:val="BodyText"/>
      </w:pPr>
      <w:r w:rsidRPr="00C613C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B08F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613C0" w:rsidP="00C613C0"/>
    <w:sectPr w:rsidSect="00C613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3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3C0" w:rsidRPr="00AB66FB" w:rsidP="00AB66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3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6FB" w:rsidP="00C613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66FB" w:rsidP="00C613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B66FB" w:rsidP="00C613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3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6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3C0" w:rsidRPr="00AB66FB" w:rsidP="00AB66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3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6FB" w:rsidRPr="002D2AF8" w:rsidP="00C613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CPCPFS3036 Install special hazard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B66FB" w:rsidP="00C613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5084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F298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3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3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3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3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3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3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3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3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3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3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3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3C0"/>
  </w:style>
  <w:style w:type="character" w:customStyle="1" w:styleId="Heading1Char">
    <w:name w:val="Heading 1 Char"/>
    <w:basedOn w:val="DefaultParagraphFont"/>
    <w:link w:val="Heading1"/>
    <w:rsid w:val="00C613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3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3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13C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613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3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13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3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3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3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3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3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3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3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3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3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3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3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3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3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3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3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3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3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3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13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13C0"/>
    <w:rPr>
      <w:b/>
      <w:spacing w:val="0"/>
    </w:rPr>
  </w:style>
  <w:style w:type="paragraph" w:customStyle="1" w:styleId="SuperTitle">
    <w:name w:val="SuperTitle"/>
    <w:basedOn w:val="Title"/>
    <w:rsid w:val="00C613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3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3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13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13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3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3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3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3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3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3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3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3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13C0"/>
    <w:rPr>
      <w:i/>
    </w:rPr>
  </w:style>
  <w:style w:type="paragraph" w:styleId="Caption">
    <w:name w:val="caption"/>
    <w:basedOn w:val="BodyText"/>
    <w:next w:val="Normal"/>
    <w:qFormat/>
    <w:rsid w:val="00C613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3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3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3C0"/>
  </w:style>
  <w:style w:type="paragraph" w:styleId="TableofFigures">
    <w:name w:val="table of figures"/>
    <w:basedOn w:val="Normal"/>
    <w:next w:val="Normal"/>
    <w:semiHidden/>
    <w:rsid w:val="00C613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3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13C0"/>
    <w:rPr>
      <w:rFonts w:ascii="Wingdings" w:hAnsi="Wingdings"/>
    </w:rPr>
  </w:style>
  <w:style w:type="paragraph" w:customStyle="1" w:styleId="TableHeading">
    <w:name w:val="Table Heading"/>
    <w:basedOn w:val="HeadingBase"/>
    <w:rsid w:val="00C613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3C0"/>
    <w:rPr>
      <w:color w:val="0033CC"/>
      <w:u w:val="none"/>
    </w:rPr>
  </w:style>
  <w:style w:type="paragraph" w:customStyle="1" w:styleId="BodyTextRight">
    <w:name w:val="Body Text Right"/>
    <w:basedOn w:val="BodyText"/>
    <w:rsid w:val="00C613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3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3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3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3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3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3C0"/>
    <w:rPr>
      <w:sz w:val="32"/>
    </w:rPr>
  </w:style>
  <w:style w:type="paragraph" w:customStyle="1" w:styleId="HeadingProcedure">
    <w:name w:val="Heading Procedure"/>
    <w:basedOn w:val="HeadingBase"/>
    <w:next w:val="Normal"/>
    <w:rsid w:val="00C613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3C0"/>
    <w:pPr>
      <w:spacing w:before="60" w:after="60"/>
    </w:pPr>
  </w:style>
  <w:style w:type="paragraph" w:styleId="ListContinue">
    <w:name w:val="List Continue"/>
    <w:basedOn w:val="List"/>
    <w:rsid w:val="00C613C0"/>
    <w:pPr>
      <w:ind w:firstLine="0"/>
    </w:pPr>
  </w:style>
  <w:style w:type="paragraph" w:customStyle="1" w:styleId="ListNote">
    <w:name w:val="List Note"/>
    <w:basedOn w:val="List"/>
    <w:rsid w:val="00C613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3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3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3C0"/>
    <w:rPr>
      <w:rFonts w:ascii="Courier New" w:hAnsi="Courier New"/>
    </w:rPr>
  </w:style>
  <w:style w:type="paragraph" w:customStyle="1" w:styleId="NoteBullet">
    <w:name w:val="Note Bullet"/>
    <w:basedOn w:val="Note"/>
    <w:rsid w:val="00C613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3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3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3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3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13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3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3C0"/>
    <w:rPr>
      <w:b/>
      <w:smallCaps/>
    </w:rPr>
  </w:style>
  <w:style w:type="paragraph" w:customStyle="1" w:styleId="TableListNumber">
    <w:name w:val="Table List Number"/>
    <w:basedOn w:val="ListNumber"/>
    <w:rsid w:val="00C613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3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3C0"/>
    <w:pPr>
      <w:numPr>
        <w:numId w:val="8"/>
      </w:numPr>
    </w:pPr>
  </w:style>
  <w:style w:type="paragraph" w:customStyle="1" w:styleId="ListAlpha2">
    <w:name w:val="List Alpha 2"/>
    <w:basedOn w:val="List2"/>
    <w:rsid w:val="00C613C0"/>
    <w:pPr>
      <w:numPr>
        <w:numId w:val="7"/>
      </w:numPr>
    </w:pPr>
  </w:style>
  <w:style w:type="paragraph" w:styleId="List2">
    <w:name w:val="List 2"/>
    <w:basedOn w:val="BodyText"/>
    <w:rsid w:val="00C613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3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3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3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3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3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13C0"/>
    <w:pPr>
      <w:numPr>
        <w:numId w:val="3"/>
      </w:numPr>
    </w:pPr>
  </w:style>
  <w:style w:type="paragraph" w:styleId="ListContinue2">
    <w:name w:val="List Continue 2"/>
    <w:basedOn w:val="List2"/>
    <w:rsid w:val="00C613C0"/>
    <w:pPr>
      <w:ind w:firstLine="0"/>
    </w:pPr>
  </w:style>
  <w:style w:type="paragraph" w:styleId="ListContinue3">
    <w:name w:val="List Continue 3"/>
    <w:basedOn w:val="List3"/>
    <w:rsid w:val="00C613C0"/>
    <w:pPr>
      <w:ind w:left="1021" w:firstLine="0"/>
    </w:pPr>
  </w:style>
  <w:style w:type="paragraph" w:styleId="ListContinue4">
    <w:name w:val="List Continue 4"/>
    <w:basedOn w:val="List4"/>
    <w:rsid w:val="00C613C0"/>
    <w:pPr>
      <w:ind w:firstLine="0"/>
    </w:pPr>
  </w:style>
  <w:style w:type="paragraph" w:styleId="ListContinue5">
    <w:name w:val="List Continue 5"/>
    <w:basedOn w:val="List5"/>
    <w:rsid w:val="00C613C0"/>
    <w:pPr>
      <w:ind w:firstLine="0"/>
    </w:pPr>
  </w:style>
  <w:style w:type="paragraph" w:styleId="ListNumber3">
    <w:name w:val="List Number 3"/>
    <w:basedOn w:val="List3"/>
    <w:rsid w:val="00C613C0"/>
    <w:pPr>
      <w:numPr>
        <w:numId w:val="4"/>
      </w:numPr>
    </w:pPr>
  </w:style>
  <w:style w:type="paragraph" w:styleId="ListNumber4">
    <w:name w:val="List Number 4"/>
    <w:basedOn w:val="List4"/>
    <w:rsid w:val="00C613C0"/>
    <w:pPr>
      <w:numPr>
        <w:numId w:val="5"/>
      </w:numPr>
    </w:pPr>
  </w:style>
  <w:style w:type="paragraph" w:styleId="ListNumber5">
    <w:name w:val="List Number 5"/>
    <w:basedOn w:val="List5"/>
    <w:rsid w:val="00C613C0"/>
    <w:pPr>
      <w:numPr>
        <w:numId w:val="6"/>
      </w:numPr>
    </w:pPr>
  </w:style>
  <w:style w:type="paragraph" w:styleId="BlockText">
    <w:name w:val="Block Text"/>
    <w:basedOn w:val="Normal"/>
    <w:rsid w:val="00C613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3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3C0"/>
    <w:rPr>
      <w:sz w:val="16"/>
      <w:vertAlign w:val="superscript"/>
    </w:rPr>
  </w:style>
  <w:style w:type="character" w:customStyle="1" w:styleId="Symbols">
    <w:name w:val="Symbols"/>
    <w:basedOn w:val="DefaultParagraphFont"/>
    <w:rsid w:val="00C613C0"/>
    <w:rPr>
      <w:rFonts w:ascii="Symbol" w:hAnsi="Symbol"/>
    </w:rPr>
  </w:style>
  <w:style w:type="character" w:customStyle="1" w:styleId="MenuOptions">
    <w:name w:val="Menu Options"/>
    <w:basedOn w:val="DefaultParagraphFont"/>
    <w:rsid w:val="00C613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3C0"/>
    <w:rPr>
      <w:b/>
    </w:rPr>
  </w:style>
  <w:style w:type="character" w:customStyle="1" w:styleId="Underlined">
    <w:name w:val="Underlined"/>
    <w:basedOn w:val="DefaultParagraphFont"/>
    <w:rsid w:val="00C613C0"/>
    <w:rPr>
      <w:u w:val="single"/>
    </w:rPr>
  </w:style>
  <w:style w:type="paragraph" w:customStyle="1" w:styleId="TableBodyTextRight">
    <w:name w:val="Table Body Text Right"/>
    <w:basedOn w:val="TableBodyText"/>
    <w:rsid w:val="00C613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3C0"/>
    <w:rPr>
      <w:sz w:val="18"/>
    </w:rPr>
  </w:style>
  <w:style w:type="paragraph" w:customStyle="1" w:styleId="BodySmallRight">
    <w:name w:val="Body Small Right"/>
    <w:basedOn w:val="BodyTextRight"/>
    <w:rsid w:val="00C613C0"/>
    <w:rPr>
      <w:sz w:val="18"/>
      <w:szCs w:val="18"/>
    </w:rPr>
  </w:style>
  <w:style w:type="paragraph" w:customStyle="1" w:styleId="MarginEdition">
    <w:name w:val="Margin Edition"/>
    <w:basedOn w:val="MarginNote"/>
    <w:rsid w:val="00C613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3C0"/>
    <w:rPr>
      <w:sz w:val="2"/>
      <w:szCs w:val="2"/>
    </w:rPr>
  </w:style>
  <w:style w:type="character" w:customStyle="1" w:styleId="Small">
    <w:name w:val="Small"/>
    <w:basedOn w:val="DefaultParagraphFont"/>
    <w:rsid w:val="00C613C0"/>
    <w:rPr>
      <w:sz w:val="16"/>
    </w:rPr>
  </w:style>
  <w:style w:type="paragraph" w:customStyle="1" w:styleId="WideTable">
    <w:name w:val="Wide Table"/>
    <w:basedOn w:val="Normal"/>
    <w:rsid w:val="00C613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3C0"/>
  </w:style>
  <w:style w:type="paragraph" w:styleId="Quote">
    <w:name w:val="Quote"/>
    <w:basedOn w:val="Heading1"/>
    <w:link w:val="QuoteChar"/>
    <w:qFormat/>
    <w:rsid w:val="00C613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3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3C0"/>
    <w:pPr>
      <w:pageBreakBefore/>
    </w:pPr>
  </w:style>
  <w:style w:type="paragraph" w:customStyle="1" w:styleId="Border">
    <w:name w:val="Border"/>
    <w:basedOn w:val="Normal"/>
    <w:qFormat/>
    <w:rsid w:val="00C613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3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3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3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3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3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3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3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3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3C0"/>
    <w:rPr>
      <w:u w:val="single"/>
    </w:rPr>
  </w:style>
  <w:style w:type="character" w:customStyle="1" w:styleId="BoldandItalics">
    <w:name w:val="Bold and Italics"/>
    <w:qFormat/>
    <w:rsid w:val="00C613C0"/>
    <w:rPr>
      <w:b/>
      <w:i/>
      <w:u w:val="none"/>
    </w:rPr>
  </w:style>
  <w:style w:type="paragraph" w:styleId="BalloonText">
    <w:name w:val="Balloon Text"/>
    <w:basedOn w:val="Normal"/>
    <w:link w:val="BalloonTextChar"/>
    <w:rsid w:val="00C613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3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3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3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3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3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3C0"/>
    <w:pPr>
      <w:spacing w:before="0" w:after="0"/>
    </w:pPr>
  </w:style>
  <w:style w:type="paragraph" w:customStyle="1" w:styleId="BodyTextBold">
    <w:name w:val="Body Text Bold"/>
    <w:basedOn w:val="BodyText"/>
    <w:qFormat/>
    <w:rsid w:val="00C613C0"/>
    <w:rPr>
      <w:b/>
    </w:rPr>
  </w:style>
  <w:style w:type="character" w:styleId="Hyperlink">
    <w:name w:val="Hyperlink"/>
    <w:basedOn w:val="DefaultParagraphFont"/>
    <w:uiPriority w:val="99"/>
    <w:unhideWhenUsed/>
    <w:rsid w:val="00AB66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591</Words>
  <Characters>3861</Characters>
  <Application>Microsoft Office Word</Application>
  <DocSecurity>0</DocSecurity>
  <Lines>193</Lines>
  <Paragraphs>105</Paragraphs>
  <ScaleCrop>false</ScaleCrop>
  <Company>Author-it Software Corporation Ltd.</Company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CPCPFS3036 Install special hazard systems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2024-12-24T01:37:00Z</dcterms:created>
  <dcterms:modified xsi:type="dcterms:W3CDTF">2024-12-24T01:37:00Z</dcterms:modified>
</cp:coreProperties>
</file>