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E0B" w:rsidP="00BF5E0B">
      <w:pPr>
        <w:pStyle w:val="Title"/>
      </w:pPr>
      <w:r>
        <w:fldChar w:fldCharType="begin"/>
      </w:r>
      <w:r>
        <w:instrText xml:space="preserve"> TITLE   \* MERGEFORMAT </w:instrText>
      </w:r>
      <w:r>
        <w:fldChar w:fldCharType="separate"/>
      </w:r>
      <w:r>
        <w:t>CPCPDR2026 Install prefabricated inspection openings and inspection chambers</w:t>
      </w:r>
      <w:r>
        <w:fldChar w:fldCharType="end"/>
      </w:r>
    </w:p>
    <w:p w:rsidR="00BF5E0B" w:rsidP="00BF5E0B">
      <w:pPr>
        <w:pStyle w:val="Version"/>
        <w:sectPr w:rsidSect="005F1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1606" w:rsidP="005F1606">
      <w:pPr>
        <w:pStyle w:val="SuperHeading"/>
      </w:pPr>
      <w:r w:rsidRPr="005F1606">
        <w:t>CPCPDR2026 Install prefabricated inspection openings an</w:t>
      </w:r>
      <w:r w:rsidRPr="005F1606">
        <w:t>d inspection chambers</w:t>
      </w:r>
    </w:p>
    <w:p w:rsidR="00000000" w:rsidRPr="005F1606" w:rsidP="005F1606">
      <w:pPr>
        <w:pStyle w:val="Heading1"/>
      </w:pPr>
      <w:bookmarkStart w:id="1" w:name="O_1159430"/>
      <w:bookmarkEnd w:id="1"/>
      <w:r w:rsidRPr="005F1606">
        <w:t>Modification History</w:t>
      </w:r>
    </w:p>
    <w:tbl>
      <w:tblPr>
        <w:tblW w:w="0" w:type="auto"/>
        <w:tblLayout w:type="fixed"/>
        <w:tblCellMar>
          <w:left w:w="62" w:type="dxa"/>
          <w:right w:w="62" w:type="dxa"/>
        </w:tblCellMar>
        <w:tblLook w:val="0000"/>
      </w:tblPr>
      <w:tblGrid>
        <w:gridCol w:w="1310"/>
        <w:gridCol w:w="7508"/>
      </w:tblGrid>
      <w:tr w:rsidTr="005F1606">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Release 2</w:t>
            </w:r>
          </w:p>
        </w:tc>
        <w:tc>
          <w:tcPr>
            <w:tcW w:w="7508" w:type="dxa"/>
            <w:tcBorders>
              <w:top w:val="nil"/>
              <w:left w:val="nil"/>
              <w:bottom w:val="nil"/>
              <w:right w:val="nil"/>
            </w:tcBorders>
            <w:tcMar>
              <w:top w:w="0" w:type="dxa"/>
              <w:left w:w="62" w:type="dxa"/>
              <w:bottom w:w="0" w:type="dxa"/>
              <w:right w:w="62" w:type="dxa"/>
            </w:tcMar>
          </w:tcPr>
          <w:p w:rsidR="00000000" w:rsidRPr="005F1606" w:rsidP="005F1606">
            <w:pPr>
              <w:pStyle w:val="BodyText"/>
            </w:pPr>
            <w:r w:rsidRPr="005F1606">
              <w:t>This version first released with CPC Construction, Plumbing and Services Training Package Release 5.1.</w:t>
            </w:r>
          </w:p>
          <w:p w:rsidR="00000000" w:rsidP="005F1606">
            <w:pPr>
              <w:pStyle w:val="BodyText"/>
              <w:rPr>
                <w:lang w:val="en-NZ"/>
              </w:rPr>
            </w:pPr>
            <w:r w:rsidRPr="005F1606">
              <w:t>Changes to Elements and Performance Criteria 3.2.</w:t>
            </w:r>
          </w:p>
        </w:tc>
      </w:tr>
      <w:tr w:rsidTr="005F1606">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Release 1</w:t>
            </w:r>
          </w:p>
        </w:tc>
        <w:tc>
          <w:tcPr>
            <w:tcW w:w="7508" w:type="dxa"/>
            <w:tcBorders>
              <w:top w:val="nil"/>
              <w:left w:val="nil"/>
              <w:bottom w:val="nil"/>
              <w:right w:val="nil"/>
            </w:tcBorders>
            <w:tcMar>
              <w:top w:w="0" w:type="dxa"/>
              <w:left w:w="62" w:type="dxa"/>
              <w:bottom w:w="0" w:type="dxa"/>
              <w:right w:w="62" w:type="dxa"/>
            </w:tcMar>
          </w:tcPr>
          <w:p w:rsidR="00000000" w:rsidRPr="005F1606" w:rsidP="005F1606">
            <w:pPr>
              <w:pStyle w:val="BodyText"/>
            </w:pPr>
            <w:r w:rsidRPr="005F1606">
              <w:t>This version first released with CPC Construction, Plumbing and Services Training Package Release 5.0.</w:t>
            </w:r>
          </w:p>
          <w:p w:rsidR="00000000" w:rsidRPr="005F1606" w:rsidP="005F1606">
            <w:pPr>
              <w:pStyle w:val="BodyText"/>
            </w:pPr>
            <w:r w:rsidRPr="005F1606">
              <w:t>Supersedes and is equivalent to CPCPDR2026A Install prefabricated inspection openings and enclosures.  Updated to meet the Standards for Training Package</w:t>
            </w:r>
            <w:r w:rsidRPr="005F1606">
              <w:t>s 2012.</w:t>
            </w:r>
          </w:p>
        </w:tc>
      </w:tr>
    </w:tbl>
    <w:p w:rsidR="00000000" w:rsidRPr="005F1606" w:rsidP="005F1606">
      <w:pPr>
        <w:pStyle w:val="BodyText"/>
      </w:pPr>
    </w:p>
    <w:p w:rsidR="00000000" w:rsidRPr="005F1606" w:rsidP="005F1606">
      <w:pPr>
        <w:pStyle w:val="AllowPageBreak"/>
      </w:pPr>
    </w:p>
    <w:p w:rsidR="00000000" w:rsidRPr="005F1606" w:rsidP="005F1606">
      <w:pPr>
        <w:pStyle w:val="Heading1"/>
      </w:pPr>
      <w:bookmarkStart w:id="2" w:name="O_1159429"/>
      <w:bookmarkEnd w:id="2"/>
      <w:r w:rsidRPr="005F1606">
        <w:t>Application</w:t>
      </w:r>
    </w:p>
    <w:p w:rsidR="00000000" w:rsidRPr="005F1606" w:rsidP="00BF5E0B">
      <w:pPr>
        <w:pStyle w:val="BodyText"/>
      </w:pPr>
      <w:r w:rsidRPr="005F1606">
        <w:t>This unit specifies the skills and knowledge required to install prefabricated inspection openings and inspection chambers in new or existing domestic or commercials contexts.</w:t>
      </w:r>
    </w:p>
    <w:p w:rsidR="00000000" w:rsidRPr="005F1606" w:rsidP="00BF5E0B">
      <w:pPr>
        <w:pStyle w:val="BodyText"/>
      </w:pPr>
      <w:r w:rsidRPr="005F1606">
        <w:t>In some jurisdictions, this unit of com</w:t>
      </w:r>
      <w:r w:rsidRPr="005F1606">
        <w:t>petency may form part of accreditation, licensing, legislative, regulatory or certification requirements.</w:t>
      </w:r>
    </w:p>
    <w:p w:rsidR="00000000" w:rsidRPr="005F1606" w:rsidP="005F1606">
      <w:pPr>
        <w:pStyle w:val="Heading1"/>
      </w:pPr>
      <w:bookmarkStart w:id="3" w:name="O_1159428"/>
      <w:bookmarkEnd w:id="3"/>
      <w:r w:rsidRPr="005F1606">
        <w:t>Pre-requisite Unit</w:t>
      </w:r>
    </w:p>
    <w:p w:rsidR="00000000" w:rsidRPr="005F1606" w:rsidP="00BF5E0B">
      <w:pPr>
        <w:pStyle w:val="BodyText"/>
      </w:pPr>
      <w:r w:rsidRPr="005F1606">
        <w:t>CPCPCM2043 Carry out WHS requirements</w:t>
      </w:r>
    </w:p>
    <w:p w:rsidR="00000000" w:rsidRPr="005F1606" w:rsidP="005F1606">
      <w:pPr>
        <w:pStyle w:val="Heading1"/>
      </w:pPr>
      <w:bookmarkStart w:id="4" w:name="O_1159427"/>
      <w:bookmarkEnd w:id="4"/>
      <w:r w:rsidRPr="005F1606">
        <w:t>Unit Sector</w:t>
      </w:r>
    </w:p>
    <w:p w:rsidR="00000000" w:rsidRPr="005F1606" w:rsidP="00BF5E0B">
      <w:pPr>
        <w:pStyle w:val="BodyText"/>
      </w:pPr>
      <w:r w:rsidRPr="005F1606">
        <w:t>Plumbing</w:t>
      </w:r>
    </w:p>
    <w:p w:rsidR="00000000" w:rsidRPr="005F1606" w:rsidP="005F1606">
      <w:pPr>
        <w:pStyle w:val="Heading1"/>
      </w:pPr>
      <w:bookmarkStart w:id="5" w:name="O_1159426"/>
      <w:bookmarkEnd w:id="5"/>
      <w:r w:rsidRPr="005F160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F160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Performance criteria describe what needs to be done to demonstrate achievement of the element.</w:t>
            </w:r>
          </w:p>
        </w:tc>
      </w:tr>
      <w:tr w:rsidTr="005F16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1</w:t>
            </w:r>
          </w:p>
        </w:tc>
        <w:tc>
          <w:tcPr>
            <w:tcW w:w="2357" w:type="dxa"/>
            <w:vMerge w:val="restart"/>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Identify installation requirements.</w:t>
            </w:r>
          </w:p>
        </w:tc>
        <w:tc>
          <w:tcPr>
            <w:tcW w:w="804"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1.1</w:t>
            </w:r>
          </w:p>
        </w:tc>
        <w:tc>
          <w:tcPr>
            <w:tcW w:w="5659"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Access, read and determine prefabricated</w:t>
            </w:r>
            <w:r w:rsidRPr="005F1606">
              <w:t xml:space="preserve"> inspection openings and chamber installation methods from relevant job plans and specifications, codes, Australian standards, manufacturer’s specifications and jurisdictional requirements.</w:t>
            </w:r>
          </w:p>
        </w:tc>
      </w:tr>
      <w:tr w:rsidTr="005F1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1.2</w:t>
            </w:r>
          </w:p>
        </w:tc>
        <w:tc>
          <w:tcPr>
            <w:tcW w:w="5659"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Identify and apply workplace policies and procedures, work health and safety (WHS) and environmental requirements.</w:t>
            </w:r>
          </w:p>
        </w:tc>
      </w:tr>
      <w:tr w:rsidTr="005F16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1606">
            <w:pPr>
              <w:pStyle w:val="BodyText"/>
              <w:rPr>
                <w:lang w:val="en-NZ"/>
              </w:rPr>
            </w:pPr>
          </w:p>
        </w:tc>
      </w:tr>
      <w:tr w:rsidTr="005F16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2</w:t>
            </w:r>
          </w:p>
        </w:tc>
        <w:tc>
          <w:tcPr>
            <w:tcW w:w="2357" w:type="dxa"/>
            <w:vMerge w:val="restart"/>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Prepare for work.</w:t>
            </w:r>
          </w:p>
        </w:tc>
        <w:tc>
          <w:tcPr>
            <w:tcW w:w="804"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2.1</w:t>
            </w:r>
          </w:p>
        </w:tc>
        <w:tc>
          <w:tcPr>
            <w:tcW w:w="5659"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Create a materials list and collect materials.</w:t>
            </w:r>
          </w:p>
        </w:tc>
      </w:tr>
      <w:tr w:rsidTr="005F1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2.2</w:t>
            </w:r>
          </w:p>
        </w:tc>
        <w:tc>
          <w:tcPr>
            <w:tcW w:w="5659"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Select appropriate tools and equipment, including personal protective equipment (PPE).</w:t>
            </w:r>
          </w:p>
        </w:tc>
      </w:tr>
      <w:tr w:rsidTr="005F16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1606">
            <w:pPr>
              <w:pStyle w:val="BodyText"/>
              <w:rPr>
                <w:lang w:val="en-NZ"/>
              </w:rPr>
            </w:pPr>
          </w:p>
        </w:tc>
      </w:tr>
      <w:tr w:rsidTr="005F16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3</w:t>
            </w:r>
          </w:p>
        </w:tc>
        <w:tc>
          <w:tcPr>
            <w:tcW w:w="2357" w:type="dxa"/>
            <w:vMerge w:val="restart"/>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Install prefabricated inspection openings and enclosures.</w:t>
            </w:r>
          </w:p>
        </w:tc>
        <w:tc>
          <w:tcPr>
            <w:tcW w:w="804"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3.1</w:t>
            </w:r>
          </w:p>
        </w:tc>
        <w:tc>
          <w:tcPr>
            <w:tcW w:w="5659"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Mark out and excavate site and prepare for installation according to relevant job plans and specifications, codes, Australian standards, manufacturer’s specifications and jurisdictional requirements.</w:t>
            </w:r>
          </w:p>
        </w:tc>
      </w:tr>
      <w:tr w:rsidTr="005F1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3.2</w:t>
            </w:r>
          </w:p>
        </w:tc>
        <w:tc>
          <w:tcPr>
            <w:tcW w:w="5659"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Install prefabricated concrete or polymer inspection opening and chamber, including the connection of inlet and outlet pipes according to relevant job plans and specifications, codes, Australian standards, manufacturer’s specifications and jurisdictional r</w:t>
            </w:r>
            <w:r w:rsidRPr="005F1606">
              <w:t>equirements.</w:t>
            </w:r>
          </w:p>
        </w:tc>
      </w:tr>
      <w:tr w:rsidTr="005F16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1606">
            <w:pPr>
              <w:pStyle w:val="BodyText"/>
              <w:rPr>
                <w:lang w:val="en-NZ"/>
              </w:rPr>
            </w:pPr>
          </w:p>
        </w:tc>
      </w:tr>
      <w:tr w:rsidTr="005F16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4</w:t>
            </w:r>
          </w:p>
        </w:tc>
        <w:tc>
          <w:tcPr>
            <w:tcW w:w="2357" w:type="dxa"/>
            <w:vMerge w:val="restart"/>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Clean up.</w:t>
            </w:r>
          </w:p>
        </w:tc>
        <w:tc>
          <w:tcPr>
            <w:tcW w:w="804"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4.1</w:t>
            </w:r>
          </w:p>
        </w:tc>
        <w:tc>
          <w:tcPr>
            <w:tcW w:w="5659"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Clear the work area, and dispose of, reuse or recycle materials in accordance with state and territory legislation and workplace policies and procedures.</w:t>
            </w:r>
          </w:p>
        </w:tc>
      </w:tr>
      <w:tr w:rsidTr="005F1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4.2</w:t>
            </w:r>
          </w:p>
        </w:tc>
        <w:tc>
          <w:tcPr>
            <w:tcW w:w="5659" w:type="dxa"/>
            <w:tcBorders>
              <w:top w:val="nil"/>
              <w:left w:val="nil"/>
              <w:bottom w:val="nil"/>
              <w:right w:val="nil"/>
            </w:tcBorders>
            <w:tcMar>
              <w:top w:w="0" w:type="dxa"/>
              <w:left w:w="62" w:type="dxa"/>
              <w:bottom w:w="0" w:type="dxa"/>
              <w:right w:w="62" w:type="dxa"/>
            </w:tcMar>
          </w:tcPr>
          <w:p w:rsidR="00000000" w:rsidRPr="005F1606" w:rsidP="005F1606">
            <w:pPr>
              <w:pStyle w:val="BodyText"/>
            </w:pPr>
            <w:r w:rsidRPr="005F1606">
              <w:t>Clean tools and equipment, check for serviceability and report any damage, and store and secure.</w:t>
            </w:r>
          </w:p>
        </w:tc>
      </w:tr>
    </w:tbl>
    <w:p w:rsidR="00000000" w:rsidRPr="005F1606" w:rsidP="005F1606">
      <w:pPr>
        <w:pStyle w:val="BodyText"/>
      </w:pPr>
    </w:p>
    <w:p w:rsidR="00000000" w:rsidRPr="005F1606" w:rsidP="005F1606">
      <w:pPr>
        <w:pStyle w:val="AllowPageBreak"/>
      </w:pPr>
    </w:p>
    <w:p w:rsidR="00000000" w:rsidRPr="005F1606" w:rsidP="005F1606">
      <w:pPr>
        <w:pStyle w:val="Heading1"/>
      </w:pPr>
      <w:bookmarkStart w:id="6" w:name="O_1159425"/>
      <w:bookmarkEnd w:id="6"/>
      <w:r w:rsidRPr="005F1606">
        <w:t>Foundation Skills</w:t>
      </w:r>
    </w:p>
    <w:p w:rsidR="00000000" w:rsidRPr="005F1606" w:rsidP="00BF5E0B">
      <w:pPr>
        <w:pStyle w:val="BodyText"/>
      </w:pPr>
      <w:r w:rsidRPr="005F1606">
        <w:t xml:space="preserve">Foundation skills essential to performance are explicit in the performance criteria of this unit of competency. </w:t>
      </w:r>
    </w:p>
    <w:p w:rsidR="00000000" w:rsidRPr="005F1606" w:rsidP="005F1606">
      <w:pPr>
        <w:pStyle w:val="Heading1"/>
      </w:pPr>
      <w:bookmarkStart w:id="7" w:name="O_1159424"/>
      <w:bookmarkEnd w:id="7"/>
      <w:r w:rsidRPr="005F1606">
        <w:t>Unit Mapping Information</w:t>
      </w:r>
    </w:p>
    <w:p w:rsidR="00000000" w:rsidRPr="005F1606" w:rsidP="00BF5E0B">
      <w:pPr>
        <w:pStyle w:val="BodyText"/>
      </w:pPr>
      <w:r w:rsidRPr="005F1606">
        <w:t>Supersedes and is equivalent to CPCPDR2026A Install prefabricated inspection openings and enclosures.</w:t>
      </w:r>
    </w:p>
    <w:p w:rsidR="00000000" w:rsidRPr="005F1606" w:rsidP="005F1606">
      <w:pPr>
        <w:pStyle w:val="Heading1"/>
      </w:pPr>
      <w:bookmarkStart w:id="8" w:name="O_1159431"/>
      <w:bookmarkEnd w:id="8"/>
      <w:r w:rsidRPr="005F1606">
        <w:t>Links</w:t>
      </w:r>
    </w:p>
    <w:p w:rsidR="00000000" w:rsidRPr="005F1606" w:rsidP="00BF5E0B">
      <w:pPr>
        <w:pStyle w:val="BodyText"/>
      </w:pPr>
      <w:r w:rsidRPr="005F160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07655">
        <w:rPr>
          <w:rStyle w:val="Hyperlink"/>
        </w:rPr>
        <w:t>https://vetnet.gov.au/Pages/TrainingDocs.aspx?q=7e15fa6a-68b8-4097-b099-030a5569b1ad</w:t>
      </w:r>
      <w:r>
        <w:fldChar w:fldCharType="end"/>
      </w:r>
    </w:p>
    <w:p w:rsidR="00000000" w:rsidRPr="005F1606" w:rsidP="00BF5E0B">
      <w:pPr>
        <w:pStyle w:val="BodyText"/>
        <w:sectPr w:rsidSect="005F1606">
          <w:headerReference w:type="default" r:id="rId10"/>
          <w:footerReference w:type="default" r:id="rId11"/>
          <w:pgSz w:w="11908" w:h="16833"/>
          <w:pgMar w:top="1702" w:right="1418" w:bottom="1702" w:left="1418" w:header="992" w:footer="992" w:gutter="0"/>
          <w:cols w:space="720"/>
          <w:noEndnote/>
          <w:docGrid w:linePitch="299"/>
        </w:sectPr>
      </w:pPr>
    </w:p>
    <w:p w:rsidR="00000000" w:rsidRPr="005F1606" w:rsidP="005F1606">
      <w:pPr>
        <w:pStyle w:val="SuperHeading"/>
      </w:pPr>
      <w:r w:rsidRPr="005F1606">
        <w:t>Assessment Requirements for CPCPDR2026 Install prefabricated inspection openings and inspection chambers</w:t>
      </w:r>
    </w:p>
    <w:p w:rsidR="00000000" w:rsidRPr="005F1606" w:rsidP="005F1606">
      <w:pPr>
        <w:pStyle w:val="Heading1"/>
      </w:pPr>
      <w:bookmarkStart w:id="9" w:name="O_1159422"/>
      <w:bookmarkEnd w:id="9"/>
      <w:r w:rsidRPr="005F1606">
        <w:t>Modifi</w:t>
      </w:r>
      <w:r w:rsidRPr="005F1606">
        <w:t>cation History</w:t>
      </w:r>
    </w:p>
    <w:tbl>
      <w:tblPr>
        <w:tblW w:w="0" w:type="auto"/>
        <w:tblLayout w:type="fixed"/>
        <w:tblCellMar>
          <w:left w:w="62" w:type="dxa"/>
          <w:right w:w="62" w:type="dxa"/>
        </w:tblCellMar>
        <w:tblLook w:val="0000"/>
      </w:tblPr>
      <w:tblGrid>
        <w:gridCol w:w="1310"/>
        <w:gridCol w:w="7508"/>
      </w:tblGrid>
      <w:tr w:rsidTr="005F1606">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Release 2</w:t>
            </w:r>
          </w:p>
        </w:tc>
        <w:tc>
          <w:tcPr>
            <w:tcW w:w="7508" w:type="dxa"/>
            <w:tcBorders>
              <w:top w:val="nil"/>
              <w:left w:val="nil"/>
              <w:bottom w:val="nil"/>
              <w:right w:val="nil"/>
            </w:tcBorders>
            <w:tcMar>
              <w:top w:w="0" w:type="dxa"/>
              <w:left w:w="62" w:type="dxa"/>
              <w:bottom w:w="0" w:type="dxa"/>
              <w:right w:w="62" w:type="dxa"/>
            </w:tcMar>
          </w:tcPr>
          <w:p w:rsidR="00000000" w:rsidRPr="005F1606" w:rsidP="005F1606">
            <w:pPr>
              <w:pStyle w:val="BodyText"/>
            </w:pPr>
            <w:r w:rsidRPr="005F1606">
              <w:t>This version first released with CPC Construction, Plumbing and Services Training Package Release 5.1.</w:t>
            </w:r>
          </w:p>
          <w:p w:rsidR="00000000" w:rsidP="005F1606">
            <w:pPr>
              <w:pStyle w:val="BodyText"/>
              <w:rPr>
                <w:lang w:val="en-NZ"/>
              </w:rPr>
            </w:pPr>
            <w:r w:rsidRPr="005F1606">
              <w:t>Changes to Elements and Performance Criteria 3.2.</w:t>
            </w:r>
          </w:p>
        </w:tc>
      </w:tr>
      <w:tr w:rsidTr="005F1606">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F1606">
            <w:pPr>
              <w:pStyle w:val="BodyText"/>
              <w:rPr>
                <w:lang w:val="en-NZ"/>
              </w:rPr>
            </w:pPr>
            <w:r w:rsidRPr="005F1606">
              <w:t>Release 1</w:t>
            </w:r>
          </w:p>
        </w:tc>
        <w:tc>
          <w:tcPr>
            <w:tcW w:w="7508" w:type="dxa"/>
            <w:tcBorders>
              <w:top w:val="nil"/>
              <w:left w:val="nil"/>
              <w:bottom w:val="nil"/>
              <w:right w:val="nil"/>
            </w:tcBorders>
            <w:tcMar>
              <w:top w:w="0" w:type="dxa"/>
              <w:left w:w="62" w:type="dxa"/>
              <w:bottom w:w="0" w:type="dxa"/>
              <w:right w:w="62" w:type="dxa"/>
            </w:tcMar>
          </w:tcPr>
          <w:p w:rsidR="00000000" w:rsidRPr="005F1606" w:rsidP="005F1606">
            <w:pPr>
              <w:pStyle w:val="BodyText"/>
            </w:pPr>
            <w:r w:rsidRPr="005F1606">
              <w:t>This version first released with CPC Construction, Plumbing and Services Training Package Release 5.0.</w:t>
            </w:r>
          </w:p>
          <w:p w:rsidR="00000000" w:rsidRPr="005F1606" w:rsidP="005F1606">
            <w:pPr>
              <w:pStyle w:val="BodyText"/>
            </w:pPr>
            <w:r w:rsidRPr="005F1606">
              <w:t>Supersedes and is equivalent to CPCPDR2026A Install prefabricated inspection openings and enclosures.  Updated to meet the Standards for Training Package</w:t>
            </w:r>
            <w:r w:rsidRPr="005F1606">
              <w:t>s 2012.</w:t>
            </w:r>
          </w:p>
        </w:tc>
      </w:tr>
    </w:tbl>
    <w:p w:rsidR="00000000" w:rsidRPr="005F1606" w:rsidP="005F1606">
      <w:pPr>
        <w:pStyle w:val="BodyText"/>
      </w:pPr>
    </w:p>
    <w:p w:rsidR="00000000" w:rsidRPr="005F1606" w:rsidP="005F1606">
      <w:pPr>
        <w:pStyle w:val="AllowPageBreak"/>
      </w:pPr>
    </w:p>
    <w:p w:rsidR="00000000" w:rsidRPr="005F1606" w:rsidP="005F1606">
      <w:pPr>
        <w:pStyle w:val="Heading1"/>
      </w:pPr>
      <w:bookmarkStart w:id="10" w:name="O_1159421"/>
      <w:bookmarkEnd w:id="10"/>
      <w:r w:rsidRPr="005F1606">
        <w:t>Performance Evidence</w:t>
      </w:r>
    </w:p>
    <w:p w:rsidR="00000000" w:rsidRPr="005F1606" w:rsidP="00BF5E0B">
      <w:pPr>
        <w:pStyle w:val="BodyText"/>
      </w:pPr>
      <w:r w:rsidRPr="005F1606">
        <w:t>To demonstrate competency, a candidate must meet the performance criteria for this unit by:</w:t>
      </w:r>
    </w:p>
    <w:p w:rsidR="00000000" w:rsidRPr="005F1606" w:rsidP="005F1606">
      <w:pPr>
        <w:pStyle w:val="ListBullet"/>
      </w:pPr>
      <w:r w:rsidRPr="005F1606">
        <w:t xml:space="preserve">installing an approved prefabricated concrete or polymer inspection opening or chamber of a minimum depth of 500 </w:t>
      </w:r>
      <w:r w:rsidRPr="005F1606">
        <w:t>mm, including the connection of the inlet and outlet pipes below ground on a minimum of one stormwater and one sanitary drainage application.</w:t>
      </w:r>
    </w:p>
    <w:p w:rsidR="00000000" w:rsidRPr="005F1606" w:rsidP="005F1606">
      <w:pPr>
        <w:pStyle w:val="AllowPageBreak"/>
      </w:pPr>
    </w:p>
    <w:p w:rsidR="00000000" w:rsidRPr="005F1606" w:rsidP="005F1606">
      <w:pPr>
        <w:pStyle w:val="Heading1"/>
      </w:pPr>
      <w:bookmarkStart w:id="11" w:name="O_1159420"/>
      <w:bookmarkEnd w:id="11"/>
      <w:r w:rsidRPr="005F1606">
        <w:t>Knowledge Evidence</w:t>
      </w:r>
    </w:p>
    <w:p w:rsidR="00000000" w:rsidRPr="005F1606" w:rsidP="00BF5E0B">
      <w:pPr>
        <w:pStyle w:val="BodyText"/>
      </w:pPr>
      <w:r w:rsidRPr="005F1606">
        <w:t>To be competent in this unit, a candidate must demonstrate knowledge of:</w:t>
      </w:r>
    </w:p>
    <w:p w:rsidR="00000000" w:rsidRPr="005F1606" w:rsidP="005F1606">
      <w:pPr>
        <w:pStyle w:val="ListBullet"/>
      </w:pPr>
      <w:r w:rsidRPr="005F1606">
        <w:t>ch</w:t>
      </w:r>
      <w:r w:rsidRPr="005F1606">
        <w:t>aracteristics and application of pipe fittings and jointing techniques</w:t>
      </w:r>
    </w:p>
    <w:p w:rsidR="00000000" w:rsidRPr="005F1606" w:rsidP="005F1606">
      <w:pPr>
        <w:pStyle w:val="ListBullet"/>
      </w:pPr>
      <w:r w:rsidRPr="005F1606">
        <w:t>processes for installing prefabricated inspection openings and chambers</w:t>
      </w:r>
    </w:p>
    <w:p w:rsidR="00000000" w:rsidRPr="005F1606" w:rsidP="005F1606">
      <w:pPr>
        <w:pStyle w:val="ListBullet"/>
      </w:pPr>
      <w:r w:rsidRPr="005F1606">
        <w:t>characteristics, uses and limitations of concrete or polymer prefabricated inspection openings and chambers and other approved materials</w:t>
      </w:r>
    </w:p>
    <w:p w:rsidR="00000000" w:rsidRPr="005F1606" w:rsidP="005F1606">
      <w:pPr>
        <w:pStyle w:val="ListBullet"/>
      </w:pPr>
      <w:r w:rsidRPr="005F1606">
        <w:t>how to access relevant information, including relevant job plans and specifications, codes, Australian Standards, manuf</w:t>
      </w:r>
      <w:r w:rsidRPr="005F1606">
        <w:t>acturer’s specifications and jurisdictional requirements</w:t>
      </w:r>
    </w:p>
    <w:p w:rsidR="00000000" w:rsidRPr="005F1606" w:rsidP="005F1606">
      <w:pPr>
        <w:pStyle w:val="ListBullet"/>
      </w:pPr>
      <w:r w:rsidRPr="005F1606">
        <w:t>tools, materials and equipment used for installing prefabricated inspection openings and inspection chambers</w:t>
      </w:r>
    </w:p>
    <w:p w:rsidR="00000000" w:rsidRPr="005F1606" w:rsidP="005F1606">
      <w:pPr>
        <w:pStyle w:val="ListBullet"/>
      </w:pPr>
      <w:r w:rsidRPr="005F1606">
        <w:t>work health and safety (WHS) requirements for installing prefabricated inspection openings</w:t>
      </w:r>
      <w:r w:rsidRPr="005F1606">
        <w:t xml:space="preserve"> and inspection chambers.</w:t>
      </w:r>
    </w:p>
    <w:p w:rsidR="00000000" w:rsidRPr="005F1606" w:rsidP="005F1606">
      <w:pPr>
        <w:pStyle w:val="AllowPageBreak"/>
      </w:pPr>
    </w:p>
    <w:p w:rsidR="00000000" w:rsidRPr="005F1606" w:rsidP="005F1606">
      <w:pPr>
        <w:pStyle w:val="Heading1"/>
      </w:pPr>
      <w:bookmarkStart w:id="12" w:name="O_1159419"/>
      <w:bookmarkEnd w:id="12"/>
      <w:r w:rsidRPr="005F1606">
        <w:t>Assessment Conditions</w:t>
      </w:r>
    </w:p>
    <w:p w:rsidR="00000000" w:rsidRPr="005F1606" w:rsidP="00BF5E0B">
      <w:pPr>
        <w:pStyle w:val="BodyText"/>
      </w:pPr>
      <w:r w:rsidRPr="005F1606">
        <w:t xml:space="preserve">Assessors must satisfy the requirements for assessors listed in the Standards for Registered Training Organisations. </w:t>
      </w:r>
    </w:p>
    <w:p w:rsidR="00000000" w:rsidRPr="005F1606" w:rsidP="00BF5E0B">
      <w:pPr>
        <w:pStyle w:val="BodyText"/>
      </w:pPr>
      <w:r w:rsidRPr="005F1606">
        <w:t>This unit must be assessed in the workplace or a close simulation using</w:t>
      </w:r>
      <w:r w:rsidRPr="005F1606">
        <w:t xml:space="preserve"> realistic workplace conditions, materials, activities, responsibilities, procedures, safety requirements and environmental considerations.</w:t>
      </w:r>
    </w:p>
    <w:p w:rsidR="00000000" w:rsidRPr="005F1606" w:rsidP="005F1606">
      <w:pPr>
        <w:pStyle w:val="Heading1"/>
      </w:pPr>
      <w:bookmarkStart w:id="13" w:name="O_1159432"/>
      <w:bookmarkEnd w:id="13"/>
      <w:r w:rsidRPr="005F1606">
        <w:t>Links</w:t>
      </w:r>
    </w:p>
    <w:p w:rsidR="00000000" w:rsidRPr="005F1606" w:rsidP="00BF5E0B">
      <w:pPr>
        <w:pStyle w:val="BodyText"/>
      </w:pPr>
      <w:r w:rsidRPr="005F160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07655">
        <w:rPr>
          <w:rStyle w:val="Hyperlink"/>
        </w:rPr>
        <w:t>https://vetnet.gov.au/Pages/TrainingDocs.aspx?q=7e15fa6a-68b8-4097-b099-030a5569b1ad</w:t>
      </w:r>
      <w:r>
        <w:fldChar w:fldCharType="end"/>
      </w:r>
    </w:p>
    <w:p w:rsidR="00000000" w:rsidRPr="005F1606" w:rsidP="005F1606"/>
    <w:sectPr w:rsidSect="005F16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06" w:rsidRPr="00BF5E0B" w:rsidP="00BF5E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0B" w:rsidP="005F1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5E0B" w:rsidP="005F16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F5E0B" w:rsidP="005F16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06" w:rsidP="005F1606">
    <w:pPr>
      <w:pStyle w:val="Footer"/>
      <w:framePr w:wrap="around"/>
    </w:pPr>
    <w:r>
      <w:fldChar w:fldCharType="begin"/>
    </w:r>
    <w:r>
      <w:instrText xml:space="preserve"> DOCPROPERTY  Subject  \* MERGEFORMAT </w:instrText>
    </w:r>
    <w:r>
      <w:fldChar w:fldCharType="separate"/>
    </w:r>
    <w:r w:rsidR="00BF5E0B">
      <w:t>Approved</w:t>
    </w:r>
    <w:r w:rsidR="00BF5E0B">
      <w:fldChar w:fldCharType="end"/>
    </w:r>
    <w:r>
      <w:tab/>
      <w:t xml:space="preserve">Page </w:t>
    </w:r>
    <w:r>
      <w:fldChar w:fldCharType="begin"/>
    </w:r>
    <w:r>
      <w:instrText xml:space="preserve"> PAGE  \* Arabic  \* MERGEFORMAT </w:instrText>
    </w:r>
    <w:r>
      <w:fldChar w:fldCharType="separate"/>
    </w:r>
    <w:r w:rsidR="00BF5E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5E0B">
      <w:rPr>
        <w:noProof/>
      </w:rPr>
      <w:t>4</w:t>
    </w:r>
    <w:r>
      <w:rPr>
        <w:noProof/>
      </w:rPr>
      <w:fldChar w:fldCharType="end"/>
    </w:r>
  </w:p>
  <w:p w:rsidR="005F1606" w:rsidP="005F1606">
    <w:pPr>
      <w:pStyle w:val="Footer"/>
      <w:framePr w:wrap="around"/>
    </w:pPr>
    <w:r>
      <w:t xml:space="preserve">© Commonwealth of Australia, </w:t>
    </w:r>
    <w:r>
      <w:fldChar w:fldCharType="begin"/>
    </w:r>
    <w:r>
      <w:instrText xml:space="preserve"> DATE  \@ "yyyy"  \* MERGEFORMAT </w:instrText>
    </w:r>
    <w:r>
      <w:fldChar w:fldCharType="separate"/>
    </w:r>
    <w:r w:rsidR="00BF5E0B">
      <w:rPr>
        <w:noProof/>
      </w:rPr>
      <w:t>2025</w:t>
    </w:r>
    <w:r>
      <w:fldChar w:fldCharType="end"/>
    </w:r>
    <w:r>
      <w:tab/>
    </w:r>
    <w:r>
      <w:fldChar w:fldCharType="begin"/>
    </w:r>
    <w:r>
      <w:instrText xml:space="preserve"> DOCPROPERTY  Author  \* MERGEFORMAT </w:instrText>
    </w:r>
    <w:r>
      <w:fldChar w:fldCharType="separate"/>
    </w:r>
    <w:r w:rsidR="00BF5E0B">
      <w:t>BuildSkills Australia</w:t>
    </w:r>
    <w:r w:rsidR="00BF5E0B">
      <w:fldChar w:fldCharType="end"/>
    </w:r>
  </w:p>
  <w:p w:rsidR="005F1606" w:rsidP="005F1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606" w:rsidRPr="00BF5E0B" w:rsidP="00BF5E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0B" w:rsidRPr="002D2AF8" w:rsidP="005F1606">
    <w:pPr>
      <w:pStyle w:val="Header"/>
      <w:framePr w:wrap="around"/>
    </w:pPr>
    <w:r>
      <w:fldChar w:fldCharType="begin"/>
    </w:r>
    <w:r>
      <w:instrText xml:space="preserve"> TITLE   \* MERGEFORMAT </w:instrText>
    </w:r>
    <w:r>
      <w:fldChar w:fldCharType="separate"/>
    </w:r>
    <w:r>
      <w:t>CPCPDR2026 Install prefabricated inspection openings and inspection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5E0B" w:rsidP="005F16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06" w:rsidRPr="002D2AF8" w:rsidP="005F1606">
    <w:pPr>
      <w:pStyle w:val="Header"/>
      <w:framePr w:wrap="around"/>
    </w:pPr>
    <w:r>
      <w:fldChar w:fldCharType="begin"/>
    </w:r>
    <w:r>
      <w:instrText xml:space="preserve"> TITLE   \* MERGEFORMAT </w:instrText>
    </w:r>
    <w:r>
      <w:fldChar w:fldCharType="separate"/>
    </w:r>
    <w:r w:rsidR="00BF5E0B">
      <w:t>CPCPDR2026 Install prefabricated inspection openings and inspection chambers</w:t>
    </w:r>
    <w:r w:rsidR="00BF5E0B">
      <w:fldChar w:fldCharType="end"/>
    </w:r>
    <w:r>
      <w:tab/>
      <w:t xml:space="preserve">Date this document was generated: </w:t>
    </w:r>
    <w:r>
      <w:fldChar w:fldCharType="begin"/>
    </w:r>
    <w:r>
      <w:instrText xml:space="preserve"> CREATEDATE  \@ "d MMMM yyyy"  \* MERGEFORMAT </w:instrText>
    </w:r>
    <w:r>
      <w:fldChar w:fldCharType="separate"/>
    </w:r>
    <w:r w:rsidR="00BF5E0B">
      <w:rPr>
        <w:noProof/>
      </w:rPr>
      <w:t>2 March 2025</w:t>
    </w:r>
    <w:r>
      <w:fldChar w:fldCharType="end"/>
    </w:r>
  </w:p>
  <w:p w:rsidR="005F1606" w:rsidP="005F1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96F8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E0F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606"/>
    <w:pPr>
      <w:spacing w:before="360" w:after="60"/>
      <w:outlineLvl w:val="0"/>
    </w:pPr>
    <w:rPr>
      <w:sz w:val="32"/>
    </w:rPr>
  </w:style>
  <w:style w:type="paragraph" w:styleId="Heading2">
    <w:name w:val="heading 2"/>
    <w:basedOn w:val="HeadingBase"/>
    <w:next w:val="BodyText"/>
    <w:link w:val="Heading2Char"/>
    <w:qFormat/>
    <w:rsid w:val="005F1606"/>
    <w:pPr>
      <w:keepLines/>
      <w:spacing w:before="240" w:after="120"/>
      <w:outlineLvl w:val="1"/>
    </w:pPr>
    <w:rPr>
      <w:sz w:val="28"/>
      <w:szCs w:val="40"/>
    </w:rPr>
  </w:style>
  <w:style w:type="paragraph" w:styleId="Heading3">
    <w:name w:val="heading 3"/>
    <w:basedOn w:val="HeadingBase"/>
    <w:next w:val="BodyText"/>
    <w:link w:val="Heading3Char"/>
    <w:qFormat/>
    <w:rsid w:val="005F1606"/>
    <w:pPr>
      <w:spacing w:before="180" w:after="120"/>
      <w:outlineLvl w:val="2"/>
    </w:pPr>
    <w:rPr>
      <w:spacing w:val="-10"/>
      <w:kern w:val="32"/>
    </w:rPr>
  </w:style>
  <w:style w:type="paragraph" w:styleId="Heading4">
    <w:name w:val="heading 4"/>
    <w:basedOn w:val="HeadingBase"/>
    <w:next w:val="BodyText"/>
    <w:link w:val="Heading4Char"/>
    <w:qFormat/>
    <w:rsid w:val="005F1606"/>
    <w:pPr>
      <w:spacing w:before="160" w:after="120"/>
      <w:outlineLvl w:val="3"/>
    </w:pPr>
    <w:rPr>
      <w:sz w:val="22"/>
    </w:rPr>
  </w:style>
  <w:style w:type="paragraph" w:styleId="Heading5">
    <w:name w:val="heading 5"/>
    <w:basedOn w:val="HeadingBase"/>
    <w:next w:val="Normal"/>
    <w:link w:val="Heading5Char"/>
    <w:qFormat/>
    <w:rsid w:val="005F1606"/>
    <w:pPr>
      <w:spacing w:before="80"/>
      <w:outlineLvl w:val="4"/>
    </w:pPr>
    <w:rPr>
      <w:color w:val="918585"/>
      <w:sz w:val="20"/>
    </w:rPr>
  </w:style>
  <w:style w:type="paragraph" w:styleId="Heading6">
    <w:name w:val="heading 6"/>
    <w:basedOn w:val="HeadingBase"/>
    <w:next w:val="Normal"/>
    <w:link w:val="Heading6Char"/>
    <w:qFormat/>
    <w:rsid w:val="005F1606"/>
    <w:pPr>
      <w:spacing w:before="60"/>
      <w:outlineLvl w:val="5"/>
    </w:pPr>
    <w:rPr>
      <w:color w:val="918585"/>
      <w:sz w:val="20"/>
    </w:rPr>
  </w:style>
  <w:style w:type="paragraph" w:styleId="Heading7">
    <w:name w:val="heading 7"/>
    <w:basedOn w:val="Normal"/>
    <w:next w:val="Normal"/>
    <w:link w:val="Heading7Char"/>
    <w:qFormat/>
    <w:rsid w:val="005F1606"/>
    <w:pPr>
      <w:ind w:left="720"/>
      <w:outlineLvl w:val="6"/>
    </w:pPr>
    <w:rPr>
      <w:i/>
    </w:rPr>
  </w:style>
  <w:style w:type="paragraph" w:styleId="Heading8">
    <w:name w:val="heading 8"/>
    <w:basedOn w:val="Normal"/>
    <w:next w:val="Normal"/>
    <w:link w:val="Heading8Char"/>
    <w:qFormat/>
    <w:rsid w:val="005F1606"/>
    <w:pPr>
      <w:ind w:left="720"/>
      <w:outlineLvl w:val="7"/>
    </w:pPr>
    <w:rPr>
      <w:i/>
    </w:rPr>
  </w:style>
  <w:style w:type="paragraph" w:styleId="Heading9">
    <w:name w:val="heading 9"/>
    <w:basedOn w:val="Normal"/>
    <w:next w:val="Normal"/>
    <w:link w:val="Heading9Char"/>
    <w:qFormat/>
    <w:rsid w:val="005F1606"/>
    <w:pPr>
      <w:ind w:left="720"/>
      <w:outlineLvl w:val="8"/>
    </w:pPr>
    <w:rPr>
      <w:i/>
    </w:rPr>
  </w:style>
  <w:style w:type="character" w:default="1" w:styleId="DefaultParagraphFont">
    <w:name w:val="Default Paragraph Font"/>
    <w:uiPriority w:val="1"/>
    <w:unhideWhenUsed/>
    <w:rsid w:val="005F1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606"/>
  </w:style>
  <w:style w:type="character" w:customStyle="1" w:styleId="Heading1Char">
    <w:name w:val="Heading 1 Char"/>
    <w:basedOn w:val="DefaultParagraphFont"/>
    <w:link w:val="Heading1"/>
    <w:rsid w:val="005F1606"/>
    <w:rPr>
      <w:rFonts w:ascii="Times New Roman" w:eastAsia="Times New Roman" w:hAnsi="Times New Roman" w:cs="Times New Roman"/>
      <w:b/>
      <w:sz w:val="32"/>
      <w:szCs w:val="20"/>
      <w:lang w:eastAsia="en-US"/>
    </w:rPr>
  </w:style>
  <w:style w:type="paragraph" w:styleId="BodyText">
    <w:name w:val="Body Text"/>
    <w:basedOn w:val="Normal"/>
    <w:link w:val="BodyTextChar"/>
    <w:rsid w:val="005F1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606"/>
    <w:rPr>
      <w:rFonts w:ascii="Times New Roman" w:eastAsia="Times New Roman" w:hAnsi="Times New Roman" w:cs="Times New Roman"/>
      <w:sz w:val="24"/>
      <w:lang w:eastAsia="en-US"/>
    </w:rPr>
  </w:style>
  <w:style w:type="paragraph" w:styleId="ListBullet">
    <w:name w:val="List Bullet"/>
    <w:basedOn w:val="List"/>
    <w:rsid w:val="005F1606"/>
    <w:pPr>
      <w:numPr>
        <w:numId w:val="11"/>
      </w:numPr>
      <w:tabs>
        <w:tab w:val="clear" w:pos="340"/>
      </w:tabs>
      <w:spacing w:before="40" w:after="40"/>
    </w:pPr>
  </w:style>
  <w:style w:type="paragraph" w:customStyle="1" w:styleId="SuperHeading">
    <w:name w:val="SuperHeading"/>
    <w:basedOn w:val="Normal"/>
    <w:rsid w:val="005F1606"/>
    <w:pPr>
      <w:spacing w:before="240" w:after="120"/>
      <w:outlineLvl w:val="0"/>
    </w:pPr>
    <w:rPr>
      <w:rFonts w:ascii="Times New Roman" w:hAnsi="Times New Roman"/>
      <w:b/>
      <w:sz w:val="32"/>
    </w:rPr>
  </w:style>
  <w:style w:type="paragraph" w:customStyle="1" w:styleId="AllowPageBreak">
    <w:name w:val="AllowPageBreak"/>
    <w:rsid w:val="005F16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606"/>
    <w:rPr>
      <w:rFonts w:ascii="Courier New" w:eastAsia="Times New Roman" w:hAnsi="Courier New" w:cs="Times New Roman"/>
      <w:i/>
      <w:szCs w:val="20"/>
      <w:lang w:eastAsia="en-US"/>
    </w:rPr>
  </w:style>
  <w:style w:type="paragraph" w:customStyle="1" w:styleId="HeadingBase">
    <w:name w:val="Heading Base"/>
    <w:rsid w:val="005F1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606"/>
    <w:pPr>
      <w:tabs>
        <w:tab w:val="right" w:leader="dot" w:pos="9072"/>
      </w:tabs>
      <w:ind w:left="567"/>
    </w:pPr>
    <w:rPr>
      <w:szCs w:val="22"/>
    </w:rPr>
  </w:style>
  <w:style w:type="paragraph" w:customStyle="1" w:styleId="TOCBase">
    <w:name w:val="TOC Base"/>
    <w:rsid w:val="005F1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606"/>
    <w:pPr>
      <w:tabs>
        <w:tab w:val="right" w:leader="dot" w:pos="9072"/>
      </w:tabs>
      <w:spacing w:before="40" w:after="40"/>
      <w:ind w:left="284"/>
    </w:pPr>
    <w:rPr>
      <w:rFonts w:ascii="Times New Roman" w:hAnsi="Times New Roman"/>
    </w:rPr>
  </w:style>
  <w:style w:type="paragraph" w:styleId="TOC1">
    <w:name w:val="toc 1"/>
    <w:basedOn w:val="TOCBase"/>
    <w:next w:val="Normal"/>
    <w:rsid w:val="005F1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606"/>
    <w:rPr>
      <w:rFonts w:ascii="Times New Roman" w:eastAsia="Times New Roman" w:hAnsi="Times New Roman" w:cs="Times New Roman"/>
      <w:sz w:val="16"/>
      <w:lang w:eastAsia="en-US"/>
    </w:rPr>
  </w:style>
  <w:style w:type="paragraph" w:styleId="Title">
    <w:name w:val="Title"/>
    <w:basedOn w:val="HeadingBase"/>
    <w:link w:val="TitleChar"/>
    <w:qFormat/>
    <w:rsid w:val="005F1606"/>
    <w:pPr>
      <w:spacing w:before="5040"/>
      <w:jc w:val="center"/>
    </w:pPr>
    <w:rPr>
      <w:sz w:val="48"/>
      <w:szCs w:val="72"/>
      <w:lang w:val="en-US"/>
    </w:rPr>
  </w:style>
  <w:style w:type="character" w:customStyle="1" w:styleId="TitleChar">
    <w:name w:val="Title Char"/>
    <w:basedOn w:val="DefaultParagraphFont"/>
    <w:link w:val="Title"/>
    <w:rsid w:val="005F1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606"/>
    <w:pPr>
      <w:tabs>
        <w:tab w:val="left" w:pos="3600"/>
        <w:tab w:val="left" w:pos="3958"/>
      </w:tabs>
    </w:pPr>
  </w:style>
  <w:style w:type="paragraph" w:styleId="List">
    <w:name w:val="List"/>
    <w:basedOn w:val="BodyText"/>
    <w:next w:val="BodyText"/>
    <w:rsid w:val="005F1606"/>
    <w:pPr>
      <w:tabs>
        <w:tab w:val="left" w:pos="340"/>
      </w:tabs>
      <w:spacing w:before="60" w:after="60"/>
      <w:ind w:left="340" w:hanging="340"/>
    </w:pPr>
  </w:style>
  <w:style w:type="paragraph" w:customStyle="1" w:styleId="Note">
    <w:name w:val="Note"/>
    <w:basedOn w:val="BodyText"/>
    <w:rsid w:val="005F16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1606"/>
    <w:rPr>
      <w:b/>
      <w:spacing w:val="0"/>
    </w:rPr>
  </w:style>
  <w:style w:type="paragraph" w:customStyle="1" w:styleId="SuperTitle">
    <w:name w:val="SuperTitle"/>
    <w:basedOn w:val="Title"/>
    <w:rsid w:val="005F1606"/>
    <w:pPr>
      <w:framePr w:wrap="auto" w:hAnchor="text" w:y="6049"/>
    </w:pPr>
    <w:rPr>
      <w:color w:val="000000"/>
      <w:sz w:val="40"/>
    </w:rPr>
  </w:style>
  <w:style w:type="paragraph" w:customStyle="1" w:styleId="TOCTitle">
    <w:name w:val="TOCTitle"/>
    <w:basedOn w:val="Heading1"/>
    <w:rsid w:val="005F1606"/>
    <w:pPr>
      <w:spacing w:after="240"/>
      <w:jc w:val="center"/>
      <w:outlineLvl w:val="9"/>
    </w:pPr>
    <w:rPr>
      <w:caps/>
    </w:rPr>
  </w:style>
  <w:style w:type="paragraph" w:customStyle="1" w:styleId="Version">
    <w:name w:val="Version"/>
    <w:rsid w:val="005F16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1606"/>
    <w:pPr>
      <w:numPr>
        <w:numId w:val="12"/>
      </w:numPr>
      <w:tabs>
        <w:tab w:val="clear" w:pos="680"/>
      </w:tabs>
    </w:pPr>
  </w:style>
  <w:style w:type="paragraph" w:styleId="Index1">
    <w:name w:val="index 1"/>
    <w:basedOn w:val="Normal"/>
    <w:next w:val="Normal"/>
    <w:semiHidden/>
    <w:rsid w:val="005F1606"/>
    <w:pPr>
      <w:keepNext w:val="0"/>
      <w:tabs>
        <w:tab w:val="right" w:pos="4176"/>
      </w:tabs>
      <w:ind w:left="198" w:hanging="198"/>
    </w:pPr>
    <w:rPr>
      <w:rFonts w:ascii="Garamond" w:hAnsi="Garamond"/>
    </w:rPr>
  </w:style>
  <w:style w:type="paragraph" w:styleId="IndexHeading">
    <w:name w:val="index heading"/>
    <w:basedOn w:val="Normal"/>
    <w:next w:val="Index1"/>
    <w:semiHidden/>
    <w:rsid w:val="005F1606"/>
    <w:pPr>
      <w:spacing w:before="120" w:after="120"/>
    </w:pPr>
    <w:rPr>
      <w:rFonts w:ascii="Arial" w:hAnsi="Arial"/>
      <w:b/>
      <w:color w:val="918585"/>
      <w:sz w:val="24"/>
    </w:rPr>
  </w:style>
  <w:style w:type="paragraph" w:styleId="Header">
    <w:name w:val="header"/>
    <w:basedOn w:val="Normal"/>
    <w:link w:val="HeaderChar"/>
    <w:rsid w:val="005F1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606"/>
    <w:rPr>
      <w:rFonts w:ascii="Times New Roman" w:eastAsia="Times New Roman" w:hAnsi="Times New Roman" w:cs="Times New Roman"/>
      <w:sz w:val="16"/>
      <w:szCs w:val="20"/>
      <w:lang w:val="en-GB" w:eastAsia="en-US"/>
    </w:rPr>
  </w:style>
  <w:style w:type="paragraph" w:customStyle="1" w:styleId="Chapter">
    <w:name w:val="Chapter"/>
    <w:basedOn w:val="Normal"/>
    <w:rsid w:val="005F1606"/>
    <w:pPr>
      <w:spacing w:before="240"/>
    </w:pPr>
    <w:rPr>
      <w:rFonts w:ascii="Times New Roman" w:hAnsi="Times New Roman"/>
      <w:smallCaps/>
      <w:spacing w:val="80"/>
      <w:sz w:val="28"/>
    </w:rPr>
  </w:style>
  <w:style w:type="paragraph" w:customStyle="1" w:styleId="InChapter">
    <w:name w:val="InChapter"/>
    <w:basedOn w:val="Heading3"/>
    <w:rsid w:val="005F1606"/>
    <w:pPr>
      <w:spacing w:after="240"/>
      <w:outlineLvl w:val="9"/>
    </w:pPr>
    <w:rPr>
      <w:noProof/>
    </w:rPr>
  </w:style>
  <w:style w:type="paragraph" w:styleId="Index2">
    <w:name w:val="index 2"/>
    <w:basedOn w:val="Normal"/>
    <w:next w:val="Normal"/>
    <w:semiHidden/>
    <w:rsid w:val="005F1606"/>
    <w:pPr>
      <w:tabs>
        <w:tab w:val="right" w:pos="4176"/>
      </w:tabs>
      <w:ind w:left="568" w:hanging="284"/>
    </w:pPr>
    <w:rPr>
      <w:rFonts w:ascii="Garamond" w:hAnsi="Garamond"/>
    </w:rPr>
  </w:style>
  <w:style w:type="paragraph" w:customStyle="1" w:styleId="Byline">
    <w:name w:val="Byline"/>
    <w:rsid w:val="005F1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606"/>
    <w:pPr>
      <w:tabs>
        <w:tab w:val="clear" w:pos="3600"/>
        <w:tab w:val="clear" w:pos="3958"/>
      </w:tabs>
      <w:jc w:val="right"/>
    </w:pPr>
  </w:style>
  <w:style w:type="character" w:styleId="Emphasis">
    <w:name w:val="Emphasis"/>
    <w:basedOn w:val="DefaultParagraphFont"/>
    <w:qFormat/>
    <w:rsid w:val="005F1606"/>
    <w:rPr>
      <w:i/>
    </w:rPr>
  </w:style>
  <w:style w:type="paragraph" w:styleId="Caption">
    <w:name w:val="caption"/>
    <w:basedOn w:val="BodyText"/>
    <w:next w:val="Normal"/>
    <w:qFormat/>
    <w:rsid w:val="005F1606"/>
    <w:pPr>
      <w:framePr w:w="2268" w:hSpace="181" w:vSpace="181" w:wrap="around" w:vAnchor="text" w:hAnchor="page" w:x="1135" w:y="285" w:anchorLock="1"/>
    </w:pPr>
    <w:rPr>
      <w:i/>
    </w:rPr>
  </w:style>
  <w:style w:type="paragraph" w:customStyle="1" w:styleId="MiniTOCTitle">
    <w:name w:val="MiniTOCTitle"/>
    <w:basedOn w:val="Heading4"/>
    <w:rsid w:val="005F1606"/>
    <w:pPr>
      <w:spacing w:before="240"/>
      <w:outlineLvl w:val="9"/>
    </w:pPr>
    <w:rPr>
      <w:noProof/>
      <w:sz w:val="24"/>
    </w:rPr>
  </w:style>
  <w:style w:type="paragraph" w:customStyle="1" w:styleId="MiniTOCItem">
    <w:name w:val="MiniTOCItem"/>
    <w:basedOn w:val="ListBullet"/>
    <w:rsid w:val="005F1606"/>
    <w:pPr>
      <w:numPr>
        <w:numId w:val="0"/>
      </w:numPr>
      <w:tabs>
        <w:tab w:val="right" w:leader="dot" w:pos="6521"/>
      </w:tabs>
      <w:spacing w:before="0" w:after="0"/>
    </w:pPr>
  </w:style>
  <w:style w:type="paragraph" w:customStyle="1" w:styleId="TOFTitle">
    <w:name w:val="TOFTitle"/>
    <w:basedOn w:val="TOCTitle"/>
    <w:rsid w:val="005F1606"/>
  </w:style>
  <w:style w:type="paragraph" w:styleId="TableofFigures">
    <w:name w:val="table of figures"/>
    <w:basedOn w:val="Normal"/>
    <w:next w:val="Normal"/>
    <w:semiHidden/>
    <w:rsid w:val="005F1606"/>
    <w:pPr>
      <w:tabs>
        <w:tab w:val="right" w:leader="dot" w:pos="9072"/>
      </w:tabs>
      <w:ind w:left="970" w:hanging="403"/>
    </w:pPr>
    <w:rPr>
      <w:rFonts w:ascii="Times New Roman" w:hAnsi="Times New Roman"/>
      <w:b/>
    </w:rPr>
  </w:style>
  <w:style w:type="paragraph" w:styleId="ListNumber">
    <w:name w:val="List Number"/>
    <w:basedOn w:val="List"/>
    <w:rsid w:val="005F1606"/>
    <w:pPr>
      <w:numPr>
        <w:numId w:val="14"/>
      </w:numPr>
      <w:tabs>
        <w:tab w:val="clear" w:pos="340"/>
      </w:tabs>
    </w:pPr>
  </w:style>
  <w:style w:type="character" w:customStyle="1" w:styleId="WingdingSymbols">
    <w:name w:val="Wingding Symbols"/>
    <w:rsid w:val="005F1606"/>
    <w:rPr>
      <w:rFonts w:ascii="Wingdings" w:hAnsi="Wingdings"/>
    </w:rPr>
  </w:style>
  <w:style w:type="paragraph" w:customStyle="1" w:styleId="TableHeading">
    <w:name w:val="Table Heading"/>
    <w:basedOn w:val="HeadingBase"/>
    <w:rsid w:val="005F1606"/>
    <w:pPr>
      <w:keepLines/>
      <w:pBdr>
        <w:bottom w:val="single" w:sz="6" w:space="1" w:color="918585"/>
      </w:pBdr>
      <w:spacing w:before="240"/>
    </w:pPr>
  </w:style>
  <w:style w:type="character" w:customStyle="1" w:styleId="HotSpot">
    <w:name w:val="HotSpot"/>
    <w:rsid w:val="005F1606"/>
    <w:rPr>
      <w:color w:val="0033CC"/>
      <w:u w:val="none"/>
    </w:rPr>
  </w:style>
  <w:style w:type="paragraph" w:customStyle="1" w:styleId="BodyTextRight">
    <w:name w:val="Body Text Right"/>
    <w:basedOn w:val="BodyText"/>
    <w:rsid w:val="005F1606"/>
    <w:pPr>
      <w:spacing w:before="0" w:after="0"/>
      <w:jc w:val="right"/>
    </w:pPr>
  </w:style>
  <w:style w:type="paragraph" w:styleId="Index3">
    <w:name w:val="index 3"/>
    <w:basedOn w:val="ListNumber2"/>
    <w:next w:val="Normal"/>
    <w:semiHidden/>
    <w:rsid w:val="005F1606"/>
    <w:pPr>
      <w:numPr>
        <w:numId w:val="0"/>
      </w:numPr>
      <w:tabs>
        <w:tab w:val="right" w:leader="dot" w:pos="4176"/>
      </w:tabs>
    </w:pPr>
  </w:style>
  <w:style w:type="paragraph" w:styleId="ListNumber2">
    <w:name w:val="List Number 2"/>
    <w:basedOn w:val="List2"/>
    <w:rsid w:val="005F1606"/>
    <w:pPr>
      <w:numPr>
        <w:numId w:val="9"/>
      </w:numPr>
      <w:tabs>
        <w:tab w:val="clear" w:pos="1060"/>
      </w:tabs>
    </w:pPr>
  </w:style>
  <w:style w:type="paragraph" w:customStyle="1" w:styleId="MarginNote">
    <w:name w:val="Margin Note"/>
    <w:basedOn w:val="BodyText"/>
    <w:rsid w:val="005F1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606"/>
    <w:rPr>
      <w:sz w:val="32"/>
    </w:rPr>
  </w:style>
  <w:style w:type="paragraph" w:customStyle="1" w:styleId="HeadingProcedure">
    <w:name w:val="Heading Procedure"/>
    <w:basedOn w:val="HeadingBase"/>
    <w:next w:val="Normal"/>
    <w:rsid w:val="005F1606"/>
    <w:pPr>
      <w:tabs>
        <w:tab w:val="left" w:pos="0"/>
      </w:tabs>
      <w:spacing w:before="120" w:after="60"/>
    </w:pPr>
    <w:rPr>
      <w:i/>
      <w:color w:val="918585"/>
      <w:sz w:val="22"/>
    </w:rPr>
  </w:style>
  <w:style w:type="paragraph" w:customStyle="1" w:styleId="TableBodyText">
    <w:name w:val="Table Body Text"/>
    <w:basedOn w:val="BodyText"/>
    <w:rsid w:val="005F1606"/>
    <w:pPr>
      <w:spacing w:before="60" w:after="60"/>
    </w:pPr>
  </w:style>
  <w:style w:type="paragraph" w:styleId="ListContinue">
    <w:name w:val="List Continue"/>
    <w:basedOn w:val="List"/>
    <w:rsid w:val="005F1606"/>
    <w:pPr>
      <w:ind w:firstLine="0"/>
    </w:pPr>
  </w:style>
  <w:style w:type="paragraph" w:customStyle="1" w:styleId="ListNote">
    <w:name w:val="List Note"/>
    <w:basedOn w:val="List"/>
    <w:rsid w:val="005F1606"/>
    <w:pPr>
      <w:pBdr>
        <w:top w:val="single" w:sz="6" w:space="2" w:color="918585"/>
        <w:bottom w:val="single" w:sz="6" w:space="2" w:color="918585"/>
      </w:pBdr>
      <w:tabs>
        <w:tab w:val="left" w:pos="1021"/>
      </w:tabs>
      <w:ind w:firstLine="0"/>
    </w:pPr>
  </w:style>
  <w:style w:type="paragraph" w:customStyle="1" w:styleId="Warning">
    <w:name w:val="Warning"/>
    <w:basedOn w:val="BodyText"/>
    <w:rsid w:val="005F1606"/>
    <w:pPr>
      <w:shd w:val="clear" w:color="auto" w:fill="D9D9D9"/>
      <w:tabs>
        <w:tab w:val="left" w:pos="992"/>
      </w:tabs>
      <w:ind w:left="119" w:right="119"/>
    </w:pPr>
    <w:rPr>
      <w:sz w:val="20"/>
    </w:rPr>
  </w:style>
  <w:style w:type="paragraph" w:customStyle="1" w:styleId="MarginIcons">
    <w:name w:val="Margin Icons"/>
    <w:basedOn w:val="BodyText"/>
    <w:rsid w:val="005F1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606"/>
    <w:rPr>
      <w:rFonts w:ascii="Courier New" w:hAnsi="Courier New"/>
    </w:rPr>
  </w:style>
  <w:style w:type="paragraph" w:customStyle="1" w:styleId="NoteBullet">
    <w:name w:val="Note Bullet"/>
    <w:basedOn w:val="Note"/>
    <w:rsid w:val="005F1606"/>
    <w:pPr>
      <w:tabs>
        <w:tab w:val="clear" w:pos="680"/>
      </w:tabs>
      <w:spacing w:before="60" w:after="60"/>
    </w:pPr>
  </w:style>
  <w:style w:type="paragraph" w:customStyle="1" w:styleId="SubHeading2">
    <w:name w:val="SubHeading2"/>
    <w:basedOn w:val="HeadingBase"/>
    <w:rsid w:val="005F1606"/>
    <w:pPr>
      <w:spacing w:before="240" w:after="60"/>
    </w:pPr>
    <w:rPr>
      <w:sz w:val="20"/>
    </w:rPr>
  </w:style>
  <w:style w:type="paragraph" w:customStyle="1" w:styleId="SubHeading1">
    <w:name w:val="SubHeading1"/>
    <w:basedOn w:val="HeadingBase"/>
    <w:rsid w:val="005F1606"/>
    <w:pPr>
      <w:spacing w:before="240" w:after="60"/>
    </w:pPr>
    <w:rPr>
      <w:color w:val="918585"/>
      <w:sz w:val="22"/>
    </w:rPr>
  </w:style>
  <w:style w:type="paragraph" w:customStyle="1" w:styleId="SideHeading">
    <w:name w:val="Side Heading"/>
    <w:basedOn w:val="HeadingBase"/>
    <w:rsid w:val="005F1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606"/>
    <w:pPr>
      <w:numPr>
        <w:numId w:val="10"/>
      </w:numPr>
    </w:pPr>
  </w:style>
  <w:style w:type="paragraph" w:styleId="PlainText">
    <w:name w:val="Plain Text"/>
    <w:basedOn w:val="Normal"/>
    <w:link w:val="PlainTextChar"/>
    <w:rsid w:val="005F1606"/>
    <w:rPr>
      <w:sz w:val="20"/>
    </w:rPr>
  </w:style>
  <w:style w:type="character" w:customStyle="1" w:styleId="PlainTextChar">
    <w:name w:val="Plain Text Char"/>
    <w:basedOn w:val="DefaultParagraphFont"/>
    <w:link w:val="PlainText"/>
    <w:rsid w:val="005F1606"/>
    <w:rPr>
      <w:rFonts w:ascii="Courier New" w:eastAsia="Times New Roman" w:hAnsi="Courier New" w:cs="Times New Roman"/>
      <w:sz w:val="20"/>
      <w:szCs w:val="20"/>
      <w:lang w:eastAsia="en-US"/>
    </w:rPr>
  </w:style>
  <w:style w:type="character" w:customStyle="1" w:styleId="MenuOption">
    <w:name w:val="Menu Option"/>
    <w:basedOn w:val="DefaultParagraphFont"/>
    <w:rsid w:val="005F1606"/>
    <w:rPr>
      <w:b/>
      <w:smallCaps/>
    </w:rPr>
  </w:style>
  <w:style w:type="paragraph" w:customStyle="1" w:styleId="TableListNumber">
    <w:name w:val="Table List Number"/>
    <w:basedOn w:val="ListNumber"/>
    <w:rsid w:val="005F1606"/>
    <w:pPr>
      <w:numPr>
        <w:numId w:val="0"/>
      </w:numPr>
    </w:pPr>
  </w:style>
  <w:style w:type="paragraph" w:styleId="TOC4">
    <w:name w:val="toc 4"/>
    <w:basedOn w:val="TOCBase"/>
    <w:next w:val="Normal"/>
    <w:semiHidden/>
    <w:rsid w:val="005F1606"/>
    <w:pPr>
      <w:tabs>
        <w:tab w:val="right" w:leader="dot" w:pos="9071"/>
      </w:tabs>
      <w:ind w:left="1701"/>
    </w:pPr>
  </w:style>
  <w:style w:type="paragraph" w:customStyle="1" w:styleId="ListAlpha">
    <w:name w:val="List Alpha"/>
    <w:basedOn w:val="List"/>
    <w:rsid w:val="005F1606"/>
    <w:pPr>
      <w:numPr>
        <w:numId w:val="8"/>
      </w:numPr>
    </w:pPr>
  </w:style>
  <w:style w:type="paragraph" w:customStyle="1" w:styleId="ListAlpha2">
    <w:name w:val="List Alpha 2"/>
    <w:basedOn w:val="List2"/>
    <w:rsid w:val="005F1606"/>
    <w:pPr>
      <w:numPr>
        <w:numId w:val="7"/>
      </w:numPr>
    </w:pPr>
  </w:style>
  <w:style w:type="paragraph" w:styleId="List2">
    <w:name w:val="List 2"/>
    <w:basedOn w:val="BodyText"/>
    <w:rsid w:val="005F1606"/>
    <w:pPr>
      <w:tabs>
        <w:tab w:val="left" w:pos="680"/>
      </w:tabs>
      <w:spacing w:before="60" w:after="60"/>
      <w:ind w:left="680" w:hanging="340"/>
    </w:pPr>
  </w:style>
  <w:style w:type="paragraph" w:styleId="List3">
    <w:name w:val="List 3"/>
    <w:basedOn w:val="BodyText"/>
    <w:rsid w:val="005F1606"/>
    <w:pPr>
      <w:tabs>
        <w:tab w:val="left" w:pos="1021"/>
      </w:tabs>
      <w:spacing w:before="60" w:after="60"/>
      <w:ind w:left="1020" w:hanging="340"/>
    </w:pPr>
  </w:style>
  <w:style w:type="paragraph" w:styleId="List4">
    <w:name w:val="List 4"/>
    <w:basedOn w:val="BodyText"/>
    <w:rsid w:val="005F1606"/>
    <w:pPr>
      <w:tabs>
        <w:tab w:val="left" w:pos="1361"/>
      </w:tabs>
      <w:spacing w:before="60" w:after="60"/>
      <w:ind w:left="1361" w:hanging="340"/>
    </w:pPr>
  </w:style>
  <w:style w:type="paragraph" w:styleId="List5">
    <w:name w:val="List 5"/>
    <w:basedOn w:val="BodyText"/>
    <w:rsid w:val="005F1606"/>
    <w:pPr>
      <w:tabs>
        <w:tab w:val="left" w:pos="1701"/>
      </w:tabs>
      <w:spacing w:before="60" w:after="60"/>
      <w:ind w:left="1701" w:hanging="340"/>
    </w:pPr>
  </w:style>
  <w:style w:type="paragraph" w:styleId="ListBullet3">
    <w:name w:val="List Bullet 3"/>
    <w:basedOn w:val="List3"/>
    <w:rsid w:val="005F1606"/>
    <w:pPr>
      <w:numPr>
        <w:numId w:val="13"/>
      </w:numPr>
      <w:tabs>
        <w:tab w:val="clear" w:pos="1021"/>
      </w:tabs>
      <w:ind w:left="1037" w:hanging="357"/>
    </w:pPr>
  </w:style>
  <w:style w:type="paragraph" w:styleId="ListBullet4">
    <w:name w:val="List Bullet 4"/>
    <w:basedOn w:val="List4"/>
    <w:rsid w:val="005F1606"/>
    <w:pPr>
      <w:numPr>
        <w:numId w:val="2"/>
      </w:numPr>
      <w:tabs>
        <w:tab w:val="clear" w:pos="1361"/>
      </w:tabs>
    </w:pPr>
  </w:style>
  <w:style w:type="paragraph" w:styleId="ListBullet5">
    <w:name w:val="List Bullet 5"/>
    <w:basedOn w:val="List5"/>
    <w:rsid w:val="005F1606"/>
    <w:pPr>
      <w:numPr>
        <w:numId w:val="3"/>
      </w:numPr>
    </w:pPr>
  </w:style>
  <w:style w:type="paragraph" w:styleId="ListContinue2">
    <w:name w:val="List Continue 2"/>
    <w:basedOn w:val="List2"/>
    <w:rsid w:val="005F1606"/>
    <w:pPr>
      <w:ind w:firstLine="0"/>
    </w:pPr>
  </w:style>
  <w:style w:type="paragraph" w:styleId="ListContinue3">
    <w:name w:val="List Continue 3"/>
    <w:basedOn w:val="List3"/>
    <w:rsid w:val="005F1606"/>
    <w:pPr>
      <w:ind w:left="1021" w:firstLine="0"/>
    </w:pPr>
  </w:style>
  <w:style w:type="paragraph" w:styleId="ListContinue4">
    <w:name w:val="List Continue 4"/>
    <w:basedOn w:val="List4"/>
    <w:rsid w:val="005F1606"/>
    <w:pPr>
      <w:ind w:firstLine="0"/>
    </w:pPr>
  </w:style>
  <w:style w:type="paragraph" w:styleId="ListContinue5">
    <w:name w:val="List Continue 5"/>
    <w:basedOn w:val="List5"/>
    <w:rsid w:val="005F1606"/>
    <w:pPr>
      <w:ind w:firstLine="0"/>
    </w:pPr>
  </w:style>
  <w:style w:type="paragraph" w:styleId="ListNumber3">
    <w:name w:val="List Number 3"/>
    <w:basedOn w:val="List3"/>
    <w:rsid w:val="005F1606"/>
    <w:pPr>
      <w:numPr>
        <w:numId w:val="4"/>
      </w:numPr>
    </w:pPr>
  </w:style>
  <w:style w:type="paragraph" w:styleId="ListNumber4">
    <w:name w:val="List Number 4"/>
    <w:basedOn w:val="List4"/>
    <w:rsid w:val="005F1606"/>
    <w:pPr>
      <w:numPr>
        <w:numId w:val="5"/>
      </w:numPr>
    </w:pPr>
  </w:style>
  <w:style w:type="paragraph" w:styleId="ListNumber5">
    <w:name w:val="List Number 5"/>
    <w:basedOn w:val="List5"/>
    <w:rsid w:val="005F1606"/>
    <w:pPr>
      <w:numPr>
        <w:numId w:val="6"/>
      </w:numPr>
    </w:pPr>
  </w:style>
  <w:style w:type="paragraph" w:styleId="BlockText">
    <w:name w:val="Block Text"/>
    <w:basedOn w:val="Normal"/>
    <w:rsid w:val="005F1606"/>
    <w:pPr>
      <w:spacing w:after="120"/>
      <w:ind w:left="1440" w:right="1440"/>
    </w:pPr>
  </w:style>
  <w:style w:type="character" w:customStyle="1" w:styleId="Subscript">
    <w:name w:val="Subscript"/>
    <w:basedOn w:val="DefaultParagraphFont"/>
    <w:rsid w:val="005F1606"/>
    <w:rPr>
      <w:sz w:val="16"/>
      <w:vertAlign w:val="subscript"/>
    </w:rPr>
  </w:style>
  <w:style w:type="character" w:customStyle="1" w:styleId="Superscript">
    <w:name w:val="Superscript"/>
    <w:basedOn w:val="DefaultParagraphFont"/>
    <w:rsid w:val="005F1606"/>
    <w:rPr>
      <w:sz w:val="16"/>
      <w:vertAlign w:val="superscript"/>
    </w:rPr>
  </w:style>
  <w:style w:type="character" w:customStyle="1" w:styleId="Symbols">
    <w:name w:val="Symbols"/>
    <w:basedOn w:val="DefaultParagraphFont"/>
    <w:rsid w:val="005F1606"/>
    <w:rPr>
      <w:rFonts w:ascii="Symbol" w:hAnsi="Symbol"/>
    </w:rPr>
  </w:style>
  <w:style w:type="character" w:customStyle="1" w:styleId="MenuOptions">
    <w:name w:val="Menu Options"/>
    <w:basedOn w:val="DefaultParagraphFont"/>
    <w:rsid w:val="005F1606"/>
    <w:rPr>
      <w:rFonts w:ascii="Arial Narrow" w:hAnsi="Arial Narrow"/>
      <w:smallCaps/>
    </w:rPr>
  </w:style>
  <w:style w:type="character" w:customStyle="1" w:styleId="Buttons">
    <w:name w:val="Buttons"/>
    <w:basedOn w:val="DefaultParagraphFont"/>
    <w:rsid w:val="005F1606"/>
    <w:rPr>
      <w:b/>
    </w:rPr>
  </w:style>
  <w:style w:type="character" w:customStyle="1" w:styleId="Underlined">
    <w:name w:val="Underlined"/>
    <w:basedOn w:val="DefaultParagraphFont"/>
    <w:rsid w:val="005F1606"/>
    <w:rPr>
      <w:u w:val="single"/>
    </w:rPr>
  </w:style>
  <w:style w:type="paragraph" w:customStyle="1" w:styleId="TableBodyTextRight">
    <w:name w:val="Table Body Text Right"/>
    <w:basedOn w:val="TableBodyText"/>
    <w:rsid w:val="005F1606"/>
    <w:pPr>
      <w:widowControl w:val="0"/>
      <w:autoSpaceDE w:val="0"/>
      <w:autoSpaceDN w:val="0"/>
      <w:adjustRightInd w:val="0"/>
      <w:jc w:val="right"/>
    </w:pPr>
    <w:rPr>
      <w:rFonts w:cs="Arial"/>
      <w:szCs w:val="18"/>
    </w:rPr>
  </w:style>
  <w:style w:type="paragraph" w:customStyle="1" w:styleId="CopyrightText">
    <w:name w:val="Copyright Text"/>
    <w:basedOn w:val="BodyText"/>
    <w:rsid w:val="005F1606"/>
    <w:rPr>
      <w:sz w:val="18"/>
    </w:rPr>
  </w:style>
  <w:style w:type="paragraph" w:customStyle="1" w:styleId="BodySmallRight">
    <w:name w:val="Body Small Right"/>
    <w:basedOn w:val="BodyTextRight"/>
    <w:rsid w:val="005F1606"/>
    <w:rPr>
      <w:sz w:val="18"/>
      <w:szCs w:val="18"/>
    </w:rPr>
  </w:style>
  <w:style w:type="paragraph" w:customStyle="1" w:styleId="MarginEdition">
    <w:name w:val="Margin Edition"/>
    <w:basedOn w:val="MarginNote"/>
    <w:rsid w:val="005F1606"/>
    <w:pPr>
      <w:spacing w:before="0" w:after="0"/>
    </w:pPr>
    <w:rPr>
      <w:rFonts w:ascii="Times New Roman" w:hAnsi="Times New Roman"/>
      <w:color w:val="999999"/>
    </w:rPr>
  </w:style>
  <w:style w:type="paragraph" w:customStyle="1" w:styleId="Spacer">
    <w:name w:val="Spacer"/>
    <w:basedOn w:val="Normal"/>
    <w:rsid w:val="005F1606"/>
    <w:rPr>
      <w:sz w:val="2"/>
      <w:szCs w:val="2"/>
    </w:rPr>
  </w:style>
  <w:style w:type="character" w:customStyle="1" w:styleId="Small">
    <w:name w:val="Small"/>
    <w:basedOn w:val="DefaultParagraphFont"/>
    <w:rsid w:val="005F1606"/>
    <w:rPr>
      <w:sz w:val="16"/>
    </w:rPr>
  </w:style>
  <w:style w:type="paragraph" w:customStyle="1" w:styleId="WideTable">
    <w:name w:val="Wide Table"/>
    <w:basedOn w:val="Normal"/>
    <w:rsid w:val="005F1606"/>
    <w:pPr>
      <w:ind w:left="-1418"/>
    </w:pPr>
    <w:rPr>
      <w:sz w:val="2"/>
      <w:szCs w:val="2"/>
    </w:rPr>
  </w:style>
  <w:style w:type="character" w:styleId="PageNumber">
    <w:name w:val="page number"/>
    <w:basedOn w:val="DefaultParagraphFont"/>
    <w:rsid w:val="005F1606"/>
  </w:style>
  <w:style w:type="paragraph" w:styleId="Quote">
    <w:name w:val="Quote"/>
    <w:basedOn w:val="Heading1"/>
    <w:link w:val="QuoteChar"/>
    <w:qFormat/>
    <w:rsid w:val="005F1606"/>
    <w:rPr>
      <w:b w:val="0"/>
      <w:sz w:val="72"/>
      <w:szCs w:val="72"/>
      <w:lang w:val="en-NZ"/>
    </w:rPr>
  </w:style>
  <w:style w:type="character" w:customStyle="1" w:styleId="QuoteChar">
    <w:name w:val="Quote Char"/>
    <w:basedOn w:val="DefaultParagraphFont"/>
    <w:link w:val="Quote"/>
    <w:rsid w:val="005F1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606"/>
    <w:pPr>
      <w:pageBreakBefore/>
    </w:pPr>
  </w:style>
  <w:style w:type="paragraph" w:customStyle="1" w:styleId="Border">
    <w:name w:val="Border"/>
    <w:basedOn w:val="Normal"/>
    <w:qFormat/>
    <w:rsid w:val="005F1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606"/>
    <w:rPr>
      <w:b/>
      <w:bCs/>
      <w:i/>
      <w:iCs/>
      <w:color w:val="auto"/>
    </w:rPr>
  </w:style>
  <w:style w:type="paragraph" w:styleId="IntenseQuote">
    <w:name w:val="Intense Quote"/>
    <w:basedOn w:val="Normal"/>
    <w:next w:val="Normal"/>
    <w:link w:val="IntenseQuoteChar"/>
    <w:uiPriority w:val="30"/>
    <w:qFormat/>
    <w:rsid w:val="005F1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606"/>
    <w:rPr>
      <w:smallCaps/>
      <w:color w:val="auto"/>
      <w:u w:val="single"/>
    </w:rPr>
  </w:style>
  <w:style w:type="character" w:styleId="IntenseReference">
    <w:name w:val="Intense Reference"/>
    <w:basedOn w:val="DefaultParagraphFont"/>
    <w:uiPriority w:val="32"/>
    <w:qFormat/>
    <w:rsid w:val="005F1606"/>
    <w:rPr>
      <w:b/>
      <w:bCs/>
      <w:smallCaps/>
      <w:color w:val="auto"/>
      <w:spacing w:val="5"/>
      <w:u w:val="single"/>
    </w:rPr>
  </w:style>
  <w:style w:type="paragraph" w:customStyle="1" w:styleId="2ColumnHeading">
    <w:name w:val="2Column Heading"/>
    <w:basedOn w:val="BodyText"/>
    <w:qFormat/>
    <w:rsid w:val="005F1606"/>
    <w:pPr>
      <w:spacing w:after="60"/>
      <w:ind w:left="-2268"/>
    </w:pPr>
    <w:rPr>
      <w:b/>
    </w:rPr>
  </w:style>
  <w:style w:type="paragraph" w:customStyle="1" w:styleId="Heading1TOC">
    <w:name w:val="Heading1 TOC"/>
    <w:basedOn w:val="Normal"/>
    <w:qFormat/>
    <w:rsid w:val="005F1606"/>
    <w:pPr>
      <w:spacing w:before="240" w:after="120"/>
    </w:pPr>
    <w:rPr>
      <w:rFonts w:ascii="Times New Roman" w:hAnsi="Times New Roman"/>
      <w:b/>
      <w:sz w:val="32"/>
    </w:rPr>
  </w:style>
  <w:style w:type="paragraph" w:customStyle="1" w:styleId="Heading2TOC">
    <w:name w:val="Heading2 TOC"/>
    <w:basedOn w:val="Normal"/>
    <w:qFormat/>
    <w:rsid w:val="005F1606"/>
    <w:pPr>
      <w:spacing w:before="240" w:after="60"/>
    </w:pPr>
    <w:rPr>
      <w:rFonts w:ascii="Times New Roman" w:hAnsi="Times New Roman"/>
      <w:b/>
      <w:sz w:val="28"/>
    </w:rPr>
  </w:style>
  <w:style w:type="character" w:customStyle="1" w:styleId="Underline">
    <w:name w:val="Underline"/>
    <w:basedOn w:val="DefaultParagraphFont"/>
    <w:qFormat/>
    <w:rsid w:val="005F1606"/>
    <w:rPr>
      <w:u w:val="single"/>
    </w:rPr>
  </w:style>
  <w:style w:type="character" w:customStyle="1" w:styleId="BoldandItalics">
    <w:name w:val="Bold and Italics"/>
    <w:qFormat/>
    <w:rsid w:val="005F1606"/>
    <w:rPr>
      <w:b/>
      <w:i/>
      <w:u w:val="none"/>
    </w:rPr>
  </w:style>
  <w:style w:type="paragraph" w:styleId="BalloonText">
    <w:name w:val="Balloon Text"/>
    <w:basedOn w:val="Normal"/>
    <w:link w:val="BalloonTextChar"/>
    <w:rsid w:val="005F1606"/>
    <w:rPr>
      <w:rFonts w:ascii="Tahoma" w:hAnsi="Tahoma" w:cs="Tahoma"/>
      <w:sz w:val="16"/>
      <w:szCs w:val="16"/>
    </w:rPr>
  </w:style>
  <w:style w:type="character" w:customStyle="1" w:styleId="BalloonTextChar">
    <w:name w:val="Balloon Text Char"/>
    <w:basedOn w:val="DefaultParagraphFont"/>
    <w:link w:val="BalloonText"/>
    <w:rsid w:val="005F1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606"/>
    <w:rPr>
      <w:b/>
      <w:color w:val="660033"/>
      <w:spacing w:val="0"/>
    </w:rPr>
  </w:style>
  <w:style w:type="paragraph" w:customStyle="1" w:styleId="Nameditemlist">
    <w:name w:val="Named item list"/>
    <w:basedOn w:val="BodyText"/>
    <w:qFormat/>
    <w:rsid w:val="005F1606"/>
    <w:pPr>
      <w:tabs>
        <w:tab w:val="left" w:pos="2835"/>
      </w:tabs>
      <w:ind w:left="2835" w:hanging="2835"/>
    </w:pPr>
  </w:style>
  <w:style w:type="paragraph" w:customStyle="1" w:styleId="BodyTextnopadding">
    <w:name w:val="Body Text no padding"/>
    <w:basedOn w:val="BodyText"/>
    <w:qFormat/>
    <w:rsid w:val="005F1606"/>
    <w:pPr>
      <w:spacing w:before="0" w:after="0"/>
    </w:pPr>
  </w:style>
  <w:style w:type="paragraph" w:customStyle="1" w:styleId="BodyTextBold">
    <w:name w:val="Body Text Bold"/>
    <w:basedOn w:val="BodyText"/>
    <w:qFormat/>
    <w:rsid w:val="005F1606"/>
    <w:rPr>
      <w:b/>
    </w:rPr>
  </w:style>
  <w:style w:type="character" w:styleId="Hyperlink">
    <w:name w:val="Hyperlink"/>
    <w:basedOn w:val="DefaultParagraphFont"/>
    <w:uiPriority w:val="99"/>
    <w:unhideWhenUsed/>
    <w:rsid w:val="00BF5E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4833</Characters>
  <Application>Microsoft Office Word</Application>
  <DocSecurity>0</DocSecurity>
  <Lines>161</Lines>
  <Paragraphs>89</Paragraphs>
  <ScaleCrop>false</ScaleCrop>
  <Company>Author-it Software Corporation Ltd.</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CPCPDR2026 Install prefabricated inspection openings and inspection chambers</dc:title>
  <dc:subject>Approved</dc:subject>
  <dc:creator>BuildSkills Australia</dc:creator>
  <cp:keywords>Release: 2</cp:keywords>
  <dc:description>Review Date: 12 April 2008</dc:description>
  <cp:lastModifiedBy>HSD_TPCMSd.prod</cp:lastModifiedBy>
  <cp:revision>3</cp:revision>
  <dcterms:created xsi:type="dcterms:W3CDTF">2025-03-02T02:56:00Z</dcterms:created>
  <dcterms:modified xsi:type="dcterms:W3CDTF">2025-03-02T02:56:00Z</dcterms:modified>
</cp:coreProperties>
</file>